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B552B7">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6FACD8F2" w:rsidR="004B75AB" w:rsidRPr="00B552B7" w:rsidRDefault="0029424B" w:rsidP="004B75AB">
            <w:pPr>
              <w:jc w:val="center"/>
              <w:rPr>
                <w:i/>
                <w:iCs/>
                <w:noProof/>
                <w:sz w:val="18"/>
                <w:szCs w:val="18"/>
                <w:u w:val="single"/>
              </w:rPr>
            </w:pPr>
            <w:r>
              <w:rPr>
                <w:i/>
                <w:iCs/>
                <w:noProof/>
                <w:sz w:val="18"/>
                <w:szCs w:val="18"/>
                <w:u w:val="single"/>
              </w:rPr>
              <w:drawing>
                <wp:inline distT="0" distB="0" distL="0" distR="0" wp14:anchorId="7C164313" wp14:editId="1E9429F4">
                  <wp:extent cx="2665499" cy="244395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3104" cy="2469269"/>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22512A6A"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A7625">
              <w:rPr>
                <w:noProof/>
                <w:color w:val="000000" w:themeColor="text1"/>
                <w:sz w:val="20"/>
                <w:szCs w:val="20"/>
              </w:rPr>
              <w:t>1</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0135F91C" w:rsidR="004B75AB" w:rsidRPr="00687C96" w:rsidRDefault="007C5208" w:rsidP="00205B49">
            <w:pPr>
              <w:pStyle w:val="ListParagraph"/>
              <w:numPr>
                <w:ilvl w:val="0"/>
                <w:numId w:val="8"/>
              </w:numPr>
              <w:ind w:left="518"/>
              <w:contextualSpacing w:val="0"/>
              <w:rPr>
                <w:noProof/>
                <w:color w:val="000000" w:themeColor="text1"/>
              </w:rPr>
            </w:pPr>
            <w:r>
              <w:rPr>
                <w:noProof/>
                <w:color w:val="000000" w:themeColor="text1"/>
                <w:sz w:val="20"/>
                <w:szCs w:val="20"/>
              </w:rPr>
              <w:t>48,625</w:t>
            </w:r>
            <w:r w:rsidR="00E64335">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320741A0"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C56AB6">
              <w:rPr>
                <w:noProof/>
                <w:color w:val="000000" w:themeColor="text1"/>
                <w:sz w:val="20"/>
                <w:szCs w:val="20"/>
              </w:rPr>
              <w:t>507</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C56AB6">
              <w:rPr>
                <w:noProof/>
                <w:color w:val="000000" w:themeColor="text1"/>
                <w:sz w:val="20"/>
                <w:szCs w:val="20"/>
              </w:rPr>
              <w:t>7</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2FF3B06E" w:rsidR="00F800AE" w:rsidRPr="009C58C7" w:rsidRDefault="00F800AE"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The average </w:t>
            </w:r>
            <w:r w:rsidR="004C02EF" w:rsidRPr="009C58C7">
              <w:rPr>
                <w:noProof/>
                <w:color w:val="000000" w:themeColor="text1"/>
                <w:sz w:val="20"/>
                <w:szCs w:val="20"/>
              </w:rPr>
              <w:t xml:space="preserve">monthly </w:t>
            </w:r>
            <w:r w:rsidRPr="009C58C7">
              <w:rPr>
                <w:noProof/>
                <w:color w:val="000000" w:themeColor="text1"/>
                <w:sz w:val="20"/>
                <w:szCs w:val="20"/>
              </w:rPr>
              <w:t xml:space="preserve">TAFDC </w:t>
            </w:r>
            <w:r w:rsidR="004C02EF" w:rsidRPr="009C58C7">
              <w:rPr>
                <w:noProof/>
                <w:color w:val="000000" w:themeColor="text1"/>
                <w:sz w:val="20"/>
                <w:szCs w:val="20"/>
              </w:rPr>
              <w:t>grant</w:t>
            </w:r>
            <w:r w:rsidRPr="009C58C7">
              <w:rPr>
                <w:noProof/>
                <w:color w:val="000000" w:themeColor="text1"/>
                <w:sz w:val="20"/>
                <w:szCs w:val="20"/>
              </w:rPr>
              <w:t xml:space="preserve"> is </w:t>
            </w:r>
            <w:r w:rsidR="003A7B18" w:rsidRPr="009C58C7">
              <w:rPr>
                <w:rFonts w:cstheme="minorHAnsi"/>
                <w:noProof/>
                <w:color w:val="000000" w:themeColor="text1"/>
                <w:sz w:val="20"/>
                <w:szCs w:val="20"/>
              </w:rPr>
              <w:t>$</w:t>
            </w:r>
            <w:r w:rsidR="003A7B18" w:rsidRPr="009C58C7">
              <w:rPr>
                <w:rFonts w:eastAsia="Calibri" w:cstheme="minorHAnsi"/>
                <w:sz w:val="20"/>
                <w:szCs w:val="20"/>
              </w:rPr>
              <w:t>63</w:t>
            </w:r>
            <w:r w:rsidR="00A534B0">
              <w:rPr>
                <w:rFonts w:eastAsia="Calibri" w:cstheme="minorHAnsi"/>
                <w:sz w:val="20"/>
                <w:szCs w:val="20"/>
              </w:rPr>
              <w:t>8</w:t>
            </w:r>
            <w:r w:rsidR="003A7B18" w:rsidRPr="009C58C7">
              <w:rPr>
                <w:rFonts w:eastAsia="Calibri" w:cstheme="minorHAnsi"/>
                <w:sz w:val="20"/>
                <w:szCs w:val="20"/>
              </w:rPr>
              <w:t>,</w:t>
            </w:r>
            <w:r w:rsidRPr="009C58C7">
              <w:rPr>
                <w:rFonts w:eastAsia="Calibri" w:cstheme="minorHAnsi"/>
                <w:sz w:val="20"/>
                <w:szCs w:val="20"/>
              </w:rPr>
              <w:t xml:space="preserve"> and the average </w:t>
            </w:r>
            <w:r w:rsidR="004C02EF" w:rsidRPr="009C58C7">
              <w:rPr>
                <w:rFonts w:eastAsia="Calibri" w:cstheme="minorHAnsi"/>
                <w:sz w:val="20"/>
                <w:szCs w:val="20"/>
              </w:rPr>
              <w:t xml:space="preserve">monthly </w:t>
            </w:r>
            <w:r w:rsidRPr="009C58C7">
              <w:rPr>
                <w:rFonts w:eastAsia="Calibri" w:cstheme="minorHAnsi"/>
                <w:sz w:val="20"/>
                <w:szCs w:val="20"/>
              </w:rPr>
              <w:t xml:space="preserve">EAEDC </w:t>
            </w:r>
            <w:r w:rsidR="004C02EF" w:rsidRPr="009C58C7">
              <w:rPr>
                <w:rFonts w:eastAsia="Calibri" w:cstheme="minorHAnsi"/>
                <w:sz w:val="20"/>
                <w:szCs w:val="20"/>
              </w:rPr>
              <w:t>grant</w:t>
            </w:r>
            <w:r w:rsidRPr="009C58C7">
              <w:rPr>
                <w:rFonts w:eastAsia="Calibri" w:cstheme="minorHAnsi"/>
                <w:sz w:val="20"/>
                <w:szCs w:val="20"/>
              </w:rPr>
              <w:t xml:space="preserve"> is $</w:t>
            </w:r>
            <w:r w:rsidR="00BD2B2D" w:rsidRPr="009C58C7">
              <w:rPr>
                <w:rFonts w:eastAsia="Calibri" w:cstheme="minorHAnsi"/>
                <w:sz w:val="20"/>
                <w:szCs w:val="20"/>
              </w:rPr>
              <w:t>40</w:t>
            </w:r>
            <w:r w:rsidR="00A534B0">
              <w:rPr>
                <w:rFonts w:eastAsia="Calibri" w:cstheme="minorHAnsi"/>
                <w:sz w:val="20"/>
                <w:szCs w:val="20"/>
              </w:rPr>
              <w:t>0</w:t>
            </w:r>
            <w:r w:rsidR="00EC44C4" w:rsidRPr="009C58C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42F773E5" w:rsidR="001D4870" w:rsidRPr="009C58C7" w:rsidRDefault="00534EDD" w:rsidP="00205B49">
            <w:pPr>
              <w:pStyle w:val="ListParagraph"/>
              <w:numPr>
                <w:ilvl w:val="0"/>
                <w:numId w:val="8"/>
              </w:numPr>
              <w:ind w:left="518"/>
              <w:contextualSpacing w:val="0"/>
              <w:rPr>
                <w:noProof/>
                <w:color w:val="0D0D0D" w:themeColor="text1" w:themeTint="F2"/>
                <w:sz w:val="20"/>
                <w:szCs w:val="20"/>
              </w:rPr>
            </w:pPr>
            <w:r w:rsidRPr="009C58C7">
              <w:rPr>
                <w:noProof/>
                <w:color w:val="0D0D0D" w:themeColor="text1" w:themeTint="F2"/>
                <w:sz w:val="20"/>
                <w:szCs w:val="20"/>
              </w:rPr>
              <w:t>After English, the top 5 language among clients are Spanish, Haitian Creole, Portuguese, Vietnamese, and Arabic</w:t>
            </w:r>
            <w:r w:rsidR="005E4DEA" w:rsidRPr="009C58C7">
              <w:rPr>
                <w:noProof/>
                <w:color w:val="0D0D0D" w:themeColor="text1" w:themeTint="F2"/>
                <w:sz w:val="20"/>
                <w:szCs w:val="20"/>
              </w:rPr>
              <w:t>.</w:t>
            </w:r>
          </w:p>
          <w:p w14:paraId="0875E0FF" w14:textId="28BF8847" w:rsidR="005E5E6B" w:rsidRPr="009C58C7"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9C58C7">
              <w:rPr>
                <w:noProof/>
                <w:color w:val="0D0D0D" w:themeColor="text1" w:themeTint="F2"/>
                <w:sz w:val="20"/>
                <w:szCs w:val="20"/>
              </w:rPr>
              <w:t>4</w:t>
            </w:r>
            <w:r w:rsidR="00A4363D">
              <w:rPr>
                <w:noProof/>
                <w:color w:val="0D0D0D" w:themeColor="text1" w:themeTint="F2"/>
                <w:sz w:val="20"/>
                <w:szCs w:val="20"/>
              </w:rPr>
              <w:t>5</w:t>
            </w:r>
            <w:r w:rsidRPr="009C58C7">
              <w:rPr>
                <w:noProof/>
                <w:color w:val="0D0D0D" w:themeColor="text1" w:themeTint="F2"/>
                <w:sz w:val="20"/>
                <w:szCs w:val="20"/>
              </w:rPr>
              <w:t>% of all clients identi</w:t>
            </w:r>
            <w:r w:rsidR="00FD267A" w:rsidRPr="009C58C7">
              <w:rPr>
                <w:noProof/>
                <w:color w:val="0D0D0D" w:themeColor="text1" w:themeTint="F2"/>
                <w:sz w:val="20"/>
                <w:szCs w:val="20"/>
              </w:rPr>
              <w:t>fy</w:t>
            </w:r>
            <w:r w:rsidRPr="009C58C7">
              <w:rPr>
                <w:noProof/>
                <w:color w:val="0D0D0D" w:themeColor="text1" w:themeTint="F2"/>
                <w:sz w:val="20"/>
                <w:szCs w:val="20"/>
              </w:rPr>
              <w:t xml:space="preserve"> as </w:t>
            </w:r>
            <w:r w:rsidR="00206CA0" w:rsidRPr="009C58C7">
              <w:rPr>
                <w:noProof/>
                <w:color w:val="0D0D0D" w:themeColor="text1" w:themeTint="F2"/>
                <w:sz w:val="20"/>
                <w:szCs w:val="20"/>
              </w:rPr>
              <w:t>W</w:t>
            </w:r>
            <w:r w:rsidRPr="009C58C7">
              <w:rPr>
                <w:noProof/>
                <w:color w:val="0D0D0D" w:themeColor="text1" w:themeTint="F2"/>
                <w:sz w:val="20"/>
                <w:szCs w:val="20"/>
              </w:rPr>
              <w:t xml:space="preserve">hite, 13% as </w:t>
            </w:r>
            <w:r w:rsidR="00206CA0" w:rsidRPr="009C58C7">
              <w:rPr>
                <w:noProof/>
                <w:color w:val="0D0D0D" w:themeColor="text1" w:themeTint="F2"/>
                <w:sz w:val="20"/>
                <w:szCs w:val="20"/>
              </w:rPr>
              <w:t>B</w:t>
            </w:r>
            <w:r w:rsidRPr="009C58C7">
              <w:rPr>
                <w:noProof/>
                <w:color w:val="0D0D0D" w:themeColor="text1" w:themeTint="F2"/>
                <w:sz w:val="20"/>
                <w:szCs w:val="20"/>
              </w:rPr>
              <w:t xml:space="preserve">lack, </w:t>
            </w:r>
            <w:r w:rsidR="005F3DC5">
              <w:rPr>
                <w:noProof/>
                <w:color w:val="0D0D0D" w:themeColor="text1" w:themeTint="F2"/>
                <w:sz w:val="20"/>
                <w:szCs w:val="20"/>
              </w:rPr>
              <w:t>5</w:t>
            </w:r>
            <w:r w:rsidRPr="009C58C7">
              <w:rPr>
                <w:noProof/>
                <w:color w:val="0D0D0D" w:themeColor="text1" w:themeTint="F2"/>
                <w:sz w:val="20"/>
                <w:szCs w:val="20"/>
              </w:rPr>
              <w:t xml:space="preserve">% as </w:t>
            </w:r>
            <w:r w:rsidR="00206CA0" w:rsidRPr="009C58C7">
              <w:rPr>
                <w:noProof/>
                <w:color w:val="0D0D0D" w:themeColor="text1" w:themeTint="F2"/>
                <w:sz w:val="20"/>
                <w:szCs w:val="20"/>
              </w:rPr>
              <w:t>A</w:t>
            </w:r>
            <w:r w:rsidRPr="009C58C7">
              <w:rPr>
                <w:noProof/>
                <w:color w:val="0D0D0D" w:themeColor="text1" w:themeTint="F2"/>
                <w:sz w:val="20"/>
                <w:szCs w:val="20"/>
              </w:rPr>
              <w:t>sian</w:t>
            </w:r>
            <w:r w:rsidR="00C47139" w:rsidRPr="009C58C7">
              <w:rPr>
                <w:noProof/>
                <w:color w:val="0D0D0D" w:themeColor="text1" w:themeTint="F2"/>
                <w:sz w:val="20"/>
                <w:szCs w:val="20"/>
              </w:rPr>
              <w:t xml:space="preserve">, 4% </w:t>
            </w:r>
            <w:r w:rsidR="00FD267A" w:rsidRPr="009C58C7">
              <w:rPr>
                <w:noProof/>
                <w:color w:val="0D0D0D" w:themeColor="text1" w:themeTint="F2"/>
                <w:sz w:val="20"/>
                <w:szCs w:val="20"/>
              </w:rPr>
              <w:t>m</w:t>
            </w:r>
            <w:r w:rsidR="00C47139" w:rsidRPr="009C58C7">
              <w:rPr>
                <w:noProof/>
                <w:color w:val="0D0D0D" w:themeColor="text1" w:themeTint="F2"/>
                <w:sz w:val="20"/>
                <w:szCs w:val="20"/>
              </w:rPr>
              <w:t>ore than 1 race, 3</w:t>
            </w:r>
            <w:r w:rsidR="008C51E5">
              <w:rPr>
                <w:noProof/>
                <w:color w:val="0D0D0D" w:themeColor="text1" w:themeTint="F2"/>
                <w:sz w:val="20"/>
                <w:szCs w:val="20"/>
              </w:rPr>
              <w:t>3</w:t>
            </w:r>
            <w:r w:rsidR="00C47139" w:rsidRPr="009C58C7">
              <w:rPr>
                <w:noProof/>
                <w:color w:val="0D0D0D" w:themeColor="text1" w:themeTint="F2"/>
                <w:sz w:val="20"/>
                <w:szCs w:val="20"/>
              </w:rPr>
              <w:t>% report no race</w:t>
            </w:r>
          </w:p>
          <w:p w14:paraId="21FC203F" w14:textId="4B44DDB3" w:rsidR="000A2CC4" w:rsidRPr="009C58C7" w:rsidRDefault="005E5E6B" w:rsidP="00205B49">
            <w:pPr>
              <w:pStyle w:val="ListParagraph"/>
              <w:numPr>
                <w:ilvl w:val="0"/>
                <w:numId w:val="8"/>
              </w:numPr>
              <w:ind w:left="518"/>
              <w:contextualSpacing w:val="0"/>
              <w:rPr>
                <w:noProof/>
                <w:color w:val="0D0D0D" w:themeColor="text1" w:themeTint="F2"/>
              </w:rPr>
            </w:pPr>
            <w:r w:rsidRPr="009C58C7">
              <w:rPr>
                <w:noProof/>
                <w:color w:val="0D0D0D" w:themeColor="text1" w:themeTint="F2"/>
                <w:sz w:val="20"/>
                <w:szCs w:val="20"/>
              </w:rPr>
              <w:t>2</w:t>
            </w:r>
            <w:r w:rsidR="008C51E5">
              <w:rPr>
                <w:noProof/>
                <w:color w:val="0D0D0D" w:themeColor="text1" w:themeTint="F2"/>
                <w:sz w:val="20"/>
                <w:szCs w:val="20"/>
              </w:rPr>
              <w:t>3</w:t>
            </w:r>
            <w:r w:rsidRPr="009C58C7">
              <w:rPr>
                <w:noProof/>
                <w:color w:val="0D0D0D" w:themeColor="text1" w:themeTint="F2"/>
                <w:sz w:val="20"/>
                <w:szCs w:val="20"/>
              </w:rPr>
              <w:t>% of clients across racial groups identi</w:t>
            </w:r>
            <w:r w:rsidR="00FD267A" w:rsidRPr="009C58C7">
              <w:rPr>
                <w:noProof/>
                <w:color w:val="0D0D0D" w:themeColor="text1" w:themeTint="F2"/>
                <w:sz w:val="20"/>
                <w:szCs w:val="20"/>
              </w:rPr>
              <w:t>fy</w:t>
            </w:r>
            <w:r w:rsidRPr="009C58C7">
              <w:rPr>
                <w:noProof/>
                <w:color w:val="0D0D0D" w:themeColor="text1" w:themeTint="F2"/>
                <w:sz w:val="20"/>
                <w:szCs w:val="20"/>
              </w:rPr>
              <w:t xml:space="preserve"> as Hispanic</w:t>
            </w:r>
            <w:r w:rsidR="00C26F16" w:rsidRPr="009C58C7">
              <w:rPr>
                <w:noProof/>
                <w:color w:val="0D0D0D" w:themeColor="text1" w:themeTint="F2"/>
                <w:sz w:val="20"/>
                <w:szCs w:val="20"/>
              </w:rPr>
              <w:t xml:space="preserve"> or </w:t>
            </w:r>
            <w:r w:rsidRPr="009C58C7">
              <w:rPr>
                <w:noProof/>
                <w:color w:val="0D0D0D" w:themeColor="text1" w:themeTint="F2"/>
                <w:sz w:val="20"/>
                <w:szCs w:val="20"/>
              </w:rPr>
              <w:t>Latino</w:t>
            </w:r>
            <w:r w:rsidR="005E4DEA" w:rsidRPr="009C58C7">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E438E21"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0F61F71">
                      <wp:simplePos x="0" y="0"/>
                      <wp:positionH relativeFrom="column">
                        <wp:posOffset>3523615</wp:posOffset>
                      </wp:positionH>
                      <wp:positionV relativeFrom="page">
                        <wp:posOffset>72390</wp:posOffset>
                      </wp:positionV>
                      <wp:extent cx="2790825" cy="1057275"/>
                      <wp:effectExtent l="0" t="0" r="9525" b="21907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5408B079" w:rsidR="00DE630B" w:rsidRDefault="00834FA3"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w:t>
                                  </w:r>
                                </w:p>
                                <w:bookmarkEnd w:id="2"/>
                                <w:bookmarkEnd w:id="3"/>
                                <w:p w14:paraId="2BB736C2" w14:textId="00346C6C" w:rsidR="00ED6B48" w:rsidRPr="00834FA3" w:rsidRDefault="00834FA3" w:rsidP="00DE630B">
                                  <w:pPr>
                                    <w:spacing w:after="0" w:line="240" w:lineRule="auto"/>
                                    <w:jc w:val="center"/>
                                    <w:rPr>
                                      <w:b/>
                                      <w:color w:val="000000" w:themeColor="text1"/>
                                    </w:rPr>
                                  </w:pPr>
                                  <w:r w:rsidRPr="00834FA3">
                                    <w:rPr>
                                      <w:i/>
                                      <w:color w:val="000000" w:themeColor="text1"/>
                                    </w:rPr>
                                    <w:t xml:space="preserve">DTA received </w:t>
                                  </w:r>
                                  <w:r w:rsidR="0029424B">
                                    <w:rPr>
                                      <w:i/>
                                      <w:color w:val="000000" w:themeColor="text1"/>
                                    </w:rPr>
                                    <w:t>26</w:t>
                                  </w:r>
                                  <w:r w:rsidRPr="00834FA3">
                                    <w:rPr>
                                      <w:i/>
                                      <w:color w:val="000000" w:themeColor="text1"/>
                                    </w:rPr>
                                    <w:t>% more SNAP applications from Massachusetts residents in Ju</w:t>
                                  </w:r>
                                  <w:r w:rsidR="0029424B">
                                    <w:rPr>
                                      <w:i/>
                                      <w:color w:val="000000" w:themeColor="text1"/>
                                    </w:rPr>
                                    <w:t>ly</w:t>
                                  </w:r>
                                  <w:r w:rsidRPr="00834FA3">
                                    <w:rPr>
                                      <w:i/>
                                      <w:color w:val="000000" w:themeColor="text1"/>
                                    </w:rPr>
                                    <w:t xml:space="preserve"> 2022 compared to the same period in</w:t>
                                  </w:r>
                                  <w:r w:rsidR="00FD7114" w:rsidRPr="00834FA3">
                                    <w:rPr>
                                      <w:i/>
                                      <w:color w:val="000000" w:themeColor="text1"/>
                                    </w:rPr>
                                    <w:t xml:space="preserve"> 2021</w:t>
                                  </w:r>
                                  <w:r w:rsidR="00DD4CBF" w:rsidRPr="00834FA3">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" adj="11581,25787" fillcolor="#ffc000" stroked="f" strokeweight="1pt">
                      <v:textbox>
                        <w:txbxContent>
                          <w:p w14:paraId="704C641E" w14:textId="5408B079" w:rsidR="00DE630B" w:rsidRDefault="00834FA3"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w:t>
                            </w:r>
                          </w:p>
                          <w:bookmarkEnd w:id="4"/>
                          <w:bookmarkEnd w:id="5"/>
                          <w:p w14:paraId="2BB736C2" w14:textId="00346C6C" w:rsidR="00ED6B48" w:rsidRPr="00834FA3" w:rsidRDefault="00834FA3" w:rsidP="00DE630B">
                            <w:pPr>
                              <w:spacing w:after="0" w:line="240" w:lineRule="auto"/>
                              <w:jc w:val="center"/>
                              <w:rPr>
                                <w:b/>
                                <w:color w:val="000000" w:themeColor="text1"/>
                              </w:rPr>
                            </w:pPr>
                            <w:r w:rsidRPr="00834FA3">
                              <w:rPr>
                                <w:i/>
                                <w:color w:val="000000" w:themeColor="text1"/>
                              </w:rPr>
                              <w:t xml:space="preserve">DTA received </w:t>
                            </w:r>
                            <w:r w:rsidR="0029424B">
                              <w:rPr>
                                <w:i/>
                                <w:color w:val="000000" w:themeColor="text1"/>
                              </w:rPr>
                              <w:t>26</w:t>
                            </w:r>
                            <w:r w:rsidRPr="00834FA3">
                              <w:rPr>
                                <w:i/>
                                <w:color w:val="000000" w:themeColor="text1"/>
                              </w:rPr>
                              <w:t>% more SNAP applications from Massachusetts residents in Ju</w:t>
                            </w:r>
                            <w:r w:rsidR="0029424B">
                              <w:rPr>
                                <w:i/>
                                <w:color w:val="000000" w:themeColor="text1"/>
                              </w:rPr>
                              <w:t>ly</w:t>
                            </w:r>
                            <w:r w:rsidRPr="00834FA3">
                              <w:rPr>
                                <w:i/>
                                <w:color w:val="000000" w:themeColor="text1"/>
                              </w:rPr>
                              <w:t xml:space="preserve"> 2022 compared to the same period in</w:t>
                            </w:r>
                            <w:r w:rsidR="00FD7114" w:rsidRPr="00834FA3">
                              <w:rPr>
                                <w:i/>
                                <w:color w:val="000000" w:themeColor="text1"/>
                              </w:rPr>
                              <w:t xml:space="preserve"> 2021</w:t>
                            </w:r>
                            <w:r w:rsidR="00DD4CBF" w:rsidRPr="00834FA3">
                              <w:rPr>
                                <w:i/>
                                <w:color w:val="000000" w:themeColor="text1"/>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221EC7">
              <w:rPr>
                <w:rFonts w:cs="Arial"/>
                <w:b/>
                <w:color w:val="0070C0"/>
                <w:sz w:val="52"/>
                <w:szCs w:val="52"/>
              </w:rPr>
              <w:t>04</w:t>
            </w:r>
            <w:r w:rsidR="009064A0">
              <w:rPr>
                <w:rFonts w:cs="Arial"/>
                <w:b/>
                <w:color w:val="0070C0"/>
                <w:sz w:val="52"/>
                <w:szCs w:val="52"/>
              </w:rPr>
              <w:t>2</w:t>
            </w:r>
            <w:r w:rsidR="00221EC7">
              <w:rPr>
                <w:rFonts w:cs="Arial"/>
                <w:b/>
                <w:color w:val="0070C0"/>
                <w:sz w:val="52"/>
                <w:szCs w:val="52"/>
              </w:rPr>
              <w:t>,</w:t>
            </w:r>
            <w:r w:rsidR="009064A0">
              <w:rPr>
                <w:rFonts w:cs="Arial"/>
                <w:b/>
                <w:color w:val="0070C0"/>
                <w:sz w:val="52"/>
                <w:szCs w:val="52"/>
              </w:rPr>
              <w:t>836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41586B4"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994E04">
              <w:rPr>
                <w:rFonts w:cs="Arial"/>
                <w:b/>
                <w:color w:val="0070C0"/>
                <w:sz w:val="52"/>
                <w:szCs w:val="52"/>
              </w:rPr>
              <w:t>2</w:t>
            </w:r>
            <w:r w:rsidR="00CE472A">
              <w:rPr>
                <w:rFonts w:cs="Arial"/>
                <w:b/>
                <w:color w:val="0070C0"/>
                <w:sz w:val="52"/>
                <w:szCs w:val="52"/>
              </w:rPr>
              <w:t>4,064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698AB629" w:rsidR="00F32004" w:rsidRPr="00F32004" w:rsidRDefault="0033488F" w:rsidP="005E5713">
            <w:pPr>
              <w:jc w:val="center"/>
              <w:rPr>
                <w:rFonts w:cs="Arial"/>
                <w:b/>
                <w:color w:val="4472C4" w:themeColor="accent5"/>
                <w:sz w:val="36"/>
                <w:szCs w:val="36"/>
              </w:rPr>
            </w:pPr>
            <w:r w:rsidRPr="0033488F">
              <w:rPr>
                <w:rFonts w:cs="Arial"/>
                <w:b/>
                <w:color w:val="4472C4" w:themeColor="accent5"/>
                <w:sz w:val="36"/>
                <w:szCs w:val="36"/>
              </w:rPr>
              <w:t>2</w:t>
            </w:r>
            <w:r w:rsidR="00411EFD">
              <w:rPr>
                <w:rFonts w:cs="Arial"/>
                <w:b/>
                <w:color w:val="4472C4" w:themeColor="accent5"/>
                <w:sz w:val="36"/>
                <w:szCs w:val="36"/>
              </w:rPr>
              <w:t>21,276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041D4670"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300,328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25D14339"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40,</w:t>
            </w:r>
            <w:r w:rsidR="00D30CD5">
              <w:rPr>
                <w:rFonts w:cs="Arial"/>
                <w:b/>
                <w:color w:val="4472C4" w:themeColor="accent5"/>
                <w:sz w:val="36"/>
                <w:szCs w:val="36"/>
              </w:rPr>
              <w:t>882</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53AC264">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136BF8EB">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6E21DD29">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6655CC44">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45C9624B">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56AF7FC2">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02B5DBC3">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402301F">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1BB30EE9">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4B12767C" w:rsidR="0010305D" w:rsidRPr="00E937F0" w:rsidRDefault="004B510E"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365A28D">
                      <wp:simplePos x="0" y="0"/>
                      <wp:positionH relativeFrom="column">
                        <wp:posOffset>388620</wp:posOffset>
                      </wp:positionH>
                      <wp:positionV relativeFrom="paragraph">
                        <wp:posOffset>-170815</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30.6pt;margin-top:-13.45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8BAED0E">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C375952" w:rsidR="008C0EA4" w:rsidRPr="00DB04DB" w:rsidRDefault="008E1594" w:rsidP="00A6752E">
            <w:pPr>
              <w:rPr>
                <w:rFonts w:cs="Arial"/>
                <w:b/>
                <w:color w:val="0070C0"/>
                <w:sz w:val="56"/>
                <w:szCs w:val="36"/>
              </w:rPr>
            </w:pPr>
            <w:r>
              <w:rPr>
                <w:rFonts w:cs="Arial"/>
                <w:b/>
                <w:color w:val="0070C0"/>
                <w:sz w:val="56"/>
                <w:szCs w:val="36"/>
              </w:rPr>
              <w:t>2</w:t>
            </w:r>
            <w:r w:rsidR="002C39D9">
              <w:rPr>
                <w:rFonts w:cs="Arial"/>
                <w:b/>
                <w:color w:val="0070C0"/>
                <w:sz w:val="56"/>
                <w:szCs w:val="36"/>
              </w:rPr>
              <w:t>9,</w:t>
            </w:r>
            <w:r w:rsidR="005D4519">
              <w:rPr>
                <w:rFonts w:cs="Arial"/>
                <w:b/>
                <w:color w:val="0070C0"/>
                <w:sz w:val="56"/>
                <w:szCs w:val="36"/>
              </w:rPr>
              <w:t>386</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5B236111">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3B4625DC" w:rsidR="00E1385B" w:rsidRDefault="001B3A77" w:rsidP="00A6752E">
            <w:pPr>
              <w:rPr>
                <w:rFonts w:cs="Arial"/>
                <w:b/>
                <w:color w:val="0070C0"/>
                <w:sz w:val="56"/>
                <w:szCs w:val="36"/>
              </w:rPr>
            </w:pPr>
            <w:r>
              <w:rPr>
                <w:rFonts w:cs="Arial"/>
                <w:b/>
                <w:color w:val="0070C0"/>
                <w:sz w:val="56"/>
                <w:szCs w:val="36"/>
              </w:rPr>
              <w:t>5</w:t>
            </w:r>
            <w:r w:rsidR="005D4519">
              <w:rPr>
                <w:rFonts w:cs="Arial"/>
                <w:b/>
                <w:color w:val="0070C0"/>
                <w:sz w:val="56"/>
                <w:szCs w:val="36"/>
              </w:rPr>
              <w:t>,194</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F842090">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B8D6DF7" w:rsidR="0047155F" w:rsidRDefault="0035376E" w:rsidP="00A6752E">
            <w:pPr>
              <w:rPr>
                <w:rFonts w:cs="Arial"/>
                <w:b/>
                <w:color w:val="0070C0"/>
                <w:sz w:val="36"/>
                <w:szCs w:val="36"/>
              </w:rPr>
            </w:pPr>
            <w:r>
              <w:rPr>
                <w:rFonts w:cs="Arial"/>
                <w:b/>
                <w:color w:val="0070C0"/>
                <w:sz w:val="56"/>
                <w:szCs w:val="36"/>
              </w:rPr>
              <w:t>3,3</w:t>
            </w:r>
            <w:r w:rsidR="00A2449B">
              <w:rPr>
                <w:rFonts w:cs="Arial"/>
                <w:b/>
                <w:color w:val="0070C0"/>
                <w:sz w:val="56"/>
                <w:szCs w:val="36"/>
              </w:rPr>
              <w:t>04</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9BDE921"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8,070</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8B604D1"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27,</w:t>
            </w:r>
            <w:r w:rsidR="00043788">
              <w:rPr>
                <w:rFonts w:cs="Arial"/>
                <w:b/>
                <w:color w:val="4472C4" w:themeColor="accent5"/>
                <w:sz w:val="56"/>
                <w:szCs w:val="36"/>
              </w:rPr>
              <w:t>910</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2814D952"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11,</w:t>
            </w:r>
            <w:r w:rsidR="00043788">
              <w:rPr>
                <w:rFonts w:cs="Arial"/>
                <w:b/>
                <w:color w:val="4472C4" w:themeColor="accent5"/>
                <w:sz w:val="36"/>
                <w:szCs w:val="36"/>
              </w:rPr>
              <w:t>586</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1C1AF1EC"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1D32D9">
              <w:rPr>
                <w:rFonts w:cs="Arial"/>
                <w:b/>
                <w:color w:val="4472C4" w:themeColor="accent5"/>
                <w:sz w:val="36"/>
                <w:szCs w:val="36"/>
              </w:rPr>
              <w:t>6,</w:t>
            </w:r>
            <w:r w:rsidR="00043788">
              <w:rPr>
                <w:rFonts w:cs="Arial"/>
                <w:b/>
                <w:color w:val="4472C4" w:themeColor="accent5"/>
                <w:sz w:val="36"/>
                <w:szCs w:val="36"/>
              </w:rPr>
              <w:t>477</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2B96FC34"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043788">
              <w:rPr>
                <w:rFonts w:cs="Arial"/>
                <w:b/>
                <w:color w:val="4472C4" w:themeColor="accent5"/>
                <w:sz w:val="36"/>
                <w:szCs w:val="36"/>
              </w:rPr>
              <w:t>50</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752C55A5">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0514957">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07933A1"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F2562" w:rsidRPr="009F2562">
                          <w:rPr>
                            <w:rFonts w:cs="Arial"/>
                            <w:b/>
                            <w:color w:val="4472C4" w:themeColor="accent5"/>
                            <w:sz w:val="56"/>
                            <w:szCs w:val="36"/>
                          </w:rPr>
                          <w:t>9</w:t>
                        </w:r>
                        <w:r w:rsidR="00EF7D2A">
                          <w:rPr>
                            <w:rFonts w:cs="Arial"/>
                            <w:b/>
                            <w:color w:val="4472C4" w:themeColor="accent5"/>
                            <w:sz w:val="56"/>
                            <w:szCs w:val="36"/>
                          </w:rPr>
                          <w:t>2,659</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CE8ED90"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EF7D2A">
                          <w:rPr>
                            <w:rFonts w:cs="Arial"/>
                            <w:b/>
                            <w:color w:val="4472C4" w:themeColor="accent5"/>
                            <w:sz w:val="56"/>
                            <w:szCs w:val="36"/>
                          </w:rPr>
                          <w:t>6,378</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633A1CA8"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5C6821">
                          <w:rPr>
                            <w:rFonts w:cstheme="minorHAnsi"/>
                            <w:b/>
                            <w:bCs/>
                            <w:color w:val="4472C4" w:themeColor="accent5"/>
                            <w:sz w:val="36"/>
                            <w:szCs w:val="36"/>
                          </w:rPr>
                          <w:t>2,</w:t>
                        </w:r>
                        <w:r w:rsidR="00EF7D2A">
                          <w:rPr>
                            <w:rFonts w:cstheme="minorHAnsi"/>
                            <w:b/>
                            <w:bCs/>
                            <w:color w:val="4472C4" w:themeColor="accent5"/>
                            <w:sz w:val="36"/>
                            <w:szCs w:val="36"/>
                          </w:rPr>
                          <w:t>779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69CC4ED"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B15850">
                          <w:rPr>
                            <w:rFonts w:cstheme="minorHAnsi"/>
                            <w:b/>
                            <w:bCs/>
                            <w:color w:val="4472C4" w:themeColor="accent5"/>
                            <w:sz w:val="36"/>
                            <w:szCs w:val="32"/>
                          </w:rPr>
                          <w:t>6</w:t>
                        </w:r>
                        <w:r w:rsidR="00F97BC3">
                          <w:rPr>
                            <w:rFonts w:cstheme="minorHAnsi"/>
                            <w:b/>
                            <w:bCs/>
                            <w:color w:val="4472C4" w:themeColor="accent5"/>
                            <w:sz w:val="36"/>
                            <w:szCs w:val="32"/>
                          </w:rPr>
                          <w:t>69</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3FF2D87" w:rsidR="00CD3691" w:rsidRPr="00DE26A6" w:rsidRDefault="00784F7E" w:rsidP="00CD3691">
                        <w:pPr>
                          <w:jc w:val="center"/>
                          <w:rPr>
                            <w:rFonts w:cs="Arial"/>
                            <w:b/>
                            <w:color w:val="4472C4" w:themeColor="accent5"/>
                            <w:sz w:val="36"/>
                            <w:szCs w:val="36"/>
                          </w:rPr>
                        </w:pPr>
                        <w:r>
                          <w:rPr>
                            <w:rFonts w:cs="Arial"/>
                            <w:b/>
                            <w:color w:val="4472C4" w:themeColor="accent5"/>
                            <w:sz w:val="36"/>
                            <w:szCs w:val="36"/>
                          </w:rPr>
                          <w:t>4,</w:t>
                        </w:r>
                        <w:r w:rsidR="00EF7D2A">
                          <w:rPr>
                            <w:rFonts w:cs="Arial"/>
                            <w:b/>
                            <w:color w:val="4472C4" w:themeColor="accent5"/>
                            <w:sz w:val="36"/>
                            <w:szCs w:val="36"/>
                          </w:rPr>
                          <w:t>107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65840A6B">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4E036AF4">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537DBF49"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03E91">
      <w:rPr>
        <w:rFonts w:asciiTheme="majorHAnsi" w:hAnsiTheme="majorHAnsi" w:cs="Arial"/>
        <w:b/>
        <w:color w:val="0D0D0D" w:themeColor="text1" w:themeTint="F2"/>
        <w:sz w:val="28"/>
      </w:rPr>
      <w:t>Ju</w:t>
    </w:r>
    <w:r w:rsidR="0067155B">
      <w:rPr>
        <w:rFonts w:asciiTheme="majorHAnsi" w:hAnsiTheme="majorHAnsi" w:cs="Arial"/>
        <w:b/>
        <w:color w:val="0D0D0D" w:themeColor="text1" w:themeTint="F2"/>
        <w:sz w:val="28"/>
      </w:rPr>
      <w:t>ly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DC2"/>
    <w:rsid w:val="00003EE2"/>
    <w:rsid w:val="00004849"/>
    <w:rsid w:val="00005731"/>
    <w:rsid w:val="00007C57"/>
    <w:rsid w:val="00011D36"/>
    <w:rsid w:val="000129D4"/>
    <w:rsid w:val="000146D0"/>
    <w:rsid w:val="00014F3C"/>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788"/>
    <w:rsid w:val="000439FB"/>
    <w:rsid w:val="00045E36"/>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915"/>
    <w:rsid w:val="000A553C"/>
    <w:rsid w:val="000A59BC"/>
    <w:rsid w:val="000A63F2"/>
    <w:rsid w:val="000A7538"/>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0CCE"/>
    <w:rsid w:val="000D1A57"/>
    <w:rsid w:val="000D1DFF"/>
    <w:rsid w:val="000D240F"/>
    <w:rsid w:val="000D3307"/>
    <w:rsid w:val="000D5256"/>
    <w:rsid w:val="000D56E6"/>
    <w:rsid w:val="000D5B78"/>
    <w:rsid w:val="000D66E1"/>
    <w:rsid w:val="000E1A64"/>
    <w:rsid w:val="000E2568"/>
    <w:rsid w:val="000E2C44"/>
    <w:rsid w:val="000E2F09"/>
    <w:rsid w:val="000E2F9C"/>
    <w:rsid w:val="000E33A1"/>
    <w:rsid w:val="000E3DC7"/>
    <w:rsid w:val="000E3FDE"/>
    <w:rsid w:val="000E48A9"/>
    <w:rsid w:val="000E4B61"/>
    <w:rsid w:val="000E5461"/>
    <w:rsid w:val="000E6D26"/>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F50"/>
    <w:rsid w:val="00130295"/>
    <w:rsid w:val="00131B1B"/>
    <w:rsid w:val="00132FF1"/>
    <w:rsid w:val="00133BE3"/>
    <w:rsid w:val="001343DE"/>
    <w:rsid w:val="00134C68"/>
    <w:rsid w:val="00137647"/>
    <w:rsid w:val="00137A66"/>
    <w:rsid w:val="00137FFD"/>
    <w:rsid w:val="001403D1"/>
    <w:rsid w:val="001409E3"/>
    <w:rsid w:val="00140E29"/>
    <w:rsid w:val="00141615"/>
    <w:rsid w:val="0014179D"/>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5BE1"/>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102"/>
    <w:rsid w:val="00197839"/>
    <w:rsid w:val="001A0D17"/>
    <w:rsid w:val="001A160A"/>
    <w:rsid w:val="001A36A6"/>
    <w:rsid w:val="001A3D45"/>
    <w:rsid w:val="001A4CB5"/>
    <w:rsid w:val="001A53F9"/>
    <w:rsid w:val="001A59D5"/>
    <w:rsid w:val="001A7C1A"/>
    <w:rsid w:val="001A7CD3"/>
    <w:rsid w:val="001B122F"/>
    <w:rsid w:val="001B1714"/>
    <w:rsid w:val="001B19B6"/>
    <w:rsid w:val="001B263F"/>
    <w:rsid w:val="001B37C2"/>
    <w:rsid w:val="001B3A77"/>
    <w:rsid w:val="001B3A95"/>
    <w:rsid w:val="001B4AE5"/>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32D9"/>
    <w:rsid w:val="001D435F"/>
    <w:rsid w:val="001D466D"/>
    <w:rsid w:val="001D4870"/>
    <w:rsid w:val="001D4F78"/>
    <w:rsid w:val="001D6792"/>
    <w:rsid w:val="001D72C3"/>
    <w:rsid w:val="001E0516"/>
    <w:rsid w:val="001E0639"/>
    <w:rsid w:val="001E138D"/>
    <w:rsid w:val="001E4573"/>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C72"/>
    <w:rsid w:val="00201634"/>
    <w:rsid w:val="002018BD"/>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EC7"/>
    <w:rsid w:val="0022231C"/>
    <w:rsid w:val="0022313A"/>
    <w:rsid w:val="00227BAB"/>
    <w:rsid w:val="00230B73"/>
    <w:rsid w:val="002340D0"/>
    <w:rsid w:val="002363B3"/>
    <w:rsid w:val="00236F6D"/>
    <w:rsid w:val="00237332"/>
    <w:rsid w:val="00237730"/>
    <w:rsid w:val="00237B5F"/>
    <w:rsid w:val="00240108"/>
    <w:rsid w:val="00240C6E"/>
    <w:rsid w:val="00241C62"/>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24B"/>
    <w:rsid w:val="00294EB4"/>
    <w:rsid w:val="002953EB"/>
    <w:rsid w:val="002967D5"/>
    <w:rsid w:val="00297135"/>
    <w:rsid w:val="0029728C"/>
    <w:rsid w:val="00297372"/>
    <w:rsid w:val="00297380"/>
    <w:rsid w:val="002978C4"/>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AEC"/>
    <w:rsid w:val="00314CF1"/>
    <w:rsid w:val="00315507"/>
    <w:rsid w:val="003156E8"/>
    <w:rsid w:val="003210BD"/>
    <w:rsid w:val="003214FD"/>
    <w:rsid w:val="00322C47"/>
    <w:rsid w:val="00322D27"/>
    <w:rsid w:val="00324C60"/>
    <w:rsid w:val="00325240"/>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9E8"/>
    <w:rsid w:val="00383151"/>
    <w:rsid w:val="003834BD"/>
    <w:rsid w:val="003839D4"/>
    <w:rsid w:val="00383C79"/>
    <w:rsid w:val="00384464"/>
    <w:rsid w:val="00384C3C"/>
    <w:rsid w:val="00384FB7"/>
    <w:rsid w:val="003867B8"/>
    <w:rsid w:val="003868A5"/>
    <w:rsid w:val="00386F77"/>
    <w:rsid w:val="00390F72"/>
    <w:rsid w:val="00391E38"/>
    <w:rsid w:val="003934E8"/>
    <w:rsid w:val="003935E8"/>
    <w:rsid w:val="003937BA"/>
    <w:rsid w:val="00394324"/>
    <w:rsid w:val="00394FAD"/>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DF7"/>
    <w:rsid w:val="003F52A0"/>
    <w:rsid w:val="003F5F3B"/>
    <w:rsid w:val="003F7462"/>
    <w:rsid w:val="00402033"/>
    <w:rsid w:val="0040298B"/>
    <w:rsid w:val="00402E13"/>
    <w:rsid w:val="004030AA"/>
    <w:rsid w:val="00403143"/>
    <w:rsid w:val="004066E2"/>
    <w:rsid w:val="004069E9"/>
    <w:rsid w:val="0040706C"/>
    <w:rsid w:val="00407354"/>
    <w:rsid w:val="00407849"/>
    <w:rsid w:val="00410327"/>
    <w:rsid w:val="004111EF"/>
    <w:rsid w:val="00411559"/>
    <w:rsid w:val="00411EFD"/>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2BD3"/>
    <w:rsid w:val="0042389D"/>
    <w:rsid w:val="004245CD"/>
    <w:rsid w:val="00424C39"/>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8BE"/>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10E"/>
    <w:rsid w:val="004B5772"/>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5FF2"/>
    <w:rsid w:val="004D6361"/>
    <w:rsid w:val="004E0E66"/>
    <w:rsid w:val="004E27A8"/>
    <w:rsid w:val="004E3C1A"/>
    <w:rsid w:val="004E4B12"/>
    <w:rsid w:val="004E4EE1"/>
    <w:rsid w:val="004E5548"/>
    <w:rsid w:val="004F01F5"/>
    <w:rsid w:val="004F0BEB"/>
    <w:rsid w:val="004F1BBB"/>
    <w:rsid w:val="004F1DCD"/>
    <w:rsid w:val="004F1F0E"/>
    <w:rsid w:val="004F3152"/>
    <w:rsid w:val="004F3D2D"/>
    <w:rsid w:val="004F41DF"/>
    <w:rsid w:val="004F4C05"/>
    <w:rsid w:val="004F4C80"/>
    <w:rsid w:val="004F5466"/>
    <w:rsid w:val="004F5B4F"/>
    <w:rsid w:val="004F5CBF"/>
    <w:rsid w:val="004F6487"/>
    <w:rsid w:val="004F6D18"/>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31F3"/>
    <w:rsid w:val="00533DE1"/>
    <w:rsid w:val="00534E1C"/>
    <w:rsid w:val="00534EDD"/>
    <w:rsid w:val="00537320"/>
    <w:rsid w:val="005373E3"/>
    <w:rsid w:val="0054006A"/>
    <w:rsid w:val="005412E6"/>
    <w:rsid w:val="00542B29"/>
    <w:rsid w:val="0054487F"/>
    <w:rsid w:val="00547AE0"/>
    <w:rsid w:val="005508E6"/>
    <w:rsid w:val="00551449"/>
    <w:rsid w:val="005516BC"/>
    <w:rsid w:val="005526B3"/>
    <w:rsid w:val="0055291B"/>
    <w:rsid w:val="005533DC"/>
    <w:rsid w:val="00554321"/>
    <w:rsid w:val="0055552D"/>
    <w:rsid w:val="00555DE7"/>
    <w:rsid w:val="00556413"/>
    <w:rsid w:val="00556A09"/>
    <w:rsid w:val="00556DBB"/>
    <w:rsid w:val="00560154"/>
    <w:rsid w:val="00560C62"/>
    <w:rsid w:val="00560C91"/>
    <w:rsid w:val="0056180D"/>
    <w:rsid w:val="0056208F"/>
    <w:rsid w:val="00562180"/>
    <w:rsid w:val="005625D2"/>
    <w:rsid w:val="0056361B"/>
    <w:rsid w:val="0056441D"/>
    <w:rsid w:val="00566A30"/>
    <w:rsid w:val="00566E39"/>
    <w:rsid w:val="00566E69"/>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7669"/>
    <w:rsid w:val="005A7B52"/>
    <w:rsid w:val="005B026B"/>
    <w:rsid w:val="005B0CFD"/>
    <w:rsid w:val="005B1811"/>
    <w:rsid w:val="005B24ED"/>
    <w:rsid w:val="005B2A3A"/>
    <w:rsid w:val="005B2E96"/>
    <w:rsid w:val="005B3B05"/>
    <w:rsid w:val="005B3DEB"/>
    <w:rsid w:val="005B434B"/>
    <w:rsid w:val="005B58C8"/>
    <w:rsid w:val="005B7218"/>
    <w:rsid w:val="005C0998"/>
    <w:rsid w:val="005C1A4A"/>
    <w:rsid w:val="005C1BE4"/>
    <w:rsid w:val="005C1CA4"/>
    <w:rsid w:val="005C2293"/>
    <w:rsid w:val="005C287B"/>
    <w:rsid w:val="005C2A44"/>
    <w:rsid w:val="005C2CAA"/>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F05AE"/>
    <w:rsid w:val="005F09A3"/>
    <w:rsid w:val="005F30A6"/>
    <w:rsid w:val="005F3197"/>
    <w:rsid w:val="005F399E"/>
    <w:rsid w:val="005F3DC5"/>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3BD"/>
    <w:rsid w:val="00611D6D"/>
    <w:rsid w:val="00612DD2"/>
    <w:rsid w:val="00613A93"/>
    <w:rsid w:val="00613AED"/>
    <w:rsid w:val="006158F7"/>
    <w:rsid w:val="00621CD2"/>
    <w:rsid w:val="00621F73"/>
    <w:rsid w:val="00622F44"/>
    <w:rsid w:val="0062376F"/>
    <w:rsid w:val="0062435D"/>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3324"/>
    <w:rsid w:val="00643BDB"/>
    <w:rsid w:val="00643F93"/>
    <w:rsid w:val="00644BFE"/>
    <w:rsid w:val="00644F6B"/>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31A0"/>
    <w:rsid w:val="00683519"/>
    <w:rsid w:val="00683B8B"/>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5C9"/>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70086E"/>
    <w:rsid w:val="00703341"/>
    <w:rsid w:val="00703693"/>
    <w:rsid w:val="00703779"/>
    <w:rsid w:val="00703CB3"/>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20A70"/>
    <w:rsid w:val="00722499"/>
    <w:rsid w:val="00722889"/>
    <w:rsid w:val="00722A02"/>
    <w:rsid w:val="00722B25"/>
    <w:rsid w:val="00722D48"/>
    <w:rsid w:val="00723129"/>
    <w:rsid w:val="00723B11"/>
    <w:rsid w:val="00724925"/>
    <w:rsid w:val="00726197"/>
    <w:rsid w:val="00727C22"/>
    <w:rsid w:val="00727D7E"/>
    <w:rsid w:val="007327A0"/>
    <w:rsid w:val="007330CC"/>
    <w:rsid w:val="00733850"/>
    <w:rsid w:val="007340FE"/>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25E7"/>
    <w:rsid w:val="007A299E"/>
    <w:rsid w:val="007A2AB7"/>
    <w:rsid w:val="007A37D9"/>
    <w:rsid w:val="007A42D3"/>
    <w:rsid w:val="007A4D5E"/>
    <w:rsid w:val="007A568D"/>
    <w:rsid w:val="007A71DE"/>
    <w:rsid w:val="007A7625"/>
    <w:rsid w:val="007A7EA0"/>
    <w:rsid w:val="007B0A9A"/>
    <w:rsid w:val="007B0B03"/>
    <w:rsid w:val="007B0C37"/>
    <w:rsid w:val="007B2974"/>
    <w:rsid w:val="007B2CF6"/>
    <w:rsid w:val="007B70DC"/>
    <w:rsid w:val="007C0477"/>
    <w:rsid w:val="007C088F"/>
    <w:rsid w:val="007C14C6"/>
    <w:rsid w:val="007C160D"/>
    <w:rsid w:val="007C1ABE"/>
    <w:rsid w:val="007C318B"/>
    <w:rsid w:val="007C454D"/>
    <w:rsid w:val="007C4846"/>
    <w:rsid w:val="007C5208"/>
    <w:rsid w:val="007C646C"/>
    <w:rsid w:val="007C69E4"/>
    <w:rsid w:val="007C7785"/>
    <w:rsid w:val="007C79BD"/>
    <w:rsid w:val="007D0513"/>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5565"/>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FDE"/>
    <w:rsid w:val="00830212"/>
    <w:rsid w:val="00831891"/>
    <w:rsid w:val="00831AEC"/>
    <w:rsid w:val="008340ED"/>
    <w:rsid w:val="008343B8"/>
    <w:rsid w:val="008345B7"/>
    <w:rsid w:val="00834A1C"/>
    <w:rsid w:val="00834FA3"/>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687B"/>
    <w:rsid w:val="00866BD5"/>
    <w:rsid w:val="00866E2F"/>
    <w:rsid w:val="00866E3C"/>
    <w:rsid w:val="00867408"/>
    <w:rsid w:val="00867534"/>
    <w:rsid w:val="0086779B"/>
    <w:rsid w:val="00870568"/>
    <w:rsid w:val="00871059"/>
    <w:rsid w:val="00871686"/>
    <w:rsid w:val="00872FC1"/>
    <w:rsid w:val="00874524"/>
    <w:rsid w:val="00875613"/>
    <w:rsid w:val="00875840"/>
    <w:rsid w:val="00876342"/>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400F"/>
    <w:rsid w:val="008D457E"/>
    <w:rsid w:val="008D4A30"/>
    <w:rsid w:val="008D5104"/>
    <w:rsid w:val="008D5226"/>
    <w:rsid w:val="008D5EE3"/>
    <w:rsid w:val="008D6753"/>
    <w:rsid w:val="008D69FD"/>
    <w:rsid w:val="008D7FA0"/>
    <w:rsid w:val="008E05EF"/>
    <w:rsid w:val="008E12D1"/>
    <w:rsid w:val="008E1594"/>
    <w:rsid w:val="008E34B1"/>
    <w:rsid w:val="008E3C16"/>
    <w:rsid w:val="008E54A5"/>
    <w:rsid w:val="008E5B1B"/>
    <w:rsid w:val="008E685A"/>
    <w:rsid w:val="008E699A"/>
    <w:rsid w:val="008E752D"/>
    <w:rsid w:val="008F2875"/>
    <w:rsid w:val="008F2C6F"/>
    <w:rsid w:val="008F3639"/>
    <w:rsid w:val="008F3B6B"/>
    <w:rsid w:val="008F3D53"/>
    <w:rsid w:val="008F44C8"/>
    <w:rsid w:val="008F5381"/>
    <w:rsid w:val="008F58BF"/>
    <w:rsid w:val="008F5944"/>
    <w:rsid w:val="008F5A7E"/>
    <w:rsid w:val="008F5E82"/>
    <w:rsid w:val="008F6256"/>
    <w:rsid w:val="008F77FA"/>
    <w:rsid w:val="00902192"/>
    <w:rsid w:val="00902E3E"/>
    <w:rsid w:val="00903C0C"/>
    <w:rsid w:val="00903E91"/>
    <w:rsid w:val="009041FE"/>
    <w:rsid w:val="00904AEC"/>
    <w:rsid w:val="00905CC1"/>
    <w:rsid w:val="009064A0"/>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902"/>
    <w:rsid w:val="009347BF"/>
    <w:rsid w:val="00935C66"/>
    <w:rsid w:val="00935DE5"/>
    <w:rsid w:val="009360FA"/>
    <w:rsid w:val="009366A5"/>
    <w:rsid w:val="00936B1A"/>
    <w:rsid w:val="00937DBA"/>
    <w:rsid w:val="00940E05"/>
    <w:rsid w:val="00941FB0"/>
    <w:rsid w:val="00942EEC"/>
    <w:rsid w:val="00943053"/>
    <w:rsid w:val="0094334C"/>
    <w:rsid w:val="0094382E"/>
    <w:rsid w:val="00944082"/>
    <w:rsid w:val="0094611F"/>
    <w:rsid w:val="0095220C"/>
    <w:rsid w:val="009528DB"/>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4FAB"/>
    <w:rsid w:val="009B58A0"/>
    <w:rsid w:val="009B6ECC"/>
    <w:rsid w:val="009B7419"/>
    <w:rsid w:val="009B7AE3"/>
    <w:rsid w:val="009C0154"/>
    <w:rsid w:val="009C06EA"/>
    <w:rsid w:val="009C0EA1"/>
    <w:rsid w:val="009C1C51"/>
    <w:rsid w:val="009C3AE0"/>
    <w:rsid w:val="009C3CDB"/>
    <w:rsid w:val="009C4020"/>
    <w:rsid w:val="009C4F6D"/>
    <w:rsid w:val="009C58C7"/>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2562"/>
    <w:rsid w:val="009F346C"/>
    <w:rsid w:val="009F4593"/>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31D6"/>
    <w:rsid w:val="00A2449B"/>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63D"/>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A2B"/>
    <w:rsid w:val="00A650B8"/>
    <w:rsid w:val="00A65242"/>
    <w:rsid w:val="00A657A9"/>
    <w:rsid w:val="00A6747D"/>
    <w:rsid w:val="00A6752E"/>
    <w:rsid w:val="00A67AC9"/>
    <w:rsid w:val="00A70C91"/>
    <w:rsid w:val="00A70DC5"/>
    <w:rsid w:val="00A716FD"/>
    <w:rsid w:val="00A7273D"/>
    <w:rsid w:val="00A744DE"/>
    <w:rsid w:val="00A74506"/>
    <w:rsid w:val="00A74602"/>
    <w:rsid w:val="00A75B3E"/>
    <w:rsid w:val="00A75BD7"/>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60B1"/>
    <w:rsid w:val="00A979BC"/>
    <w:rsid w:val="00AA0888"/>
    <w:rsid w:val="00AA0938"/>
    <w:rsid w:val="00AA0C4B"/>
    <w:rsid w:val="00AA1650"/>
    <w:rsid w:val="00AA4B49"/>
    <w:rsid w:val="00AA5F52"/>
    <w:rsid w:val="00AA6EFA"/>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EF0"/>
    <w:rsid w:val="00AD4440"/>
    <w:rsid w:val="00AD6755"/>
    <w:rsid w:val="00AD6F3F"/>
    <w:rsid w:val="00AE0485"/>
    <w:rsid w:val="00AE0D39"/>
    <w:rsid w:val="00AE2684"/>
    <w:rsid w:val="00AE3D37"/>
    <w:rsid w:val="00AE4E28"/>
    <w:rsid w:val="00AE64BA"/>
    <w:rsid w:val="00AE6D8B"/>
    <w:rsid w:val="00AF0D9A"/>
    <w:rsid w:val="00AF2A82"/>
    <w:rsid w:val="00AF3CA5"/>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10EE7"/>
    <w:rsid w:val="00B11692"/>
    <w:rsid w:val="00B13163"/>
    <w:rsid w:val="00B131DC"/>
    <w:rsid w:val="00B135B8"/>
    <w:rsid w:val="00B13D37"/>
    <w:rsid w:val="00B15850"/>
    <w:rsid w:val="00B16207"/>
    <w:rsid w:val="00B16F11"/>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19E3"/>
    <w:rsid w:val="00B51BC2"/>
    <w:rsid w:val="00B5271D"/>
    <w:rsid w:val="00B54376"/>
    <w:rsid w:val="00B5451C"/>
    <w:rsid w:val="00B55241"/>
    <w:rsid w:val="00B552B7"/>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2F1A"/>
    <w:rsid w:val="00B73ADD"/>
    <w:rsid w:val="00B73E8C"/>
    <w:rsid w:val="00B743A7"/>
    <w:rsid w:val="00B746A2"/>
    <w:rsid w:val="00B7585A"/>
    <w:rsid w:val="00B7610A"/>
    <w:rsid w:val="00B85329"/>
    <w:rsid w:val="00B87A22"/>
    <w:rsid w:val="00B90266"/>
    <w:rsid w:val="00B91BC6"/>
    <w:rsid w:val="00B92DB9"/>
    <w:rsid w:val="00B93A29"/>
    <w:rsid w:val="00B9674E"/>
    <w:rsid w:val="00B96B73"/>
    <w:rsid w:val="00BA082E"/>
    <w:rsid w:val="00BA0C07"/>
    <w:rsid w:val="00BA1446"/>
    <w:rsid w:val="00BA1839"/>
    <w:rsid w:val="00BA18DB"/>
    <w:rsid w:val="00BA1BEB"/>
    <w:rsid w:val="00BA2293"/>
    <w:rsid w:val="00BA4571"/>
    <w:rsid w:val="00BA578A"/>
    <w:rsid w:val="00BA5EB6"/>
    <w:rsid w:val="00BA61C8"/>
    <w:rsid w:val="00BA64C8"/>
    <w:rsid w:val="00BA78CD"/>
    <w:rsid w:val="00BA7929"/>
    <w:rsid w:val="00BB0178"/>
    <w:rsid w:val="00BB073C"/>
    <w:rsid w:val="00BB0C63"/>
    <w:rsid w:val="00BB126F"/>
    <w:rsid w:val="00BB3E8A"/>
    <w:rsid w:val="00BB4720"/>
    <w:rsid w:val="00BB682D"/>
    <w:rsid w:val="00BB69BF"/>
    <w:rsid w:val="00BB6AAB"/>
    <w:rsid w:val="00BB7EE3"/>
    <w:rsid w:val="00BB7F5A"/>
    <w:rsid w:val="00BC1A23"/>
    <w:rsid w:val="00BC2541"/>
    <w:rsid w:val="00BC26F0"/>
    <w:rsid w:val="00BC2E8F"/>
    <w:rsid w:val="00BC45A5"/>
    <w:rsid w:val="00BC5147"/>
    <w:rsid w:val="00BC52C8"/>
    <w:rsid w:val="00BC67BC"/>
    <w:rsid w:val="00BC6C29"/>
    <w:rsid w:val="00BC6ECC"/>
    <w:rsid w:val="00BD1CEC"/>
    <w:rsid w:val="00BD1E56"/>
    <w:rsid w:val="00BD1F1A"/>
    <w:rsid w:val="00BD2113"/>
    <w:rsid w:val="00BD28C6"/>
    <w:rsid w:val="00BD2B2D"/>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BF774D"/>
    <w:rsid w:val="00C0067E"/>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AB6"/>
    <w:rsid w:val="00C56B16"/>
    <w:rsid w:val="00C56D1D"/>
    <w:rsid w:val="00C578E9"/>
    <w:rsid w:val="00C6332F"/>
    <w:rsid w:val="00C7052A"/>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04B"/>
    <w:rsid w:val="00C842C1"/>
    <w:rsid w:val="00C84E91"/>
    <w:rsid w:val="00C85B20"/>
    <w:rsid w:val="00C873DE"/>
    <w:rsid w:val="00C876FF"/>
    <w:rsid w:val="00C90E0C"/>
    <w:rsid w:val="00C91647"/>
    <w:rsid w:val="00C91BEF"/>
    <w:rsid w:val="00C928D6"/>
    <w:rsid w:val="00C94438"/>
    <w:rsid w:val="00C956A6"/>
    <w:rsid w:val="00C95A34"/>
    <w:rsid w:val="00C96152"/>
    <w:rsid w:val="00C96619"/>
    <w:rsid w:val="00C96D93"/>
    <w:rsid w:val="00CA399C"/>
    <w:rsid w:val="00CA3B85"/>
    <w:rsid w:val="00CA3C53"/>
    <w:rsid w:val="00CA3E9C"/>
    <w:rsid w:val="00CA5440"/>
    <w:rsid w:val="00CA5B7A"/>
    <w:rsid w:val="00CA6EAB"/>
    <w:rsid w:val="00CA7711"/>
    <w:rsid w:val="00CB09E9"/>
    <w:rsid w:val="00CB0A84"/>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721E"/>
    <w:rsid w:val="00CC7512"/>
    <w:rsid w:val="00CC765E"/>
    <w:rsid w:val="00CD049C"/>
    <w:rsid w:val="00CD07DE"/>
    <w:rsid w:val="00CD3691"/>
    <w:rsid w:val="00CD3C0F"/>
    <w:rsid w:val="00CD4E2D"/>
    <w:rsid w:val="00CD505B"/>
    <w:rsid w:val="00CD509C"/>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B08"/>
    <w:rsid w:val="00CF3C39"/>
    <w:rsid w:val="00CF52D7"/>
    <w:rsid w:val="00CF5C36"/>
    <w:rsid w:val="00CF710D"/>
    <w:rsid w:val="00CF7DB1"/>
    <w:rsid w:val="00D00738"/>
    <w:rsid w:val="00D014F8"/>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210F"/>
    <w:rsid w:val="00D23720"/>
    <w:rsid w:val="00D2405A"/>
    <w:rsid w:val="00D247D9"/>
    <w:rsid w:val="00D2723C"/>
    <w:rsid w:val="00D274B2"/>
    <w:rsid w:val="00D27AB0"/>
    <w:rsid w:val="00D27DEF"/>
    <w:rsid w:val="00D27EB7"/>
    <w:rsid w:val="00D3098A"/>
    <w:rsid w:val="00D30CD5"/>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CE5"/>
    <w:rsid w:val="00D4600A"/>
    <w:rsid w:val="00D467DE"/>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2272"/>
    <w:rsid w:val="00DA2AD5"/>
    <w:rsid w:val="00DA3E6F"/>
    <w:rsid w:val="00DA4206"/>
    <w:rsid w:val="00DA45E7"/>
    <w:rsid w:val="00DA5868"/>
    <w:rsid w:val="00DA58C6"/>
    <w:rsid w:val="00DA5D47"/>
    <w:rsid w:val="00DA6419"/>
    <w:rsid w:val="00DA6A22"/>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292"/>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E2F"/>
    <w:rsid w:val="00DF2188"/>
    <w:rsid w:val="00DF4F12"/>
    <w:rsid w:val="00DF5DB9"/>
    <w:rsid w:val="00DF6F3C"/>
    <w:rsid w:val="00E00E6C"/>
    <w:rsid w:val="00E0137D"/>
    <w:rsid w:val="00E0142C"/>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4D88"/>
    <w:rsid w:val="00E84D9C"/>
    <w:rsid w:val="00E857EC"/>
    <w:rsid w:val="00E85AC0"/>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A08DB"/>
    <w:rsid w:val="00EA2AAD"/>
    <w:rsid w:val="00EA32C6"/>
    <w:rsid w:val="00EA380B"/>
    <w:rsid w:val="00EA3C46"/>
    <w:rsid w:val="00EA3D68"/>
    <w:rsid w:val="00EA661F"/>
    <w:rsid w:val="00EA6AE7"/>
    <w:rsid w:val="00EA79BD"/>
    <w:rsid w:val="00EB0C61"/>
    <w:rsid w:val="00EB2127"/>
    <w:rsid w:val="00EB2898"/>
    <w:rsid w:val="00EB4146"/>
    <w:rsid w:val="00EB5DDE"/>
    <w:rsid w:val="00EB5E14"/>
    <w:rsid w:val="00EB6C73"/>
    <w:rsid w:val="00EC07C6"/>
    <w:rsid w:val="00EC0B7F"/>
    <w:rsid w:val="00EC1FA7"/>
    <w:rsid w:val="00EC3D80"/>
    <w:rsid w:val="00EC44C4"/>
    <w:rsid w:val="00EC4F60"/>
    <w:rsid w:val="00EC75BB"/>
    <w:rsid w:val="00EC7A7D"/>
    <w:rsid w:val="00ED18B6"/>
    <w:rsid w:val="00ED20D1"/>
    <w:rsid w:val="00ED2145"/>
    <w:rsid w:val="00ED2223"/>
    <w:rsid w:val="00ED22A1"/>
    <w:rsid w:val="00ED3017"/>
    <w:rsid w:val="00ED557A"/>
    <w:rsid w:val="00ED5D98"/>
    <w:rsid w:val="00ED61C1"/>
    <w:rsid w:val="00ED6B48"/>
    <w:rsid w:val="00ED7B7B"/>
    <w:rsid w:val="00EE0937"/>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69BA"/>
    <w:rsid w:val="00EF7308"/>
    <w:rsid w:val="00EF735D"/>
    <w:rsid w:val="00EF7A65"/>
    <w:rsid w:val="00EF7D2A"/>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2004"/>
    <w:rsid w:val="00F32846"/>
    <w:rsid w:val="00F331A6"/>
    <w:rsid w:val="00F3389E"/>
    <w:rsid w:val="00F33A5B"/>
    <w:rsid w:val="00F34422"/>
    <w:rsid w:val="00F35AE7"/>
    <w:rsid w:val="00F3662D"/>
    <w:rsid w:val="00F3715E"/>
    <w:rsid w:val="00F3741C"/>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BC3"/>
    <w:rsid w:val="00F97C40"/>
    <w:rsid w:val="00FA3313"/>
    <w:rsid w:val="00FA537B"/>
    <w:rsid w:val="00FA64CD"/>
    <w:rsid w:val="00FA6F43"/>
    <w:rsid w:val="00FA71D7"/>
    <w:rsid w:val="00FA73AC"/>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267A"/>
    <w:rsid w:val="00FD2726"/>
    <w:rsid w:val="00FD2FDB"/>
    <w:rsid w:val="00FD37A1"/>
    <w:rsid w:val="00FD3A02"/>
    <w:rsid w:val="00FD5FC2"/>
    <w:rsid w:val="00FD64BB"/>
    <w:rsid w:val="00FD664E"/>
    <w:rsid w:val="00FD7114"/>
    <w:rsid w:val="00FE0712"/>
    <w:rsid w:val="00FE364D"/>
    <w:rsid w:val="00FE4B4E"/>
    <w:rsid w:val="00FE514C"/>
    <w:rsid w:val="00FE6D3C"/>
    <w:rsid w:val="00FE77D9"/>
    <w:rsid w:val="00FE7B1F"/>
    <w:rsid w:val="00FF0C9F"/>
    <w:rsid w:val="00FF287A"/>
    <w:rsid w:val="00FF29F0"/>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6"/>
              <c:layout>
                <c:manualLayout>
                  <c:x val="0.34942193201459576"/>
                  <c:y val="-4.6568627450980393E-2"/>
                </c:manualLayout>
              </c:layout>
              <c:tx>
                <c:rich>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624,064</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818396803699395"/>
                      <c:h val="8.9240389069013437E-2"/>
                    </c:manualLayout>
                  </c15:layout>
                  <c15:showDataLabelsRange val="0"/>
                </c:ext>
                <c:ext xmlns:c16="http://schemas.microsoft.com/office/drawing/2014/chart" uri="{C3380CC4-5D6E-409C-BE32-E72D297353CC}">
                  <c16:uniqueId val="{00000000-3322-4E69-8B71-5BEE1822F36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0510554737358866E-2"/>
                  <c:y val="-0.26775956284153013"/>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Sheet1!$B$65:$B$87</c:f>
              <c:numCache>
                <c:formatCode>General</c:formatCode>
                <c:ptCount val="12"/>
                <c:pt idx="0">
                  <c:v>286</c:v>
                </c:pt>
                <c:pt idx="1">
                  <c:v>380</c:v>
                </c:pt>
                <c:pt idx="2">
                  <c:v>268</c:v>
                </c:pt>
                <c:pt idx="3">
                  <c:v>173</c:v>
                </c:pt>
                <c:pt idx="4">
                  <c:v>189</c:v>
                </c:pt>
                <c:pt idx="5">
                  <c:v>158</c:v>
                </c:pt>
                <c:pt idx="6">
                  <c:v>124</c:v>
                </c:pt>
                <c:pt idx="7">
                  <c:v>195</c:v>
                </c:pt>
                <c:pt idx="8">
                  <c:v>148</c:v>
                </c:pt>
                <c:pt idx="9">
                  <c:v>163</c:v>
                </c:pt>
                <c:pt idx="10">
                  <c:v>208</c:v>
                </c:pt>
                <c:pt idx="11">
                  <c:v>194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Sheet1!$C$65:$C$87</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6065573770491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Sheet1!$D$65:$D$87</c:f>
              <c:numCache>
                <c:formatCode>0</c:formatCode>
                <c:ptCount val="12"/>
                <c:pt idx="0">
                  <c:v>4456</c:v>
                </c:pt>
                <c:pt idx="1">
                  <c:v>8115</c:v>
                </c:pt>
                <c:pt idx="2">
                  <c:v>4809</c:v>
                </c:pt>
                <c:pt idx="3">
                  <c:v>4184</c:v>
                </c:pt>
                <c:pt idx="4">
                  <c:v>3779</c:v>
                </c:pt>
                <c:pt idx="5">
                  <c:v>4128</c:v>
                </c:pt>
                <c:pt idx="6">
                  <c:v>3125</c:v>
                </c:pt>
                <c:pt idx="7">
                  <c:v>3711</c:v>
                </c:pt>
                <c:pt idx="8">
                  <c:v>3207</c:v>
                </c:pt>
                <c:pt idx="9">
                  <c:v>3864</c:v>
                </c:pt>
                <c:pt idx="10">
                  <c:v>4465</c:v>
                </c:pt>
                <c:pt idx="11">
                  <c:v>4393</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8728522336769765E-2"/>
                  <c:y val="-0.387978142076502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Sheet1!$F$65:$F$87</c:f>
              <c:numCache>
                <c:formatCode>General</c:formatCode>
                <c:ptCount val="12"/>
                <c:pt idx="0">
                  <c:v>723</c:v>
                </c:pt>
                <c:pt idx="1">
                  <c:v>1959</c:v>
                </c:pt>
                <c:pt idx="2">
                  <c:v>1063</c:v>
                </c:pt>
                <c:pt idx="3">
                  <c:v>771</c:v>
                </c:pt>
                <c:pt idx="4">
                  <c:v>766</c:v>
                </c:pt>
                <c:pt idx="5">
                  <c:v>741</c:v>
                </c:pt>
                <c:pt idx="6">
                  <c:v>568</c:v>
                </c:pt>
                <c:pt idx="7">
                  <c:v>664</c:v>
                </c:pt>
                <c:pt idx="8">
                  <c:v>607</c:v>
                </c:pt>
                <c:pt idx="9">
                  <c:v>561</c:v>
                </c:pt>
                <c:pt idx="10">
                  <c:v>647</c:v>
                </c:pt>
                <c:pt idx="11">
                  <c:v>607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Sheet1!$B$65:$B$87</c:f>
              <c:numCache>
                <c:formatCode>General</c:formatCode>
                <c:ptCount val="12"/>
                <c:pt idx="0">
                  <c:v>108</c:v>
                </c:pt>
                <c:pt idx="1">
                  <c:v>163</c:v>
                </c:pt>
                <c:pt idx="2">
                  <c:v>119</c:v>
                </c:pt>
                <c:pt idx="3">
                  <c:v>120</c:v>
                </c:pt>
                <c:pt idx="4">
                  <c:v>101</c:v>
                </c:pt>
                <c:pt idx="5">
                  <c:v>82</c:v>
                </c:pt>
                <c:pt idx="6">
                  <c:v>96</c:v>
                </c:pt>
                <c:pt idx="7">
                  <c:v>139</c:v>
                </c:pt>
                <c:pt idx="8">
                  <c:v>117</c:v>
                </c:pt>
                <c:pt idx="9">
                  <c:v>130</c:v>
                </c:pt>
                <c:pt idx="10">
                  <c:v>96</c:v>
                </c:pt>
                <c:pt idx="11">
                  <c:v>131</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Sheet1!$C$65:$C$87</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61884429262738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Sheet1!$D$65:$D$87</c:f>
              <c:numCache>
                <c:formatCode>0</c:formatCode>
                <c:ptCount val="12"/>
                <c:pt idx="0">
                  <c:v>1736</c:v>
                </c:pt>
                <c:pt idx="1">
                  <c:v>3008</c:v>
                </c:pt>
                <c:pt idx="2">
                  <c:v>2664</c:v>
                </c:pt>
                <c:pt idx="3">
                  <c:v>2462</c:v>
                </c:pt>
                <c:pt idx="4">
                  <c:v>2500</c:v>
                </c:pt>
                <c:pt idx="5">
                  <c:v>2498</c:v>
                </c:pt>
                <c:pt idx="6">
                  <c:v>2127</c:v>
                </c:pt>
                <c:pt idx="7">
                  <c:v>2664</c:v>
                </c:pt>
                <c:pt idx="8">
                  <c:v>2309</c:v>
                </c:pt>
                <c:pt idx="9">
                  <c:v>2452</c:v>
                </c:pt>
                <c:pt idx="10">
                  <c:v>2729</c:v>
                </c:pt>
                <c:pt idx="11">
                  <c:v>2715</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7.7496274217585551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Sheet1!$F$65:$F$87</c:f>
              <c:numCache>
                <c:formatCode>General</c:formatCode>
                <c:ptCount val="12"/>
                <c:pt idx="0">
                  <c:v>723</c:v>
                </c:pt>
                <c:pt idx="1">
                  <c:v>1093</c:v>
                </c:pt>
                <c:pt idx="2">
                  <c:v>942</c:v>
                </c:pt>
                <c:pt idx="3">
                  <c:v>761</c:v>
                </c:pt>
                <c:pt idx="4">
                  <c:v>753</c:v>
                </c:pt>
                <c:pt idx="5">
                  <c:v>756</c:v>
                </c:pt>
                <c:pt idx="6">
                  <c:v>618</c:v>
                </c:pt>
                <c:pt idx="7">
                  <c:v>718</c:v>
                </c:pt>
                <c:pt idx="8">
                  <c:v>532</c:v>
                </c:pt>
                <c:pt idx="9">
                  <c:v>532</c:v>
                </c:pt>
                <c:pt idx="10">
                  <c:v>496</c:v>
                </c:pt>
                <c:pt idx="11">
                  <c:v>458</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6"/>
              <c:layout>
                <c:manualLayout>
                  <c:x val="0.27480158730158732"/>
                  <c:y val="-3.0068728522336767E-2"/>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27,910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908730158730157"/>
                      <c:h val="8.2495873582812462E-2"/>
                    </c:manualLayout>
                  </c15:layout>
                  <c15:showDataLabelsRange val="0"/>
                </c:ext>
                <c:ext xmlns:c16="http://schemas.microsoft.com/office/drawing/2014/chart" uri="{C3380CC4-5D6E-409C-BE32-E72D297353CC}">
                  <c16:uniqueId val="{00000000-02AF-4B0E-8D26-67FEE6DAFA7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Sheet1!$A$153:$A$212</c:f>
              <c:numCache>
                <c:formatCode>mmm\-yy</c:formatCode>
                <c:ptCount val="55"/>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numCache>
            </c:numRef>
          </c:cat>
          <c:val>
            <c:numRef>
              <c:f>Sheet1!$B$153:$B$212</c:f>
              <c:numCache>
                <c:formatCode>#,##0_);[Red]\(#,##0\)</c:formatCode>
                <c:ptCount val="55"/>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pt idx="53">
                  <c:v>27714</c:v>
                </c:pt>
                <c:pt idx="54">
                  <c:v>27910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6"/>
              <c:layout>
                <c:manualLayout>
                  <c:x val="0.29292429490351313"/>
                  <c:y val="-3.8186157517899742E-2"/>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36,378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7642751113310243"/>
                      <c:h val="0.10599064138462405"/>
                    </c:manualLayout>
                  </c15:layout>
                  <c15:showDataLabelsRange val="0"/>
                </c:ext>
                <c:ext xmlns:c16="http://schemas.microsoft.com/office/drawing/2014/chart" uri="{C3380CC4-5D6E-409C-BE32-E72D297353CC}">
                  <c16:uniqueId val="{00000000-8733-471E-A06B-737EC61D6A9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Sheet1!$A$153:$A$212</c:f>
              <c:numCache>
                <c:formatCode>mmm\-yy</c:formatCode>
                <c:ptCount val="55"/>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numCache>
            </c:numRef>
          </c:cat>
          <c:val>
            <c:numRef>
              <c:f>Sheet1!$B$153:$B$212</c:f>
              <c:numCache>
                <c:formatCode>#,##0_);[Red]\(#,##0\)</c:formatCode>
                <c:ptCount val="55"/>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pt idx="53">
                  <c:v>36121</c:v>
                </c:pt>
                <c:pt idx="54">
                  <c:v>36378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Sheet1!$A$146:$A$212</c:f>
              <c:numCache>
                <c:formatCode>mmm\-yy</c:formatCode>
                <c:ptCount val="55"/>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numCache>
            </c:numRef>
          </c:cat>
          <c:val>
            <c:numRef>
              <c:f>Sheet1!$B$146:$B$212</c:f>
              <c:numCache>
                <c:formatCode>#,##0_);[Red]\(#,##0\)</c:formatCode>
                <c:ptCount val="55"/>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Sheet1!$B$74:$B$92</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Sheet1!$C$74:$C$92</c:f>
              <c:numCache>
                <c:formatCode>#,##0</c:formatCode>
                <c:ptCount val="12"/>
                <c:pt idx="0">
                  <c:v>6503</c:v>
                </c:pt>
                <c:pt idx="1">
                  <c:v>8016</c:v>
                </c:pt>
                <c:pt idx="2">
                  <c:v>8087</c:v>
                </c:pt>
                <c:pt idx="3">
                  <c:v>10104</c:v>
                </c:pt>
                <c:pt idx="4">
                  <c:v>10009</c:v>
                </c:pt>
                <c:pt idx="5">
                  <c:v>8189</c:v>
                </c:pt>
                <c:pt idx="6">
                  <c:v>8984</c:v>
                </c:pt>
                <c:pt idx="7">
                  <c:v>12655</c:v>
                </c:pt>
                <c:pt idx="8">
                  <c:v>11320</c:v>
                </c:pt>
                <c:pt idx="9">
                  <c:v>12627</c:v>
                </c:pt>
                <c:pt idx="10">
                  <c:v>12451</c:v>
                </c:pt>
                <c:pt idx="11">
                  <c:v>14596</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6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1432</c:v>
                </c:pt>
                <c:pt idx="1">
                  <c:v>709</c:v>
                </c:pt>
                <c:pt idx="2">
                  <c:v>1180</c:v>
                </c:pt>
                <c:pt idx="3">
                  <c:v>2471</c:v>
                </c:pt>
                <c:pt idx="4">
                  <c:v>6106</c:v>
                </c:pt>
                <c:pt idx="5">
                  <c:v>2040</c:v>
                </c:pt>
                <c:pt idx="6">
                  <c:v>156</c:v>
                </c:pt>
                <c:pt idx="7">
                  <c:v>267</c:v>
                </c:pt>
                <c:pt idx="8">
                  <c:v>235</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8.797661655929373E-2"/>
                  <c:y val="-0.23949546747832995"/>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9237613626742397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Sheet1!$B$71:$B$93</c:f>
              <c:numCache>
                <c:formatCode>#,##0</c:formatCode>
                <c:ptCount val="12"/>
                <c:pt idx="0">
                  <c:v>6160</c:v>
                </c:pt>
                <c:pt idx="1">
                  <c:v>7546</c:v>
                </c:pt>
                <c:pt idx="2">
                  <c:v>7475</c:v>
                </c:pt>
                <c:pt idx="3">
                  <c:v>8188</c:v>
                </c:pt>
                <c:pt idx="4">
                  <c:v>5862</c:v>
                </c:pt>
                <c:pt idx="5">
                  <c:v>6772</c:v>
                </c:pt>
                <c:pt idx="6">
                  <c:v>6097</c:v>
                </c:pt>
                <c:pt idx="7">
                  <c:v>5521</c:v>
                </c:pt>
                <c:pt idx="8">
                  <c:v>5283</c:v>
                </c:pt>
                <c:pt idx="9">
                  <c:v>5541</c:v>
                </c:pt>
                <c:pt idx="10">
                  <c:v>6526</c:v>
                </c:pt>
                <c:pt idx="11">
                  <c:v>8224</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0156402737047897E-2"/>
                  <c:y val="-0.1281510950837028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Sheet1!$C$71:$C$93</c:f>
              <c:numCache>
                <c:formatCode>#,##0</c:formatCode>
                <c:ptCount val="12"/>
                <c:pt idx="0">
                  <c:v>3711</c:v>
                </c:pt>
                <c:pt idx="1">
                  <c:v>4344</c:v>
                </c:pt>
                <c:pt idx="2">
                  <c:v>3970</c:v>
                </c:pt>
                <c:pt idx="3">
                  <c:v>4380</c:v>
                </c:pt>
                <c:pt idx="4">
                  <c:v>3287</c:v>
                </c:pt>
                <c:pt idx="5">
                  <c:v>3516</c:v>
                </c:pt>
                <c:pt idx="6">
                  <c:v>3318</c:v>
                </c:pt>
                <c:pt idx="7">
                  <c:v>3438</c:v>
                </c:pt>
                <c:pt idx="8">
                  <c:v>2709</c:v>
                </c:pt>
                <c:pt idx="9">
                  <c:v>3776</c:v>
                </c:pt>
                <c:pt idx="10">
                  <c:v>4716</c:v>
                </c:pt>
                <c:pt idx="11">
                  <c:v>4789</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7.9178885630498547E-2"/>
                  <c:y val="-0.1092435320584927"/>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6402737047898336E-2"/>
                      <c:h val="7.4159663865546219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Sheet1!$D$71:$D$93</c:f>
              <c:numCache>
                <c:formatCode>#,##0</c:formatCode>
                <c:ptCount val="12"/>
                <c:pt idx="0">
                  <c:v>64</c:v>
                </c:pt>
                <c:pt idx="1">
                  <c:v>59</c:v>
                </c:pt>
                <c:pt idx="2">
                  <c:v>143</c:v>
                </c:pt>
                <c:pt idx="3">
                  <c:v>355</c:v>
                </c:pt>
                <c:pt idx="4">
                  <c:v>108</c:v>
                </c:pt>
                <c:pt idx="5">
                  <c:v>108</c:v>
                </c:pt>
                <c:pt idx="6">
                  <c:v>2</c:v>
                </c:pt>
                <c:pt idx="7">
                  <c:v>9</c:v>
                </c:pt>
                <c:pt idx="8">
                  <c:v>29</c:v>
                </c:pt>
                <c:pt idx="9">
                  <c:v>18</c:v>
                </c:pt>
                <c:pt idx="10">
                  <c:v>423</c:v>
                </c:pt>
                <c:pt idx="11">
                  <c:v>2735</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7048914146539476"/>
                  <c:y val="-9.5837477038995686E-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Sheet1!$A$74:$A$96</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Sheet1!$B$74:$B$96</c:f>
              <c:numCache>
                <c:formatCode>h:mm:ss</c:formatCode>
                <c:ptCount val="12"/>
                <c:pt idx="0">
                  <c:v>3.3333333333333335E-3</c:v>
                </c:pt>
                <c:pt idx="1">
                  <c:v>3.2407407407407406E-3</c:v>
                </c:pt>
                <c:pt idx="2">
                  <c:v>3.5648148148148154E-3</c:v>
                </c:pt>
                <c:pt idx="3">
                  <c:v>4.1898148148148146E-3</c:v>
                </c:pt>
                <c:pt idx="4">
                  <c:v>3.9236111111111112E-3</c:v>
                </c:pt>
                <c:pt idx="5">
                  <c:v>4.0046296296296297E-3</c:v>
                </c:pt>
                <c:pt idx="6">
                  <c:v>3.3217592592592591E-3</c:v>
                </c:pt>
                <c:pt idx="7">
                  <c:v>2.7314814814814819E-3</c:v>
                </c:pt>
                <c:pt idx="8">
                  <c:v>2.1296296296296298E-3</c:v>
                </c:pt>
                <c:pt idx="9">
                  <c:v>4.4675925925925933E-3</c:v>
                </c:pt>
                <c:pt idx="10">
                  <c:v>1.0219907407407408E-2</c:v>
                </c:pt>
                <c:pt idx="11">
                  <c:v>1.2256944444444444E-2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6"/>
              <c:layout>
                <c:manualLayout>
                  <c:x val="0.17804154302670624"/>
                  <c:y val="-0.22113821138211381"/>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BF6-4F88-8AE3-2D02B0259FE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pt idx="5">
                  <c:v>9.4</c:v>
                </c:pt>
                <c:pt idx="6">
                  <c:v>9.1999999999999993</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6"/>
              <c:layout>
                <c:manualLayout>
                  <c:x val="-1.9563728846718901E-3"/>
                  <c:y val="-0.3510392609699769"/>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7AB-4BEB-9121-62DD3F976D0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pt idx="6">
                  <c:v>0.17030000000000001</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Sheet1!$B$65:$B$87</c:f>
              <c:numCache>
                <c:formatCode>#,##0</c:formatCode>
                <c:ptCount val="12"/>
                <c:pt idx="0">
                  <c:v>100</c:v>
                </c:pt>
                <c:pt idx="1">
                  <c:v>103</c:v>
                </c:pt>
                <c:pt idx="2">
                  <c:v>102</c:v>
                </c:pt>
                <c:pt idx="3">
                  <c:v>113</c:v>
                </c:pt>
                <c:pt idx="4">
                  <c:v>122</c:v>
                </c:pt>
                <c:pt idx="5">
                  <c:v>124</c:v>
                </c:pt>
                <c:pt idx="6">
                  <c:v>98</c:v>
                </c:pt>
                <c:pt idx="7">
                  <c:v>154</c:v>
                </c:pt>
                <c:pt idx="8">
                  <c:v>122</c:v>
                </c:pt>
                <c:pt idx="9">
                  <c:v>126</c:v>
                </c:pt>
                <c:pt idx="10">
                  <c:v>177</c:v>
                </c:pt>
                <c:pt idx="11">
                  <c:v>194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Sheet1!$C$65:$C$87</c:f>
              <c:numCache>
                <c:formatCode>#,##0</c:formatCode>
                <c:ptCount val="12"/>
                <c:pt idx="0">
                  <c:v>72</c:v>
                </c:pt>
                <c:pt idx="1">
                  <c:v>53</c:v>
                </c:pt>
                <c:pt idx="2">
                  <c:v>84</c:v>
                </c:pt>
                <c:pt idx="3">
                  <c:v>85</c:v>
                </c:pt>
                <c:pt idx="4">
                  <c:v>76</c:v>
                </c:pt>
                <c:pt idx="5">
                  <c:v>69</c:v>
                </c:pt>
                <c:pt idx="6">
                  <c:v>68</c:v>
                </c:pt>
                <c:pt idx="7">
                  <c:v>76</c:v>
                </c:pt>
                <c:pt idx="8">
                  <c:v>54</c:v>
                </c:pt>
                <c:pt idx="9">
                  <c:v>59</c:v>
                </c:pt>
                <c:pt idx="10">
                  <c:v>72</c:v>
                </c:pt>
                <c:pt idx="11">
                  <c:v>80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Sheet1!$D$65:$D$87</c:f>
              <c:numCache>
                <c:formatCode>#,##0</c:formatCode>
                <c:ptCount val="12"/>
                <c:pt idx="0">
                  <c:v>469</c:v>
                </c:pt>
                <c:pt idx="1">
                  <c:v>546</c:v>
                </c:pt>
                <c:pt idx="2">
                  <c:v>559</c:v>
                </c:pt>
                <c:pt idx="3">
                  <c:v>685</c:v>
                </c:pt>
                <c:pt idx="4">
                  <c:v>585</c:v>
                </c:pt>
                <c:pt idx="5">
                  <c:v>549</c:v>
                </c:pt>
                <c:pt idx="6">
                  <c:v>377</c:v>
                </c:pt>
                <c:pt idx="7">
                  <c:v>521</c:v>
                </c:pt>
                <c:pt idx="8">
                  <c:v>464</c:v>
                </c:pt>
                <c:pt idx="9">
                  <c:v>442</c:v>
                </c:pt>
                <c:pt idx="10">
                  <c:v>480</c:v>
                </c:pt>
                <c:pt idx="11">
                  <c:v>484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28003875968992253"/>
                  <c:y val="-0.58972911963882624"/>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Sheet1!$E$65:$E$87</c:f>
              <c:numCache>
                <c:formatCode>#,##0</c:formatCode>
                <c:ptCount val="12"/>
                <c:pt idx="0">
                  <c:v>513</c:v>
                </c:pt>
                <c:pt idx="1">
                  <c:v>538</c:v>
                </c:pt>
                <c:pt idx="2">
                  <c:v>595</c:v>
                </c:pt>
                <c:pt idx="3">
                  <c:v>724</c:v>
                </c:pt>
                <c:pt idx="4">
                  <c:v>589</c:v>
                </c:pt>
                <c:pt idx="5">
                  <c:v>591</c:v>
                </c:pt>
                <c:pt idx="6">
                  <c:v>591</c:v>
                </c:pt>
                <c:pt idx="7">
                  <c:v>706</c:v>
                </c:pt>
                <c:pt idx="8">
                  <c:v>613</c:v>
                </c:pt>
                <c:pt idx="9">
                  <c:v>527</c:v>
                </c:pt>
                <c:pt idx="10">
                  <c:v>670</c:v>
                </c:pt>
                <c:pt idx="11">
                  <c:v>741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0077519379844961"/>
                  <c:y val="-0.389390519187358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702421717634133"/>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Sheet1!$F$65:$F$87</c:f>
              <c:numCache>
                <c:formatCode>#,##0</c:formatCode>
                <c:ptCount val="12"/>
                <c:pt idx="0">
                  <c:v>21688</c:v>
                </c:pt>
                <c:pt idx="1">
                  <c:v>26686</c:v>
                </c:pt>
                <c:pt idx="2">
                  <c:v>26365</c:v>
                </c:pt>
                <c:pt idx="3">
                  <c:v>26800</c:v>
                </c:pt>
                <c:pt idx="4">
                  <c:v>21196</c:v>
                </c:pt>
                <c:pt idx="5">
                  <c:v>25135</c:v>
                </c:pt>
                <c:pt idx="6">
                  <c:v>20487</c:v>
                </c:pt>
                <c:pt idx="7">
                  <c:v>22410</c:v>
                </c:pt>
                <c:pt idx="8">
                  <c:v>17754</c:v>
                </c:pt>
                <c:pt idx="9">
                  <c:v>19301</c:v>
                </c:pt>
                <c:pt idx="10">
                  <c:v>23431</c:v>
                </c:pt>
                <c:pt idx="11">
                  <c:v>24221</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1.9027345419031924E-3"/>
                  <c:y val="-0.19881134355948171"/>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Sheet1!$G$65:$G$87</c:f>
              <c:numCache>
                <c:formatCode>#,##0</c:formatCode>
                <c:ptCount val="12"/>
                <c:pt idx="0">
                  <c:v>4896</c:v>
                </c:pt>
                <c:pt idx="1">
                  <c:v>6345</c:v>
                </c:pt>
                <c:pt idx="2">
                  <c:v>5718</c:v>
                </c:pt>
                <c:pt idx="3">
                  <c:v>5520</c:v>
                </c:pt>
                <c:pt idx="4">
                  <c:v>5129</c:v>
                </c:pt>
                <c:pt idx="5">
                  <c:v>5512</c:v>
                </c:pt>
                <c:pt idx="6">
                  <c:v>4702</c:v>
                </c:pt>
                <c:pt idx="7">
                  <c:v>5544</c:v>
                </c:pt>
                <c:pt idx="8">
                  <c:v>4652</c:v>
                </c:pt>
                <c:pt idx="9">
                  <c:v>4587</c:v>
                </c:pt>
                <c:pt idx="10">
                  <c:v>4878</c:v>
                </c:pt>
                <c:pt idx="11">
                  <c:v>3666</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D21C11FD-F893-4E20-B0BE-682B92BD8D9D}">
  <ds:schemaRefs>
    <ds:schemaRef ds:uri="http://purl.org/dc/elements/1.1/"/>
    <ds:schemaRef ds:uri="http://schemas.microsoft.com/office/2006/metadata/properties"/>
    <ds:schemaRef ds:uri="7cdb7e35-829b-4b43-b10b-15bdaaea92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2976aa-e7d9-498e-b08a-d3d9e47e4056"/>
    <ds:schemaRef ds:uri="http://www.w3.org/XML/1998/namespace"/>
    <ds:schemaRef ds:uri="http://purl.org/dc/dcmitype/"/>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Jenkins</cp:lastModifiedBy>
  <cp:revision>38</cp:revision>
  <cp:lastPrinted>2022-08-03T22:16:00Z</cp:lastPrinted>
  <dcterms:created xsi:type="dcterms:W3CDTF">2022-08-19T20:43:00Z</dcterms:created>
  <dcterms:modified xsi:type="dcterms:W3CDTF">2022-08-22T21:37:00Z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