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Pr="00254E34" w:rsidRDefault="009B4F17" w:rsidP="009B4F17">
      <w:pPr>
        <w:pStyle w:val="Title"/>
        <w:rPr>
          <w:rFonts w:asciiTheme="minorHAnsi" w:hAnsiTheme="minorHAnsi" w:cstheme="minorHAnsi"/>
          <w:color w:val="FF0000"/>
        </w:rPr>
      </w:pPr>
      <w:r w:rsidRPr="00254E34">
        <w:rPr>
          <w:rFonts w:asciiTheme="minorHAnsi" w:hAnsiTheme="minorHAnsi" w:cstheme="minorHAnsi"/>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6F7AB8A9" w:rsidR="009B4F17" w:rsidRPr="00254E34" w:rsidRDefault="00D0292D" w:rsidP="00AF2F7D">
      <w:pPr>
        <w:pStyle w:val="Heading1"/>
        <w:spacing w:after="0"/>
        <w:jc w:val="center"/>
        <w:rPr>
          <w:rFonts w:asciiTheme="minorHAnsi" w:hAnsiTheme="minorHAnsi" w:cstheme="minorHAnsi"/>
          <w:color w:val="002060"/>
        </w:rPr>
      </w:pPr>
      <w:bookmarkStart w:id="0" w:name="_Toc197680215"/>
      <w:r w:rsidRPr="00254E34">
        <w:rPr>
          <w:rFonts w:asciiTheme="minorHAnsi" w:hAnsiTheme="minorHAnsi" w:cstheme="minorHAnsi"/>
          <w:color w:val="002060"/>
          <w:sz w:val="52"/>
          <w:szCs w:val="52"/>
        </w:rPr>
        <w:t>Community Behavioral Health Center (CBHC) Incentive Program Performance Years 2-5 Implementation Plan</w:t>
      </w:r>
      <w:bookmarkEnd w:id="0"/>
    </w:p>
    <w:p w14:paraId="3384B27E" w14:textId="5C2E1FA0" w:rsidR="002238A4" w:rsidRPr="00254E34" w:rsidRDefault="009B4F17" w:rsidP="001E2E74">
      <w:pPr>
        <w:pStyle w:val="MHSummaryHeadline"/>
        <w:spacing w:before="500"/>
        <w:jc w:val="center"/>
        <w:rPr>
          <w:rFonts w:asciiTheme="minorHAnsi" w:hAnsiTheme="minorHAnsi" w:cstheme="minorHAnsi"/>
          <w:sz w:val="34"/>
          <w:szCs w:val="34"/>
        </w:rPr>
      </w:pPr>
      <w:r w:rsidRPr="00254E34">
        <w:rPr>
          <w:rFonts w:asciiTheme="minorHAnsi" w:hAnsiTheme="minorHAnsi" w:cstheme="minorHAnsi"/>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svg="http://schemas.microsoft.com/office/drawing/2016/SVG/main" xmlns:adec="http://schemas.microsoft.com/office/drawing/2017/decorative" xmlns:arto="http://schemas.microsoft.com/office/word/2006/arto">
            <w:pict>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236D2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001E2E74" w:rsidRPr="00254E34">
        <w:rPr>
          <w:rFonts w:asciiTheme="minorHAnsi" w:hAnsiTheme="minorHAnsi" w:cstheme="minorHAnsi"/>
          <w:sz w:val="34"/>
          <w:szCs w:val="34"/>
        </w:rPr>
        <w:t>Performance Year</w:t>
      </w:r>
      <w:r w:rsidR="00D0292D" w:rsidRPr="00254E34">
        <w:rPr>
          <w:rFonts w:asciiTheme="minorHAnsi" w:hAnsiTheme="minorHAnsi" w:cstheme="minorHAnsi"/>
          <w:sz w:val="34"/>
          <w:szCs w:val="34"/>
        </w:rPr>
        <w:t>s</w:t>
      </w:r>
      <w:r w:rsidR="00EC4628" w:rsidRPr="00254E34">
        <w:rPr>
          <w:rFonts w:asciiTheme="minorHAnsi" w:hAnsiTheme="minorHAnsi" w:cstheme="minorHAnsi"/>
          <w:sz w:val="34"/>
          <w:szCs w:val="34"/>
        </w:rPr>
        <w:t xml:space="preserve"> (PY)</w:t>
      </w:r>
      <w:r w:rsidR="00D0292D" w:rsidRPr="00254E34">
        <w:rPr>
          <w:rFonts w:asciiTheme="minorHAnsi" w:hAnsiTheme="minorHAnsi" w:cstheme="minorHAnsi"/>
          <w:sz w:val="34"/>
          <w:szCs w:val="34"/>
        </w:rPr>
        <w:t xml:space="preserve"> 2-5 </w:t>
      </w:r>
      <w:r w:rsidR="001E2E74" w:rsidRPr="00254E34">
        <w:rPr>
          <w:rFonts w:asciiTheme="minorHAnsi" w:hAnsiTheme="minorHAnsi" w:cstheme="minorHAnsi"/>
          <w:sz w:val="34"/>
          <w:szCs w:val="34"/>
        </w:rPr>
        <w:t>(Calendar Year</w:t>
      </w:r>
      <w:r w:rsidR="00D0292D" w:rsidRPr="00254E34">
        <w:rPr>
          <w:rFonts w:asciiTheme="minorHAnsi" w:hAnsiTheme="minorHAnsi" w:cstheme="minorHAnsi"/>
          <w:sz w:val="34"/>
          <w:szCs w:val="34"/>
        </w:rPr>
        <w:t>s</w:t>
      </w:r>
      <w:r w:rsidR="001E2E74" w:rsidRPr="00254E34">
        <w:rPr>
          <w:rFonts w:asciiTheme="minorHAnsi" w:hAnsiTheme="minorHAnsi" w:cstheme="minorHAnsi"/>
          <w:sz w:val="34"/>
          <w:szCs w:val="34"/>
        </w:rPr>
        <w:t xml:space="preserve"> </w:t>
      </w:r>
      <w:r w:rsidR="00D0292D" w:rsidRPr="00254E34">
        <w:rPr>
          <w:rFonts w:asciiTheme="minorHAnsi" w:hAnsiTheme="minorHAnsi" w:cstheme="minorHAnsi"/>
          <w:sz w:val="34"/>
          <w:szCs w:val="34"/>
        </w:rPr>
        <w:t>2025 - 2028</w:t>
      </w:r>
      <w:r w:rsidR="001E2E74" w:rsidRPr="00254E34">
        <w:rPr>
          <w:rFonts w:asciiTheme="minorHAnsi" w:hAnsiTheme="minorHAnsi" w:cstheme="minorHAnsi"/>
          <w:sz w:val="34"/>
          <w:szCs w:val="34"/>
        </w:rPr>
        <w:t>)</w:t>
      </w:r>
    </w:p>
    <w:p w14:paraId="284E37D0" w14:textId="619DE2E4" w:rsidR="001E2E74" w:rsidRPr="00254E34" w:rsidRDefault="00D0292D" w:rsidP="001E2E74">
      <w:pPr>
        <w:pStyle w:val="MHSummaryHeadline"/>
        <w:spacing w:before="500"/>
        <w:jc w:val="center"/>
        <w:rPr>
          <w:rFonts w:asciiTheme="minorHAnsi" w:hAnsiTheme="minorHAnsi" w:cstheme="minorHAnsi"/>
          <w:sz w:val="34"/>
          <w:szCs w:val="34"/>
        </w:rPr>
      </w:pPr>
      <w:r w:rsidRPr="00254E34">
        <w:rPr>
          <w:rFonts w:asciiTheme="minorHAnsi" w:hAnsiTheme="minorHAnsi" w:cstheme="minorHAnsi"/>
          <w:sz w:val="34"/>
          <w:szCs w:val="34"/>
        </w:rPr>
        <w:t>CBHC Incentive Program: Clinical Quality Incentive</w:t>
      </w:r>
      <w:r w:rsidR="004433E2" w:rsidRPr="00254E34">
        <w:rPr>
          <w:rFonts w:asciiTheme="minorHAnsi" w:hAnsiTheme="minorHAnsi" w:cstheme="minorHAnsi"/>
          <w:sz w:val="34"/>
          <w:szCs w:val="34"/>
        </w:rPr>
        <w:t xml:space="preserve"> (CQI) and Quality and Equity Incentive Program (QEIP)</w:t>
      </w:r>
    </w:p>
    <w:p w14:paraId="5FEDD8E9" w14:textId="77777777" w:rsidR="002238A4" w:rsidRPr="00254E34" w:rsidDel="00995D9F" w:rsidRDefault="002238A4" w:rsidP="009D3A5F">
      <w:pPr>
        <w:pStyle w:val="MHSummaryHeadline"/>
        <w:spacing w:before="500"/>
        <w:rPr>
          <w:rFonts w:asciiTheme="minorHAnsi" w:hAnsiTheme="minorHAnsi" w:cstheme="minorHAnsi"/>
        </w:rPr>
      </w:pPr>
    </w:p>
    <w:p w14:paraId="59750F7C" w14:textId="77777777" w:rsidR="00C41257" w:rsidRPr="00254E34" w:rsidRDefault="00C41257" w:rsidP="009D3A5F">
      <w:pPr>
        <w:pStyle w:val="MHSummaryHeadline"/>
        <w:spacing w:before="500"/>
        <w:rPr>
          <w:rFonts w:asciiTheme="minorHAnsi" w:hAnsiTheme="minorHAnsi" w:cstheme="minorHAnsi"/>
        </w:rPr>
      </w:pPr>
    </w:p>
    <w:p w14:paraId="79FDB23A" w14:textId="77777777" w:rsidR="00C41257" w:rsidRPr="00254E34" w:rsidRDefault="00C41257" w:rsidP="009D3A5F">
      <w:pPr>
        <w:pStyle w:val="MHSummaryHeadline"/>
        <w:spacing w:before="500"/>
        <w:rPr>
          <w:rFonts w:asciiTheme="minorHAnsi" w:hAnsiTheme="minorHAnsi" w:cstheme="minorHAnsi"/>
        </w:rPr>
      </w:pPr>
    </w:p>
    <w:p w14:paraId="0E380E67" w14:textId="77777777" w:rsidR="00C41257" w:rsidRPr="00254E34" w:rsidRDefault="00C41257" w:rsidP="009D3A5F">
      <w:pPr>
        <w:pStyle w:val="MHSummaryHeadline"/>
        <w:spacing w:before="500"/>
        <w:rPr>
          <w:rFonts w:asciiTheme="minorHAnsi" w:hAnsiTheme="minorHAnsi" w:cstheme="minorHAnsi"/>
        </w:rPr>
      </w:pPr>
    </w:p>
    <w:p w14:paraId="548E7FB6" w14:textId="77777777" w:rsidR="001E035B" w:rsidRPr="00254E34" w:rsidRDefault="001E035B" w:rsidP="009D3A5F">
      <w:pPr>
        <w:pStyle w:val="MHSummaryHeadline"/>
        <w:spacing w:before="500"/>
        <w:rPr>
          <w:rFonts w:asciiTheme="minorHAnsi" w:hAnsiTheme="minorHAnsi" w:cstheme="minorHAnsi"/>
        </w:rPr>
      </w:pPr>
    </w:p>
    <w:p w14:paraId="485967C7" w14:textId="77777777" w:rsidR="001E035B" w:rsidRPr="00254E34" w:rsidRDefault="001E035B" w:rsidP="009D3A5F">
      <w:pPr>
        <w:pStyle w:val="MHSummaryHeadline"/>
        <w:spacing w:before="500"/>
        <w:rPr>
          <w:rFonts w:asciiTheme="minorHAnsi" w:hAnsiTheme="minorHAnsi" w:cstheme="minorHAnsi"/>
        </w:rPr>
      </w:pPr>
    </w:p>
    <w:p w14:paraId="202B5699" w14:textId="77777777" w:rsidR="00C41257" w:rsidRPr="00254E34" w:rsidRDefault="00C41257" w:rsidP="009D3A5F">
      <w:pPr>
        <w:pStyle w:val="MHSummaryHeadline"/>
        <w:spacing w:before="500"/>
        <w:rPr>
          <w:rFonts w:asciiTheme="minorHAnsi" w:hAnsiTheme="minorHAnsi" w:cstheme="minorHAnsi"/>
        </w:rPr>
      </w:pPr>
    </w:p>
    <w:sdt>
      <w:sdtPr>
        <w:rPr>
          <w:rFonts w:asciiTheme="minorHAnsi" w:eastAsiaTheme="minorEastAsia" w:hAnsiTheme="minorHAnsi" w:cstheme="minorBidi"/>
          <w:color w:val="auto"/>
          <w:sz w:val="22"/>
          <w:szCs w:val="22"/>
        </w:rPr>
        <w:id w:val="-118457066"/>
        <w:docPartObj>
          <w:docPartGallery w:val="Table of Contents"/>
          <w:docPartUnique/>
        </w:docPartObj>
      </w:sdtPr>
      <w:sdtEndPr>
        <w:rPr>
          <w:b/>
          <w:bCs/>
        </w:rPr>
      </w:sdtEndPr>
      <w:sdtContent>
        <w:p w14:paraId="361317F4" w14:textId="461D5FD0" w:rsidR="00930634" w:rsidRPr="00254E34" w:rsidRDefault="00930634">
          <w:pPr>
            <w:pStyle w:val="TOCHeading"/>
            <w:rPr>
              <w:rFonts w:asciiTheme="minorHAnsi" w:hAnsiTheme="minorHAnsi" w:cstheme="minorHAnsi"/>
            </w:rPr>
          </w:pPr>
          <w:r w:rsidRPr="00254E34">
            <w:rPr>
              <w:rFonts w:asciiTheme="minorHAnsi" w:hAnsiTheme="minorHAnsi" w:cstheme="minorHAnsi"/>
            </w:rPr>
            <w:t>Contents</w:t>
          </w:r>
        </w:p>
        <w:p w14:paraId="0664C24D" w14:textId="14CA47E5" w:rsidR="006F71A1" w:rsidRDefault="00930634">
          <w:pPr>
            <w:pStyle w:val="TOC1"/>
            <w:tabs>
              <w:tab w:val="right" w:leader="dot" w:pos="10070"/>
            </w:tabs>
            <w:rPr>
              <w:noProof/>
              <w:kern w:val="2"/>
              <w:sz w:val="24"/>
              <w:szCs w:val="24"/>
              <w14:ligatures w14:val="standardContextual"/>
            </w:rPr>
          </w:pPr>
          <w:r w:rsidRPr="00254E34">
            <w:rPr>
              <w:rFonts w:cstheme="minorHAnsi"/>
            </w:rPr>
            <w:fldChar w:fldCharType="begin"/>
          </w:r>
          <w:r w:rsidRPr="00254E34">
            <w:rPr>
              <w:rFonts w:cstheme="minorHAnsi"/>
            </w:rPr>
            <w:instrText xml:space="preserve"> TOC \o "1-3" \h \z \u </w:instrText>
          </w:r>
          <w:r w:rsidRPr="00254E34">
            <w:rPr>
              <w:rFonts w:cstheme="minorHAnsi"/>
            </w:rPr>
            <w:fldChar w:fldCharType="separate"/>
          </w:r>
          <w:hyperlink w:anchor="_Toc197680215" w:history="1">
            <w:r w:rsidR="006F71A1" w:rsidRPr="00EF5C58">
              <w:rPr>
                <w:rStyle w:val="Hyperlink"/>
                <w:rFonts w:cstheme="minorHAnsi"/>
                <w:noProof/>
              </w:rPr>
              <w:t>Community Behavioral Health Center (CBHC) Incentive Program Performance Years 2-5 Implementation Plan</w:t>
            </w:r>
            <w:r w:rsidR="006F71A1">
              <w:rPr>
                <w:noProof/>
                <w:webHidden/>
              </w:rPr>
              <w:tab/>
            </w:r>
            <w:r w:rsidR="006F71A1">
              <w:rPr>
                <w:noProof/>
                <w:webHidden/>
              </w:rPr>
              <w:fldChar w:fldCharType="begin"/>
            </w:r>
            <w:r w:rsidR="006F71A1">
              <w:rPr>
                <w:noProof/>
                <w:webHidden/>
              </w:rPr>
              <w:instrText xml:space="preserve"> PAGEREF _Toc197680215 \h </w:instrText>
            </w:r>
            <w:r w:rsidR="006F71A1">
              <w:rPr>
                <w:noProof/>
                <w:webHidden/>
              </w:rPr>
            </w:r>
            <w:r w:rsidR="006F71A1">
              <w:rPr>
                <w:noProof/>
                <w:webHidden/>
              </w:rPr>
              <w:fldChar w:fldCharType="separate"/>
            </w:r>
            <w:r w:rsidR="005E3718">
              <w:rPr>
                <w:noProof/>
                <w:webHidden/>
              </w:rPr>
              <w:t>1</w:t>
            </w:r>
            <w:r w:rsidR="006F71A1">
              <w:rPr>
                <w:noProof/>
                <w:webHidden/>
              </w:rPr>
              <w:fldChar w:fldCharType="end"/>
            </w:r>
          </w:hyperlink>
        </w:p>
        <w:p w14:paraId="627EAE15" w14:textId="4D83BB3C" w:rsidR="006F71A1" w:rsidRDefault="006F71A1">
          <w:pPr>
            <w:pStyle w:val="TOC1"/>
            <w:tabs>
              <w:tab w:val="right" w:leader="dot" w:pos="10070"/>
            </w:tabs>
            <w:rPr>
              <w:noProof/>
              <w:kern w:val="2"/>
              <w:sz w:val="24"/>
              <w:szCs w:val="24"/>
              <w14:ligatures w14:val="standardContextual"/>
            </w:rPr>
          </w:pPr>
          <w:hyperlink w:anchor="_Toc197680216" w:history="1">
            <w:r w:rsidRPr="00EF5C58">
              <w:rPr>
                <w:rStyle w:val="Hyperlink"/>
                <w:noProof/>
              </w:rPr>
              <w:t>Section 1. Overview and Scope of the Community Behavioral Health Centers (CBHC) Incentive Program</w:t>
            </w:r>
            <w:r>
              <w:rPr>
                <w:noProof/>
                <w:webHidden/>
              </w:rPr>
              <w:tab/>
            </w:r>
            <w:r>
              <w:rPr>
                <w:noProof/>
                <w:webHidden/>
              </w:rPr>
              <w:fldChar w:fldCharType="begin"/>
            </w:r>
            <w:r>
              <w:rPr>
                <w:noProof/>
                <w:webHidden/>
              </w:rPr>
              <w:instrText xml:space="preserve"> PAGEREF _Toc197680216 \h </w:instrText>
            </w:r>
            <w:r>
              <w:rPr>
                <w:noProof/>
                <w:webHidden/>
              </w:rPr>
            </w:r>
            <w:r>
              <w:rPr>
                <w:noProof/>
                <w:webHidden/>
              </w:rPr>
              <w:fldChar w:fldCharType="separate"/>
            </w:r>
            <w:r w:rsidR="005E3718">
              <w:rPr>
                <w:noProof/>
                <w:webHidden/>
              </w:rPr>
              <w:t>4</w:t>
            </w:r>
            <w:r>
              <w:rPr>
                <w:noProof/>
                <w:webHidden/>
              </w:rPr>
              <w:fldChar w:fldCharType="end"/>
            </w:r>
          </w:hyperlink>
        </w:p>
        <w:p w14:paraId="30E9389E" w14:textId="54471832" w:rsidR="006F71A1" w:rsidRDefault="006F71A1">
          <w:pPr>
            <w:pStyle w:val="TOC2"/>
            <w:tabs>
              <w:tab w:val="right" w:leader="dot" w:pos="10070"/>
            </w:tabs>
            <w:rPr>
              <w:noProof/>
              <w:kern w:val="2"/>
              <w:sz w:val="24"/>
              <w:szCs w:val="24"/>
              <w14:ligatures w14:val="standardContextual"/>
            </w:rPr>
          </w:pPr>
          <w:hyperlink w:anchor="_Toc197680217" w:history="1">
            <w:r w:rsidRPr="00EF5C58">
              <w:rPr>
                <w:rStyle w:val="Hyperlink"/>
                <w:noProof/>
              </w:rPr>
              <w:t>1.1 Overview of the CBHC Incentive Program</w:t>
            </w:r>
            <w:r>
              <w:rPr>
                <w:noProof/>
                <w:webHidden/>
              </w:rPr>
              <w:tab/>
            </w:r>
            <w:r>
              <w:rPr>
                <w:noProof/>
                <w:webHidden/>
              </w:rPr>
              <w:fldChar w:fldCharType="begin"/>
            </w:r>
            <w:r>
              <w:rPr>
                <w:noProof/>
                <w:webHidden/>
              </w:rPr>
              <w:instrText xml:space="preserve"> PAGEREF _Toc197680217 \h </w:instrText>
            </w:r>
            <w:r>
              <w:rPr>
                <w:noProof/>
                <w:webHidden/>
              </w:rPr>
            </w:r>
            <w:r>
              <w:rPr>
                <w:noProof/>
                <w:webHidden/>
              </w:rPr>
              <w:fldChar w:fldCharType="separate"/>
            </w:r>
            <w:r w:rsidR="005E3718">
              <w:rPr>
                <w:noProof/>
                <w:webHidden/>
              </w:rPr>
              <w:t>4</w:t>
            </w:r>
            <w:r>
              <w:rPr>
                <w:noProof/>
                <w:webHidden/>
              </w:rPr>
              <w:fldChar w:fldCharType="end"/>
            </w:r>
          </w:hyperlink>
        </w:p>
        <w:p w14:paraId="7E2DC8D5" w14:textId="05E5953B" w:rsidR="006F71A1" w:rsidRDefault="006F71A1">
          <w:pPr>
            <w:pStyle w:val="TOC2"/>
            <w:tabs>
              <w:tab w:val="right" w:leader="dot" w:pos="10070"/>
            </w:tabs>
            <w:rPr>
              <w:noProof/>
              <w:kern w:val="2"/>
              <w:sz w:val="24"/>
              <w:szCs w:val="24"/>
              <w14:ligatures w14:val="standardContextual"/>
            </w:rPr>
          </w:pPr>
          <w:hyperlink w:anchor="_Toc197680218" w:history="1">
            <w:r w:rsidRPr="00EF5C58">
              <w:rPr>
                <w:rStyle w:val="Hyperlink"/>
                <w:noProof/>
              </w:rPr>
              <w:t>1.2 Scope of this CBHC Incentive Program PY 2-5 Implementation Plan</w:t>
            </w:r>
            <w:r>
              <w:rPr>
                <w:noProof/>
                <w:webHidden/>
              </w:rPr>
              <w:tab/>
            </w:r>
            <w:r>
              <w:rPr>
                <w:noProof/>
                <w:webHidden/>
              </w:rPr>
              <w:fldChar w:fldCharType="begin"/>
            </w:r>
            <w:r>
              <w:rPr>
                <w:noProof/>
                <w:webHidden/>
              </w:rPr>
              <w:instrText xml:space="preserve"> PAGEREF _Toc197680218 \h </w:instrText>
            </w:r>
            <w:r>
              <w:rPr>
                <w:noProof/>
                <w:webHidden/>
              </w:rPr>
            </w:r>
            <w:r>
              <w:rPr>
                <w:noProof/>
                <w:webHidden/>
              </w:rPr>
              <w:fldChar w:fldCharType="separate"/>
            </w:r>
            <w:r w:rsidR="005E3718">
              <w:rPr>
                <w:noProof/>
                <w:webHidden/>
              </w:rPr>
              <w:t>4</w:t>
            </w:r>
            <w:r>
              <w:rPr>
                <w:noProof/>
                <w:webHidden/>
              </w:rPr>
              <w:fldChar w:fldCharType="end"/>
            </w:r>
          </w:hyperlink>
        </w:p>
        <w:p w14:paraId="3D7E7F80" w14:textId="6F715EEF" w:rsidR="006F71A1" w:rsidRDefault="006F71A1">
          <w:pPr>
            <w:pStyle w:val="TOC1"/>
            <w:tabs>
              <w:tab w:val="right" w:leader="dot" w:pos="10070"/>
            </w:tabs>
            <w:rPr>
              <w:noProof/>
              <w:kern w:val="2"/>
              <w:sz w:val="24"/>
              <w:szCs w:val="24"/>
              <w14:ligatures w14:val="standardContextual"/>
            </w:rPr>
          </w:pPr>
          <w:hyperlink w:anchor="_Toc197680219" w:history="1">
            <w:r w:rsidRPr="00EF5C58">
              <w:rPr>
                <w:rStyle w:val="Hyperlink"/>
                <w:noProof/>
              </w:rPr>
              <w:t>Section 2. Qualifications for Participation in the CBHC Incentive Program</w:t>
            </w:r>
            <w:r>
              <w:rPr>
                <w:noProof/>
                <w:webHidden/>
              </w:rPr>
              <w:tab/>
            </w:r>
            <w:r>
              <w:rPr>
                <w:noProof/>
                <w:webHidden/>
              </w:rPr>
              <w:fldChar w:fldCharType="begin"/>
            </w:r>
            <w:r>
              <w:rPr>
                <w:noProof/>
                <w:webHidden/>
              </w:rPr>
              <w:instrText xml:space="preserve"> PAGEREF _Toc197680219 \h </w:instrText>
            </w:r>
            <w:r>
              <w:rPr>
                <w:noProof/>
                <w:webHidden/>
              </w:rPr>
            </w:r>
            <w:r>
              <w:rPr>
                <w:noProof/>
                <w:webHidden/>
              </w:rPr>
              <w:fldChar w:fldCharType="separate"/>
            </w:r>
            <w:r w:rsidR="005E3718">
              <w:rPr>
                <w:noProof/>
                <w:webHidden/>
              </w:rPr>
              <w:t>4</w:t>
            </w:r>
            <w:r>
              <w:rPr>
                <w:noProof/>
                <w:webHidden/>
              </w:rPr>
              <w:fldChar w:fldCharType="end"/>
            </w:r>
          </w:hyperlink>
        </w:p>
        <w:p w14:paraId="38EE2F89" w14:textId="0F32D98D" w:rsidR="006F71A1" w:rsidRDefault="006F71A1">
          <w:pPr>
            <w:pStyle w:val="TOC2"/>
            <w:tabs>
              <w:tab w:val="right" w:leader="dot" w:pos="10070"/>
            </w:tabs>
            <w:rPr>
              <w:noProof/>
              <w:kern w:val="2"/>
              <w:sz w:val="24"/>
              <w:szCs w:val="24"/>
              <w14:ligatures w14:val="standardContextual"/>
            </w:rPr>
          </w:pPr>
          <w:hyperlink w:anchor="_Toc197680220" w:history="1">
            <w:r w:rsidRPr="00EF5C58">
              <w:rPr>
                <w:rStyle w:val="Hyperlink"/>
                <w:noProof/>
              </w:rPr>
              <w:t>2.1. Health Quality and Equity Strategic Plan Qualification for Participation Reporting Requirement</w:t>
            </w:r>
            <w:r>
              <w:rPr>
                <w:noProof/>
                <w:webHidden/>
              </w:rPr>
              <w:tab/>
            </w:r>
            <w:r>
              <w:rPr>
                <w:noProof/>
                <w:webHidden/>
              </w:rPr>
              <w:fldChar w:fldCharType="begin"/>
            </w:r>
            <w:r>
              <w:rPr>
                <w:noProof/>
                <w:webHidden/>
              </w:rPr>
              <w:instrText xml:space="preserve"> PAGEREF _Toc197680220 \h </w:instrText>
            </w:r>
            <w:r>
              <w:rPr>
                <w:noProof/>
                <w:webHidden/>
              </w:rPr>
            </w:r>
            <w:r>
              <w:rPr>
                <w:noProof/>
                <w:webHidden/>
              </w:rPr>
              <w:fldChar w:fldCharType="separate"/>
            </w:r>
            <w:r w:rsidR="005E3718">
              <w:rPr>
                <w:noProof/>
                <w:webHidden/>
              </w:rPr>
              <w:t>6</w:t>
            </w:r>
            <w:r>
              <w:rPr>
                <w:noProof/>
                <w:webHidden/>
              </w:rPr>
              <w:fldChar w:fldCharType="end"/>
            </w:r>
          </w:hyperlink>
        </w:p>
        <w:p w14:paraId="24A27309" w14:textId="5E443017" w:rsidR="006F71A1" w:rsidRDefault="006F71A1">
          <w:pPr>
            <w:pStyle w:val="TOC1"/>
            <w:tabs>
              <w:tab w:val="right" w:leader="dot" w:pos="10070"/>
            </w:tabs>
            <w:rPr>
              <w:noProof/>
              <w:kern w:val="2"/>
              <w:sz w:val="24"/>
              <w:szCs w:val="24"/>
              <w14:ligatures w14:val="standardContextual"/>
            </w:rPr>
          </w:pPr>
          <w:hyperlink w:anchor="_Toc197680221" w:history="1">
            <w:r w:rsidRPr="00EF5C58">
              <w:rPr>
                <w:rStyle w:val="Hyperlink"/>
                <w:noProof/>
              </w:rPr>
              <w:t>Section 3. Incentive 1. CBHC Clinical Quality Incentive (CCQI)</w:t>
            </w:r>
            <w:r>
              <w:rPr>
                <w:noProof/>
                <w:webHidden/>
              </w:rPr>
              <w:tab/>
            </w:r>
            <w:r>
              <w:rPr>
                <w:noProof/>
                <w:webHidden/>
              </w:rPr>
              <w:fldChar w:fldCharType="begin"/>
            </w:r>
            <w:r>
              <w:rPr>
                <w:noProof/>
                <w:webHidden/>
              </w:rPr>
              <w:instrText xml:space="preserve"> PAGEREF _Toc197680221 \h </w:instrText>
            </w:r>
            <w:r>
              <w:rPr>
                <w:noProof/>
                <w:webHidden/>
              </w:rPr>
            </w:r>
            <w:r>
              <w:rPr>
                <w:noProof/>
                <w:webHidden/>
              </w:rPr>
              <w:fldChar w:fldCharType="separate"/>
            </w:r>
            <w:r w:rsidR="005E3718">
              <w:rPr>
                <w:noProof/>
                <w:webHidden/>
              </w:rPr>
              <w:t>6</w:t>
            </w:r>
            <w:r>
              <w:rPr>
                <w:noProof/>
                <w:webHidden/>
              </w:rPr>
              <w:fldChar w:fldCharType="end"/>
            </w:r>
          </w:hyperlink>
        </w:p>
        <w:p w14:paraId="0723F910" w14:textId="0A636C3F" w:rsidR="006F71A1" w:rsidRDefault="006F71A1">
          <w:pPr>
            <w:pStyle w:val="TOC2"/>
            <w:tabs>
              <w:tab w:val="right" w:leader="dot" w:pos="10070"/>
            </w:tabs>
            <w:rPr>
              <w:noProof/>
              <w:kern w:val="2"/>
              <w:sz w:val="24"/>
              <w:szCs w:val="24"/>
              <w14:ligatures w14:val="standardContextual"/>
            </w:rPr>
          </w:pPr>
          <w:hyperlink w:anchor="_Toc197680222" w:history="1">
            <w:r w:rsidRPr="00EF5C58">
              <w:rPr>
                <w:rStyle w:val="Hyperlink"/>
                <w:noProof/>
              </w:rPr>
              <w:t>3.1 Overview of the Measures in the CCQI</w:t>
            </w:r>
            <w:r>
              <w:rPr>
                <w:noProof/>
                <w:webHidden/>
              </w:rPr>
              <w:tab/>
            </w:r>
            <w:r>
              <w:rPr>
                <w:noProof/>
                <w:webHidden/>
              </w:rPr>
              <w:fldChar w:fldCharType="begin"/>
            </w:r>
            <w:r>
              <w:rPr>
                <w:noProof/>
                <w:webHidden/>
              </w:rPr>
              <w:instrText xml:space="preserve"> PAGEREF _Toc197680222 \h </w:instrText>
            </w:r>
            <w:r>
              <w:rPr>
                <w:noProof/>
                <w:webHidden/>
              </w:rPr>
            </w:r>
            <w:r>
              <w:rPr>
                <w:noProof/>
                <w:webHidden/>
              </w:rPr>
              <w:fldChar w:fldCharType="separate"/>
            </w:r>
            <w:r w:rsidR="005E3718">
              <w:rPr>
                <w:noProof/>
                <w:webHidden/>
              </w:rPr>
              <w:t>6</w:t>
            </w:r>
            <w:r>
              <w:rPr>
                <w:noProof/>
                <w:webHidden/>
              </w:rPr>
              <w:fldChar w:fldCharType="end"/>
            </w:r>
          </w:hyperlink>
        </w:p>
        <w:p w14:paraId="0A1697A8" w14:textId="60F002EF" w:rsidR="006F71A1" w:rsidRDefault="006F71A1">
          <w:pPr>
            <w:pStyle w:val="TOC3"/>
            <w:tabs>
              <w:tab w:val="right" w:leader="dot" w:pos="10070"/>
            </w:tabs>
            <w:rPr>
              <w:noProof/>
              <w:kern w:val="2"/>
              <w:sz w:val="24"/>
              <w:szCs w:val="24"/>
              <w14:ligatures w14:val="standardContextual"/>
            </w:rPr>
          </w:pPr>
          <w:hyperlink w:anchor="_Toc197680223" w:history="1">
            <w:r w:rsidRPr="00EF5C58">
              <w:rPr>
                <w:rStyle w:val="Hyperlink"/>
                <w:noProof/>
              </w:rPr>
              <w:t>Table 1. Overview of Measure Slate in the CCQI</w:t>
            </w:r>
            <w:r>
              <w:rPr>
                <w:noProof/>
                <w:webHidden/>
              </w:rPr>
              <w:tab/>
            </w:r>
            <w:r>
              <w:rPr>
                <w:noProof/>
                <w:webHidden/>
              </w:rPr>
              <w:fldChar w:fldCharType="begin"/>
            </w:r>
            <w:r>
              <w:rPr>
                <w:noProof/>
                <w:webHidden/>
              </w:rPr>
              <w:instrText xml:space="preserve"> PAGEREF _Toc197680223 \h </w:instrText>
            </w:r>
            <w:r>
              <w:rPr>
                <w:noProof/>
                <w:webHidden/>
              </w:rPr>
            </w:r>
            <w:r>
              <w:rPr>
                <w:noProof/>
                <w:webHidden/>
              </w:rPr>
              <w:fldChar w:fldCharType="separate"/>
            </w:r>
            <w:r w:rsidR="005E3718">
              <w:rPr>
                <w:noProof/>
                <w:webHidden/>
              </w:rPr>
              <w:t>6</w:t>
            </w:r>
            <w:r>
              <w:rPr>
                <w:noProof/>
                <w:webHidden/>
              </w:rPr>
              <w:fldChar w:fldCharType="end"/>
            </w:r>
          </w:hyperlink>
        </w:p>
        <w:p w14:paraId="1FC4CE64" w14:textId="04A4B546" w:rsidR="006F71A1" w:rsidRDefault="006F71A1">
          <w:pPr>
            <w:pStyle w:val="TOC2"/>
            <w:tabs>
              <w:tab w:val="right" w:leader="dot" w:pos="10070"/>
            </w:tabs>
            <w:rPr>
              <w:noProof/>
              <w:kern w:val="2"/>
              <w:sz w:val="24"/>
              <w:szCs w:val="24"/>
              <w14:ligatures w14:val="standardContextual"/>
            </w:rPr>
          </w:pPr>
          <w:hyperlink w:anchor="_Toc197680224" w:history="1">
            <w:r w:rsidRPr="00EF5C58">
              <w:rPr>
                <w:rStyle w:val="Hyperlink"/>
                <w:noProof/>
              </w:rPr>
              <w:t>3.2 CCQI Measures and Their Performance Status for PY2-5</w:t>
            </w:r>
            <w:r>
              <w:rPr>
                <w:noProof/>
                <w:webHidden/>
              </w:rPr>
              <w:tab/>
            </w:r>
            <w:r>
              <w:rPr>
                <w:noProof/>
                <w:webHidden/>
              </w:rPr>
              <w:fldChar w:fldCharType="begin"/>
            </w:r>
            <w:r>
              <w:rPr>
                <w:noProof/>
                <w:webHidden/>
              </w:rPr>
              <w:instrText xml:space="preserve"> PAGEREF _Toc197680224 \h </w:instrText>
            </w:r>
            <w:r>
              <w:rPr>
                <w:noProof/>
                <w:webHidden/>
              </w:rPr>
            </w:r>
            <w:r>
              <w:rPr>
                <w:noProof/>
                <w:webHidden/>
              </w:rPr>
              <w:fldChar w:fldCharType="separate"/>
            </w:r>
            <w:r w:rsidR="005E3718">
              <w:rPr>
                <w:noProof/>
                <w:webHidden/>
              </w:rPr>
              <w:t>6</w:t>
            </w:r>
            <w:r>
              <w:rPr>
                <w:noProof/>
                <w:webHidden/>
              </w:rPr>
              <w:fldChar w:fldCharType="end"/>
            </w:r>
          </w:hyperlink>
        </w:p>
        <w:p w14:paraId="5C2E9B4F" w14:textId="2D812506" w:rsidR="006F71A1" w:rsidRDefault="006F71A1">
          <w:pPr>
            <w:pStyle w:val="TOC3"/>
            <w:tabs>
              <w:tab w:val="right" w:leader="dot" w:pos="10070"/>
            </w:tabs>
            <w:rPr>
              <w:noProof/>
              <w:kern w:val="2"/>
              <w:sz w:val="24"/>
              <w:szCs w:val="24"/>
              <w14:ligatures w14:val="standardContextual"/>
            </w:rPr>
          </w:pPr>
          <w:hyperlink w:anchor="_Toc197680225" w:history="1">
            <w:r w:rsidRPr="00EF5C58">
              <w:rPr>
                <w:rStyle w:val="Hyperlink"/>
                <w:noProof/>
              </w:rPr>
              <w:t>Table 2. CCQI Measures and their Payment Status in PY2-5</w:t>
            </w:r>
            <w:r>
              <w:rPr>
                <w:noProof/>
                <w:webHidden/>
              </w:rPr>
              <w:tab/>
            </w:r>
            <w:r>
              <w:rPr>
                <w:noProof/>
                <w:webHidden/>
              </w:rPr>
              <w:fldChar w:fldCharType="begin"/>
            </w:r>
            <w:r>
              <w:rPr>
                <w:noProof/>
                <w:webHidden/>
              </w:rPr>
              <w:instrText xml:space="preserve"> PAGEREF _Toc197680225 \h </w:instrText>
            </w:r>
            <w:r>
              <w:rPr>
                <w:noProof/>
                <w:webHidden/>
              </w:rPr>
            </w:r>
            <w:r>
              <w:rPr>
                <w:noProof/>
                <w:webHidden/>
              </w:rPr>
              <w:fldChar w:fldCharType="separate"/>
            </w:r>
            <w:r w:rsidR="005E3718">
              <w:rPr>
                <w:noProof/>
                <w:webHidden/>
              </w:rPr>
              <w:t>7</w:t>
            </w:r>
            <w:r>
              <w:rPr>
                <w:noProof/>
                <w:webHidden/>
              </w:rPr>
              <w:fldChar w:fldCharType="end"/>
            </w:r>
          </w:hyperlink>
        </w:p>
        <w:p w14:paraId="0308FC65" w14:textId="259431E4" w:rsidR="006F71A1" w:rsidRDefault="006F71A1">
          <w:pPr>
            <w:pStyle w:val="TOC3"/>
            <w:tabs>
              <w:tab w:val="right" w:leader="dot" w:pos="10070"/>
            </w:tabs>
            <w:rPr>
              <w:noProof/>
              <w:kern w:val="2"/>
              <w:sz w:val="24"/>
              <w:szCs w:val="24"/>
              <w14:ligatures w14:val="standardContextual"/>
            </w:rPr>
          </w:pPr>
          <w:hyperlink w:anchor="_Toc197680226" w:history="1">
            <w:r w:rsidRPr="00EF5C58">
              <w:rPr>
                <w:rStyle w:val="Hyperlink"/>
                <w:noProof/>
              </w:rPr>
              <w:t>3.2.1 Reporting Requirements for Performance Year 2</w:t>
            </w:r>
            <w:r>
              <w:rPr>
                <w:noProof/>
                <w:webHidden/>
              </w:rPr>
              <w:tab/>
            </w:r>
            <w:r>
              <w:rPr>
                <w:noProof/>
                <w:webHidden/>
              </w:rPr>
              <w:fldChar w:fldCharType="begin"/>
            </w:r>
            <w:r>
              <w:rPr>
                <w:noProof/>
                <w:webHidden/>
              </w:rPr>
              <w:instrText xml:space="preserve"> PAGEREF _Toc197680226 \h </w:instrText>
            </w:r>
            <w:r>
              <w:rPr>
                <w:noProof/>
                <w:webHidden/>
              </w:rPr>
            </w:r>
            <w:r>
              <w:rPr>
                <w:noProof/>
                <w:webHidden/>
              </w:rPr>
              <w:fldChar w:fldCharType="separate"/>
            </w:r>
            <w:r w:rsidR="005E3718">
              <w:rPr>
                <w:noProof/>
                <w:webHidden/>
              </w:rPr>
              <w:t>7</w:t>
            </w:r>
            <w:r>
              <w:rPr>
                <w:noProof/>
                <w:webHidden/>
              </w:rPr>
              <w:fldChar w:fldCharType="end"/>
            </w:r>
          </w:hyperlink>
        </w:p>
        <w:p w14:paraId="0AC7683D" w14:textId="69301A48" w:rsidR="006F71A1" w:rsidRDefault="006F71A1">
          <w:pPr>
            <w:pStyle w:val="TOC3"/>
            <w:tabs>
              <w:tab w:val="right" w:leader="dot" w:pos="10070"/>
            </w:tabs>
            <w:rPr>
              <w:noProof/>
              <w:kern w:val="2"/>
              <w:sz w:val="24"/>
              <w:szCs w:val="24"/>
              <w14:ligatures w14:val="standardContextual"/>
            </w:rPr>
          </w:pPr>
          <w:hyperlink w:anchor="_Toc197680227" w:history="1">
            <w:r w:rsidRPr="00EF5C58">
              <w:rPr>
                <w:rStyle w:val="Hyperlink"/>
                <w:noProof/>
              </w:rPr>
              <w:t>Table 3. CCQI Reporting Requirements for PY2</w:t>
            </w:r>
            <w:r>
              <w:rPr>
                <w:noProof/>
                <w:webHidden/>
              </w:rPr>
              <w:tab/>
            </w:r>
            <w:r>
              <w:rPr>
                <w:noProof/>
                <w:webHidden/>
              </w:rPr>
              <w:fldChar w:fldCharType="begin"/>
            </w:r>
            <w:r>
              <w:rPr>
                <w:noProof/>
                <w:webHidden/>
              </w:rPr>
              <w:instrText xml:space="preserve"> PAGEREF _Toc197680227 \h </w:instrText>
            </w:r>
            <w:r>
              <w:rPr>
                <w:noProof/>
                <w:webHidden/>
              </w:rPr>
            </w:r>
            <w:r>
              <w:rPr>
                <w:noProof/>
                <w:webHidden/>
              </w:rPr>
              <w:fldChar w:fldCharType="separate"/>
            </w:r>
            <w:r w:rsidR="005E3718">
              <w:rPr>
                <w:noProof/>
                <w:webHidden/>
              </w:rPr>
              <w:t>7</w:t>
            </w:r>
            <w:r>
              <w:rPr>
                <w:noProof/>
                <w:webHidden/>
              </w:rPr>
              <w:fldChar w:fldCharType="end"/>
            </w:r>
          </w:hyperlink>
        </w:p>
        <w:p w14:paraId="1EF6B2D2" w14:textId="7741CEAA" w:rsidR="006F71A1" w:rsidRDefault="006F71A1">
          <w:pPr>
            <w:pStyle w:val="TOC2"/>
            <w:tabs>
              <w:tab w:val="right" w:leader="dot" w:pos="10070"/>
            </w:tabs>
            <w:rPr>
              <w:noProof/>
              <w:kern w:val="2"/>
              <w:sz w:val="24"/>
              <w:szCs w:val="24"/>
              <w14:ligatures w14:val="standardContextual"/>
            </w:rPr>
          </w:pPr>
          <w:hyperlink w:anchor="_Toc197680228" w:history="1">
            <w:r w:rsidRPr="00EF5C58">
              <w:rPr>
                <w:rStyle w:val="Hyperlink"/>
                <w:noProof/>
              </w:rPr>
              <w:t>3.3. CCQI PY2-5 Payment Methodology and Schedule</w:t>
            </w:r>
            <w:r>
              <w:rPr>
                <w:noProof/>
                <w:webHidden/>
              </w:rPr>
              <w:tab/>
            </w:r>
            <w:r>
              <w:rPr>
                <w:noProof/>
                <w:webHidden/>
              </w:rPr>
              <w:fldChar w:fldCharType="begin"/>
            </w:r>
            <w:r>
              <w:rPr>
                <w:noProof/>
                <w:webHidden/>
              </w:rPr>
              <w:instrText xml:space="preserve"> PAGEREF _Toc197680228 \h </w:instrText>
            </w:r>
            <w:r>
              <w:rPr>
                <w:noProof/>
                <w:webHidden/>
              </w:rPr>
            </w:r>
            <w:r>
              <w:rPr>
                <w:noProof/>
                <w:webHidden/>
              </w:rPr>
              <w:fldChar w:fldCharType="separate"/>
            </w:r>
            <w:r w:rsidR="005E3718">
              <w:rPr>
                <w:noProof/>
                <w:webHidden/>
              </w:rPr>
              <w:t>8</w:t>
            </w:r>
            <w:r>
              <w:rPr>
                <w:noProof/>
                <w:webHidden/>
              </w:rPr>
              <w:fldChar w:fldCharType="end"/>
            </w:r>
          </w:hyperlink>
        </w:p>
        <w:p w14:paraId="7936F7C5" w14:textId="17136B6E" w:rsidR="006F71A1" w:rsidRDefault="006F71A1">
          <w:pPr>
            <w:pStyle w:val="TOC3"/>
            <w:tabs>
              <w:tab w:val="right" w:leader="dot" w:pos="10070"/>
            </w:tabs>
            <w:rPr>
              <w:noProof/>
              <w:kern w:val="2"/>
              <w:sz w:val="24"/>
              <w:szCs w:val="24"/>
              <w14:ligatures w14:val="standardContextual"/>
            </w:rPr>
          </w:pPr>
          <w:hyperlink w:anchor="_Toc197680229" w:history="1">
            <w:r w:rsidRPr="00EF5C58">
              <w:rPr>
                <w:rStyle w:val="Hyperlink"/>
                <w:noProof/>
              </w:rPr>
              <w:t>3.3.1 Payment Methodology</w:t>
            </w:r>
            <w:r>
              <w:rPr>
                <w:noProof/>
                <w:webHidden/>
              </w:rPr>
              <w:tab/>
            </w:r>
            <w:r>
              <w:rPr>
                <w:noProof/>
                <w:webHidden/>
              </w:rPr>
              <w:fldChar w:fldCharType="begin"/>
            </w:r>
            <w:r>
              <w:rPr>
                <w:noProof/>
                <w:webHidden/>
              </w:rPr>
              <w:instrText xml:space="preserve"> PAGEREF _Toc197680229 \h </w:instrText>
            </w:r>
            <w:r>
              <w:rPr>
                <w:noProof/>
                <w:webHidden/>
              </w:rPr>
            </w:r>
            <w:r>
              <w:rPr>
                <w:noProof/>
                <w:webHidden/>
              </w:rPr>
              <w:fldChar w:fldCharType="separate"/>
            </w:r>
            <w:r w:rsidR="005E3718">
              <w:rPr>
                <w:noProof/>
                <w:webHidden/>
              </w:rPr>
              <w:t>8</w:t>
            </w:r>
            <w:r>
              <w:rPr>
                <w:noProof/>
                <w:webHidden/>
              </w:rPr>
              <w:fldChar w:fldCharType="end"/>
            </w:r>
          </w:hyperlink>
        </w:p>
        <w:p w14:paraId="4CCC3B30" w14:textId="1262D6B3" w:rsidR="006F71A1" w:rsidRDefault="006F71A1">
          <w:pPr>
            <w:pStyle w:val="TOC3"/>
            <w:tabs>
              <w:tab w:val="right" w:leader="dot" w:pos="10070"/>
            </w:tabs>
            <w:rPr>
              <w:noProof/>
              <w:kern w:val="2"/>
              <w:sz w:val="24"/>
              <w:szCs w:val="24"/>
              <w14:ligatures w14:val="standardContextual"/>
            </w:rPr>
          </w:pPr>
          <w:hyperlink w:anchor="_Toc197680230" w:history="1">
            <w:r w:rsidRPr="00EF5C58">
              <w:rPr>
                <w:rStyle w:val="Hyperlink"/>
                <w:noProof/>
              </w:rPr>
              <w:t>3.3.2. Payment Schedule</w:t>
            </w:r>
            <w:r>
              <w:rPr>
                <w:noProof/>
                <w:webHidden/>
              </w:rPr>
              <w:tab/>
            </w:r>
            <w:r>
              <w:rPr>
                <w:noProof/>
                <w:webHidden/>
              </w:rPr>
              <w:fldChar w:fldCharType="begin"/>
            </w:r>
            <w:r>
              <w:rPr>
                <w:noProof/>
                <w:webHidden/>
              </w:rPr>
              <w:instrText xml:space="preserve"> PAGEREF _Toc197680230 \h </w:instrText>
            </w:r>
            <w:r>
              <w:rPr>
                <w:noProof/>
                <w:webHidden/>
              </w:rPr>
            </w:r>
            <w:r>
              <w:rPr>
                <w:noProof/>
                <w:webHidden/>
              </w:rPr>
              <w:fldChar w:fldCharType="separate"/>
            </w:r>
            <w:r w:rsidR="005E3718">
              <w:rPr>
                <w:noProof/>
                <w:webHidden/>
              </w:rPr>
              <w:t>8</w:t>
            </w:r>
            <w:r>
              <w:rPr>
                <w:noProof/>
                <w:webHidden/>
              </w:rPr>
              <w:fldChar w:fldCharType="end"/>
            </w:r>
          </w:hyperlink>
        </w:p>
        <w:p w14:paraId="520770FC" w14:textId="696AA9DA" w:rsidR="006F71A1" w:rsidRDefault="006F71A1">
          <w:pPr>
            <w:pStyle w:val="TOC2"/>
            <w:tabs>
              <w:tab w:val="right" w:leader="dot" w:pos="10070"/>
            </w:tabs>
            <w:rPr>
              <w:noProof/>
              <w:kern w:val="2"/>
              <w:sz w:val="24"/>
              <w:szCs w:val="24"/>
              <w14:ligatures w14:val="standardContextual"/>
            </w:rPr>
          </w:pPr>
          <w:hyperlink w:anchor="_Toc197680231" w:history="1">
            <w:r w:rsidRPr="00EF5C58">
              <w:rPr>
                <w:rStyle w:val="Hyperlink"/>
                <w:noProof/>
              </w:rPr>
              <w:t>3.4. CCQI Performance Assessment Methodology for PY2-5</w:t>
            </w:r>
            <w:r>
              <w:rPr>
                <w:noProof/>
                <w:webHidden/>
              </w:rPr>
              <w:tab/>
            </w:r>
            <w:r>
              <w:rPr>
                <w:noProof/>
                <w:webHidden/>
              </w:rPr>
              <w:fldChar w:fldCharType="begin"/>
            </w:r>
            <w:r>
              <w:rPr>
                <w:noProof/>
                <w:webHidden/>
              </w:rPr>
              <w:instrText xml:space="preserve"> PAGEREF _Toc197680231 \h </w:instrText>
            </w:r>
            <w:r>
              <w:rPr>
                <w:noProof/>
                <w:webHidden/>
              </w:rPr>
            </w:r>
            <w:r>
              <w:rPr>
                <w:noProof/>
                <w:webHidden/>
              </w:rPr>
              <w:fldChar w:fldCharType="separate"/>
            </w:r>
            <w:r w:rsidR="005E3718">
              <w:rPr>
                <w:noProof/>
                <w:webHidden/>
              </w:rPr>
              <w:t>8</w:t>
            </w:r>
            <w:r>
              <w:rPr>
                <w:noProof/>
                <w:webHidden/>
              </w:rPr>
              <w:fldChar w:fldCharType="end"/>
            </w:r>
          </w:hyperlink>
        </w:p>
        <w:p w14:paraId="02865781" w14:textId="579CA425" w:rsidR="006F71A1" w:rsidRDefault="006F71A1">
          <w:pPr>
            <w:pStyle w:val="TOC3"/>
            <w:tabs>
              <w:tab w:val="right" w:leader="dot" w:pos="10070"/>
            </w:tabs>
            <w:rPr>
              <w:noProof/>
              <w:kern w:val="2"/>
              <w:sz w:val="24"/>
              <w:szCs w:val="24"/>
              <w14:ligatures w14:val="standardContextual"/>
            </w:rPr>
          </w:pPr>
          <w:hyperlink w:anchor="_Toc197680232" w:history="1">
            <w:r w:rsidRPr="00EF5C58">
              <w:rPr>
                <w:rStyle w:val="Hyperlink"/>
                <w:noProof/>
              </w:rPr>
              <w:t>3.4.1 CCQI Measure Weights for Performance Years 2-5</w:t>
            </w:r>
            <w:r>
              <w:rPr>
                <w:noProof/>
                <w:webHidden/>
              </w:rPr>
              <w:tab/>
            </w:r>
            <w:r>
              <w:rPr>
                <w:noProof/>
                <w:webHidden/>
              </w:rPr>
              <w:fldChar w:fldCharType="begin"/>
            </w:r>
            <w:r>
              <w:rPr>
                <w:noProof/>
                <w:webHidden/>
              </w:rPr>
              <w:instrText xml:space="preserve"> PAGEREF _Toc197680232 \h </w:instrText>
            </w:r>
            <w:r>
              <w:rPr>
                <w:noProof/>
                <w:webHidden/>
              </w:rPr>
            </w:r>
            <w:r>
              <w:rPr>
                <w:noProof/>
                <w:webHidden/>
              </w:rPr>
              <w:fldChar w:fldCharType="separate"/>
            </w:r>
            <w:r w:rsidR="005E3718">
              <w:rPr>
                <w:noProof/>
                <w:webHidden/>
              </w:rPr>
              <w:t>9</w:t>
            </w:r>
            <w:r>
              <w:rPr>
                <w:noProof/>
                <w:webHidden/>
              </w:rPr>
              <w:fldChar w:fldCharType="end"/>
            </w:r>
          </w:hyperlink>
        </w:p>
        <w:p w14:paraId="76D7AF2D" w14:textId="7AC32390" w:rsidR="006F71A1" w:rsidRDefault="006F71A1">
          <w:pPr>
            <w:pStyle w:val="TOC3"/>
            <w:tabs>
              <w:tab w:val="right" w:leader="dot" w:pos="10070"/>
            </w:tabs>
            <w:rPr>
              <w:noProof/>
              <w:kern w:val="2"/>
              <w:sz w:val="24"/>
              <w:szCs w:val="24"/>
              <w14:ligatures w14:val="standardContextual"/>
            </w:rPr>
          </w:pPr>
          <w:hyperlink w:anchor="_Toc197680233" w:history="1">
            <w:r w:rsidRPr="00EF5C58">
              <w:rPr>
                <w:rStyle w:val="Hyperlink"/>
                <w:noProof/>
              </w:rPr>
              <w:t>Table 4. CCQI Measure Weights for Performance Years 2-5</w:t>
            </w:r>
            <w:r>
              <w:rPr>
                <w:noProof/>
                <w:webHidden/>
              </w:rPr>
              <w:tab/>
            </w:r>
            <w:r>
              <w:rPr>
                <w:noProof/>
                <w:webHidden/>
              </w:rPr>
              <w:fldChar w:fldCharType="begin"/>
            </w:r>
            <w:r>
              <w:rPr>
                <w:noProof/>
                <w:webHidden/>
              </w:rPr>
              <w:instrText xml:space="preserve"> PAGEREF _Toc197680233 \h </w:instrText>
            </w:r>
            <w:r>
              <w:rPr>
                <w:noProof/>
                <w:webHidden/>
              </w:rPr>
            </w:r>
            <w:r>
              <w:rPr>
                <w:noProof/>
                <w:webHidden/>
              </w:rPr>
              <w:fldChar w:fldCharType="separate"/>
            </w:r>
            <w:r w:rsidR="005E3718">
              <w:rPr>
                <w:noProof/>
                <w:webHidden/>
              </w:rPr>
              <w:t>9</w:t>
            </w:r>
            <w:r>
              <w:rPr>
                <w:noProof/>
                <w:webHidden/>
              </w:rPr>
              <w:fldChar w:fldCharType="end"/>
            </w:r>
          </w:hyperlink>
        </w:p>
        <w:p w14:paraId="4B683DD9" w14:textId="2635010D" w:rsidR="006F71A1" w:rsidRDefault="006F71A1">
          <w:pPr>
            <w:pStyle w:val="TOC3"/>
            <w:tabs>
              <w:tab w:val="left" w:pos="1200"/>
              <w:tab w:val="right" w:leader="dot" w:pos="10070"/>
            </w:tabs>
            <w:rPr>
              <w:noProof/>
              <w:kern w:val="2"/>
              <w:sz w:val="24"/>
              <w:szCs w:val="24"/>
              <w14:ligatures w14:val="standardContextual"/>
            </w:rPr>
          </w:pPr>
          <w:hyperlink w:anchor="_Toc197680234" w:history="1">
            <w:r w:rsidRPr="00EF5C58">
              <w:rPr>
                <w:rStyle w:val="Hyperlink"/>
                <w:noProof/>
              </w:rPr>
              <w:t>3.4.2</w:t>
            </w:r>
            <w:r>
              <w:rPr>
                <w:noProof/>
                <w:kern w:val="2"/>
                <w:sz w:val="24"/>
                <w:szCs w:val="24"/>
                <w14:ligatures w14:val="standardContextual"/>
              </w:rPr>
              <w:tab/>
            </w:r>
            <w:r w:rsidRPr="00EF5C58">
              <w:rPr>
                <w:rStyle w:val="Hyperlink"/>
                <w:noProof/>
              </w:rPr>
              <w:t>CCQI Benchmarking for Performance Years 2-5</w:t>
            </w:r>
            <w:r>
              <w:rPr>
                <w:noProof/>
                <w:webHidden/>
              </w:rPr>
              <w:tab/>
            </w:r>
            <w:r>
              <w:rPr>
                <w:noProof/>
                <w:webHidden/>
              </w:rPr>
              <w:fldChar w:fldCharType="begin"/>
            </w:r>
            <w:r>
              <w:rPr>
                <w:noProof/>
                <w:webHidden/>
              </w:rPr>
              <w:instrText xml:space="preserve"> PAGEREF _Toc197680234 \h </w:instrText>
            </w:r>
            <w:r>
              <w:rPr>
                <w:noProof/>
                <w:webHidden/>
              </w:rPr>
            </w:r>
            <w:r>
              <w:rPr>
                <w:noProof/>
                <w:webHidden/>
              </w:rPr>
              <w:fldChar w:fldCharType="separate"/>
            </w:r>
            <w:r w:rsidR="005E3718">
              <w:rPr>
                <w:noProof/>
                <w:webHidden/>
              </w:rPr>
              <w:t>9</w:t>
            </w:r>
            <w:r>
              <w:rPr>
                <w:noProof/>
                <w:webHidden/>
              </w:rPr>
              <w:fldChar w:fldCharType="end"/>
            </w:r>
          </w:hyperlink>
        </w:p>
        <w:p w14:paraId="791978FB" w14:textId="00567FCF" w:rsidR="006F71A1" w:rsidRDefault="006F71A1">
          <w:pPr>
            <w:pStyle w:val="TOC3"/>
            <w:tabs>
              <w:tab w:val="right" w:leader="dot" w:pos="10070"/>
            </w:tabs>
            <w:rPr>
              <w:noProof/>
              <w:kern w:val="2"/>
              <w:sz w:val="24"/>
              <w:szCs w:val="24"/>
              <w14:ligatures w14:val="standardContextual"/>
            </w:rPr>
          </w:pPr>
          <w:hyperlink w:anchor="_Toc197680235" w:history="1">
            <w:r w:rsidRPr="00EF5C58">
              <w:rPr>
                <w:rStyle w:val="Hyperlink"/>
                <w:noProof/>
              </w:rPr>
              <w:t>3.4.4 CCQI Pay-for-Performance Quality Score Calculation for Performance Years 2-5</w:t>
            </w:r>
            <w:r>
              <w:rPr>
                <w:noProof/>
                <w:webHidden/>
              </w:rPr>
              <w:tab/>
            </w:r>
            <w:r>
              <w:rPr>
                <w:noProof/>
                <w:webHidden/>
              </w:rPr>
              <w:fldChar w:fldCharType="begin"/>
            </w:r>
            <w:r>
              <w:rPr>
                <w:noProof/>
                <w:webHidden/>
              </w:rPr>
              <w:instrText xml:space="preserve"> PAGEREF _Toc197680235 \h </w:instrText>
            </w:r>
            <w:r>
              <w:rPr>
                <w:noProof/>
                <w:webHidden/>
              </w:rPr>
            </w:r>
            <w:r>
              <w:rPr>
                <w:noProof/>
                <w:webHidden/>
              </w:rPr>
              <w:fldChar w:fldCharType="separate"/>
            </w:r>
            <w:r w:rsidR="005E3718">
              <w:rPr>
                <w:noProof/>
                <w:webHidden/>
              </w:rPr>
              <w:t>10</w:t>
            </w:r>
            <w:r>
              <w:rPr>
                <w:noProof/>
                <w:webHidden/>
              </w:rPr>
              <w:fldChar w:fldCharType="end"/>
            </w:r>
          </w:hyperlink>
        </w:p>
        <w:p w14:paraId="61433C81" w14:textId="59A61AC4" w:rsidR="006F71A1" w:rsidRDefault="006F71A1">
          <w:pPr>
            <w:pStyle w:val="TOC1"/>
            <w:tabs>
              <w:tab w:val="right" w:leader="dot" w:pos="10070"/>
            </w:tabs>
            <w:rPr>
              <w:noProof/>
              <w:kern w:val="2"/>
              <w:sz w:val="24"/>
              <w:szCs w:val="24"/>
              <w14:ligatures w14:val="standardContextual"/>
            </w:rPr>
          </w:pPr>
          <w:hyperlink w:anchor="_Toc197680236" w:history="1">
            <w:r w:rsidRPr="00EF5C58">
              <w:rPr>
                <w:rStyle w:val="Hyperlink"/>
                <w:noProof/>
              </w:rPr>
              <w:t>Section 4. Incentive 2. CBHC Quality and Equity Incentive Program (CQEIP)</w:t>
            </w:r>
            <w:r>
              <w:rPr>
                <w:noProof/>
                <w:webHidden/>
              </w:rPr>
              <w:tab/>
            </w:r>
            <w:r>
              <w:rPr>
                <w:noProof/>
                <w:webHidden/>
              </w:rPr>
              <w:fldChar w:fldCharType="begin"/>
            </w:r>
            <w:r>
              <w:rPr>
                <w:noProof/>
                <w:webHidden/>
              </w:rPr>
              <w:instrText xml:space="preserve"> PAGEREF _Toc197680236 \h </w:instrText>
            </w:r>
            <w:r>
              <w:rPr>
                <w:noProof/>
                <w:webHidden/>
              </w:rPr>
            </w:r>
            <w:r>
              <w:rPr>
                <w:noProof/>
                <w:webHidden/>
              </w:rPr>
              <w:fldChar w:fldCharType="separate"/>
            </w:r>
            <w:r w:rsidR="005E3718">
              <w:rPr>
                <w:noProof/>
                <w:webHidden/>
              </w:rPr>
              <w:t>10</w:t>
            </w:r>
            <w:r>
              <w:rPr>
                <w:noProof/>
                <w:webHidden/>
              </w:rPr>
              <w:fldChar w:fldCharType="end"/>
            </w:r>
          </w:hyperlink>
        </w:p>
        <w:p w14:paraId="6B74FC80" w14:textId="2CFD4A9A" w:rsidR="006F71A1" w:rsidRDefault="006F71A1">
          <w:pPr>
            <w:pStyle w:val="TOC2"/>
            <w:tabs>
              <w:tab w:val="right" w:leader="dot" w:pos="10070"/>
            </w:tabs>
            <w:rPr>
              <w:noProof/>
              <w:kern w:val="2"/>
              <w:sz w:val="24"/>
              <w:szCs w:val="24"/>
              <w14:ligatures w14:val="standardContextual"/>
            </w:rPr>
          </w:pPr>
          <w:hyperlink w:anchor="_Toc197680237" w:history="1">
            <w:r w:rsidRPr="00EF5C58">
              <w:rPr>
                <w:rStyle w:val="Hyperlink"/>
                <w:noProof/>
              </w:rPr>
              <w:t>4.1. Overview of the Domains and Measures in the CQEIP</w:t>
            </w:r>
            <w:r>
              <w:rPr>
                <w:noProof/>
                <w:webHidden/>
              </w:rPr>
              <w:tab/>
            </w:r>
            <w:r>
              <w:rPr>
                <w:noProof/>
                <w:webHidden/>
              </w:rPr>
              <w:fldChar w:fldCharType="begin"/>
            </w:r>
            <w:r>
              <w:rPr>
                <w:noProof/>
                <w:webHidden/>
              </w:rPr>
              <w:instrText xml:space="preserve"> PAGEREF _Toc197680237 \h </w:instrText>
            </w:r>
            <w:r>
              <w:rPr>
                <w:noProof/>
                <w:webHidden/>
              </w:rPr>
            </w:r>
            <w:r>
              <w:rPr>
                <w:noProof/>
                <w:webHidden/>
              </w:rPr>
              <w:fldChar w:fldCharType="separate"/>
            </w:r>
            <w:r w:rsidR="005E3718">
              <w:rPr>
                <w:noProof/>
                <w:webHidden/>
              </w:rPr>
              <w:t>10</w:t>
            </w:r>
            <w:r>
              <w:rPr>
                <w:noProof/>
                <w:webHidden/>
              </w:rPr>
              <w:fldChar w:fldCharType="end"/>
            </w:r>
          </w:hyperlink>
        </w:p>
        <w:p w14:paraId="020799F6" w14:textId="5393F2F3" w:rsidR="006F71A1" w:rsidRDefault="006F71A1">
          <w:pPr>
            <w:pStyle w:val="TOC3"/>
            <w:tabs>
              <w:tab w:val="right" w:leader="dot" w:pos="10070"/>
            </w:tabs>
            <w:rPr>
              <w:noProof/>
              <w:kern w:val="2"/>
              <w:sz w:val="24"/>
              <w:szCs w:val="24"/>
              <w14:ligatures w14:val="standardContextual"/>
            </w:rPr>
          </w:pPr>
          <w:hyperlink w:anchor="_Toc197680238" w:history="1">
            <w:r w:rsidRPr="00EF5C58">
              <w:rPr>
                <w:rStyle w:val="Hyperlink"/>
                <w:noProof/>
              </w:rPr>
              <w:t>Table 5. Overview of Domains and Measures in the CQEIP</w:t>
            </w:r>
            <w:r>
              <w:rPr>
                <w:noProof/>
                <w:webHidden/>
              </w:rPr>
              <w:tab/>
            </w:r>
            <w:r>
              <w:rPr>
                <w:noProof/>
                <w:webHidden/>
              </w:rPr>
              <w:fldChar w:fldCharType="begin"/>
            </w:r>
            <w:r>
              <w:rPr>
                <w:noProof/>
                <w:webHidden/>
              </w:rPr>
              <w:instrText xml:space="preserve"> PAGEREF _Toc197680238 \h </w:instrText>
            </w:r>
            <w:r>
              <w:rPr>
                <w:noProof/>
                <w:webHidden/>
              </w:rPr>
            </w:r>
            <w:r>
              <w:rPr>
                <w:noProof/>
                <w:webHidden/>
              </w:rPr>
              <w:fldChar w:fldCharType="separate"/>
            </w:r>
            <w:r w:rsidR="005E3718">
              <w:rPr>
                <w:noProof/>
                <w:webHidden/>
              </w:rPr>
              <w:t>10</w:t>
            </w:r>
            <w:r>
              <w:rPr>
                <w:noProof/>
                <w:webHidden/>
              </w:rPr>
              <w:fldChar w:fldCharType="end"/>
            </w:r>
          </w:hyperlink>
        </w:p>
        <w:p w14:paraId="78AA35B9" w14:textId="36B35A9A" w:rsidR="006F71A1" w:rsidRDefault="006F71A1">
          <w:pPr>
            <w:pStyle w:val="TOC2"/>
            <w:tabs>
              <w:tab w:val="right" w:leader="dot" w:pos="10070"/>
            </w:tabs>
            <w:rPr>
              <w:noProof/>
              <w:kern w:val="2"/>
              <w:sz w:val="24"/>
              <w:szCs w:val="24"/>
              <w14:ligatures w14:val="standardContextual"/>
            </w:rPr>
          </w:pPr>
          <w:hyperlink w:anchor="_Toc197680239" w:history="1">
            <w:r w:rsidRPr="00EF5C58">
              <w:rPr>
                <w:rStyle w:val="Hyperlink"/>
                <w:noProof/>
              </w:rPr>
              <w:t>4.2. CQEIP Measures and Their Performance Status for PY2-5</w:t>
            </w:r>
            <w:r>
              <w:rPr>
                <w:noProof/>
                <w:webHidden/>
              </w:rPr>
              <w:tab/>
            </w:r>
            <w:r>
              <w:rPr>
                <w:noProof/>
                <w:webHidden/>
              </w:rPr>
              <w:fldChar w:fldCharType="begin"/>
            </w:r>
            <w:r>
              <w:rPr>
                <w:noProof/>
                <w:webHidden/>
              </w:rPr>
              <w:instrText xml:space="preserve"> PAGEREF _Toc197680239 \h </w:instrText>
            </w:r>
            <w:r>
              <w:rPr>
                <w:noProof/>
                <w:webHidden/>
              </w:rPr>
            </w:r>
            <w:r>
              <w:rPr>
                <w:noProof/>
                <w:webHidden/>
              </w:rPr>
              <w:fldChar w:fldCharType="separate"/>
            </w:r>
            <w:r w:rsidR="005E3718">
              <w:rPr>
                <w:noProof/>
                <w:webHidden/>
              </w:rPr>
              <w:t>12</w:t>
            </w:r>
            <w:r>
              <w:rPr>
                <w:noProof/>
                <w:webHidden/>
              </w:rPr>
              <w:fldChar w:fldCharType="end"/>
            </w:r>
          </w:hyperlink>
        </w:p>
        <w:p w14:paraId="34DC05BA" w14:textId="4B9BD6DE" w:rsidR="006F71A1" w:rsidRDefault="006F71A1">
          <w:pPr>
            <w:pStyle w:val="TOC3"/>
            <w:tabs>
              <w:tab w:val="right" w:leader="dot" w:pos="10070"/>
            </w:tabs>
            <w:rPr>
              <w:noProof/>
              <w:kern w:val="2"/>
              <w:sz w:val="24"/>
              <w:szCs w:val="24"/>
              <w14:ligatures w14:val="standardContextual"/>
            </w:rPr>
          </w:pPr>
          <w:hyperlink w:anchor="_Toc197680240" w:history="1">
            <w:r w:rsidRPr="00EF5C58">
              <w:rPr>
                <w:rStyle w:val="Hyperlink"/>
                <w:noProof/>
              </w:rPr>
              <w:t>Table 6. CQEIP Measures and their Measure Status in PY2-5</w:t>
            </w:r>
            <w:r>
              <w:rPr>
                <w:noProof/>
                <w:webHidden/>
              </w:rPr>
              <w:tab/>
            </w:r>
            <w:r>
              <w:rPr>
                <w:noProof/>
                <w:webHidden/>
              </w:rPr>
              <w:fldChar w:fldCharType="begin"/>
            </w:r>
            <w:r>
              <w:rPr>
                <w:noProof/>
                <w:webHidden/>
              </w:rPr>
              <w:instrText xml:space="preserve"> PAGEREF _Toc197680240 \h </w:instrText>
            </w:r>
            <w:r>
              <w:rPr>
                <w:noProof/>
                <w:webHidden/>
              </w:rPr>
            </w:r>
            <w:r>
              <w:rPr>
                <w:noProof/>
                <w:webHidden/>
              </w:rPr>
              <w:fldChar w:fldCharType="separate"/>
            </w:r>
            <w:r w:rsidR="005E3718">
              <w:rPr>
                <w:noProof/>
                <w:webHidden/>
              </w:rPr>
              <w:t>12</w:t>
            </w:r>
            <w:r>
              <w:rPr>
                <w:noProof/>
                <w:webHidden/>
              </w:rPr>
              <w:fldChar w:fldCharType="end"/>
            </w:r>
          </w:hyperlink>
        </w:p>
        <w:p w14:paraId="77D4835D" w14:textId="68DE2B5F" w:rsidR="006F71A1" w:rsidRDefault="006F71A1">
          <w:pPr>
            <w:pStyle w:val="TOC3"/>
            <w:tabs>
              <w:tab w:val="right" w:leader="dot" w:pos="10070"/>
            </w:tabs>
            <w:rPr>
              <w:noProof/>
              <w:kern w:val="2"/>
              <w:sz w:val="24"/>
              <w:szCs w:val="24"/>
              <w14:ligatures w14:val="standardContextual"/>
            </w:rPr>
          </w:pPr>
          <w:hyperlink w:anchor="_Toc197680241" w:history="1">
            <w:r w:rsidRPr="00EF5C58">
              <w:rPr>
                <w:rStyle w:val="Hyperlink"/>
                <w:noProof/>
              </w:rPr>
              <w:t>4.2.1. Anticipated Reporting Expectations for Performance Year 2</w:t>
            </w:r>
            <w:r>
              <w:rPr>
                <w:noProof/>
                <w:webHidden/>
              </w:rPr>
              <w:tab/>
            </w:r>
            <w:r>
              <w:rPr>
                <w:noProof/>
                <w:webHidden/>
              </w:rPr>
              <w:fldChar w:fldCharType="begin"/>
            </w:r>
            <w:r>
              <w:rPr>
                <w:noProof/>
                <w:webHidden/>
              </w:rPr>
              <w:instrText xml:space="preserve"> PAGEREF _Toc197680241 \h </w:instrText>
            </w:r>
            <w:r>
              <w:rPr>
                <w:noProof/>
                <w:webHidden/>
              </w:rPr>
            </w:r>
            <w:r>
              <w:rPr>
                <w:noProof/>
                <w:webHidden/>
              </w:rPr>
              <w:fldChar w:fldCharType="separate"/>
            </w:r>
            <w:r w:rsidR="005E3718">
              <w:rPr>
                <w:noProof/>
                <w:webHidden/>
              </w:rPr>
              <w:t>13</w:t>
            </w:r>
            <w:r>
              <w:rPr>
                <w:noProof/>
                <w:webHidden/>
              </w:rPr>
              <w:fldChar w:fldCharType="end"/>
            </w:r>
          </w:hyperlink>
        </w:p>
        <w:p w14:paraId="2EC07BF9" w14:textId="6DD96788" w:rsidR="006F71A1" w:rsidRDefault="006F71A1">
          <w:pPr>
            <w:pStyle w:val="TOC3"/>
            <w:tabs>
              <w:tab w:val="right" w:leader="dot" w:pos="10070"/>
            </w:tabs>
            <w:rPr>
              <w:noProof/>
              <w:kern w:val="2"/>
              <w:sz w:val="24"/>
              <w:szCs w:val="24"/>
              <w14:ligatures w14:val="standardContextual"/>
            </w:rPr>
          </w:pPr>
          <w:hyperlink w:anchor="_Toc197680242" w:history="1">
            <w:r w:rsidRPr="00EF5C58">
              <w:rPr>
                <w:rStyle w:val="Hyperlink"/>
                <w:noProof/>
              </w:rPr>
              <w:t>Table 7. CQEIP Reporting Expectations for PY2</w:t>
            </w:r>
            <w:r>
              <w:rPr>
                <w:noProof/>
                <w:webHidden/>
              </w:rPr>
              <w:tab/>
            </w:r>
            <w:r>
              <w:rPr>
                <w:noProof/>
                <w:webHidden/>
              </w:rPr>
              <w:fldChar w:fldCharType="begin"/>
            </w:r>
            <w:r>
              <w:rPr>
                <w:noProof/>
                <w:webHidden/>
              </w:rPr>
              <w:instrText xml:space="preserve"> PAGEREF _Toc197680242 \h </w:instrText>
            </w:r>
            <w:r>
              <w:rPr>
                <w:noProof/>
                <w:webHidden/>
              </w:rPr>
            </w:r>
            <w:r>
              <w:rPr>
                <w:noProof/>
                <w:webHidden/>
              </w:rPr>
              <w:fldChar w:fldCharType="separate"/>
            </w:r>
            <w:r w:rsidR="005E3718">
              <w:rPr>
                <w:noProof/>
                <w:webHidden/>
              </w:rPr>
              <w:t>13</w:t>
            </w:r>
            <w:r>
              <w:rPr>
                <w:noProof/>
                <w:webHidden/>
              </w:rPr>
              <w:fldChar w:fldCharType="end"/>
            </w:r>
          </w:hyperlink>
        </w:p>
        <w:p w14:paraId="2960DC98" w14:textId="03D794E4" w:rsidR="006F71A1" w:rsidRDefault="006F71A1">
          <w:pPr>
            <w:pStyle w:val="TOC2"/>
            <w:tabs>
              <w:tab w:val="right" w:leader="dot" w:pos="10070"/>
            </w:tabs>
            <w:rPr>
              <w:noProof/>
              <w:kern w:val="2"/>
              <w:sz w:val="24"/>
              <w:szCs w:val="24"/>
              <w14:ligatures w14:val="standardContextual"/>
            </w:rPr>
          </w:pPr>
          <w:hyperlink w:anchor="_Toc197680243" w:history="1">
            <w:r w:rsidRPr="00EF5C58">
              <w:rPr>
                <w:rStyle w:val="Hyperlink"/>
                <w:noProof/>
              </w:rPr>
              <w:t>4.3. CQEIP PY2-5 Payment Methodology and Schedule</w:t>
            </w:r>
            <w:r>
              <w:rPr>
                <w:noProof/>
                <w:webHidden/>
              </w:rPr>
              <w:tab/>
            </w:r>
            <w:r>
              <w:rPr>
                <w:noProof/>
                <w:webHidden/>
              </w:rPr>
              <w:fldChar w:fldCharType="begin"/>
            </w:r>
            <w:r>
              <w:rPr>
                <w:noProof/>
                <w:webHidden/>
              </w:rPr>
              <w:instrText xml:space="preserve"> PAGEREF _Toc197680243 \h </w:instrText>
            </w:r>
            <w:r>
              <w:rPr>
                <w:noProof/>
                <w:webHidden/>
              </w:rPr>
            </w:r>
            <w:r>
              <w:rPr>
                <w:noProof/>
                <w:webHidden/>
              </w:rPr>
              <w:fldChar w:fldCharType="separate"/>
            </w:r>
            <w:r w:rsidR="005E3718">
              <w:rPr>
                <w:noProof/>
                <w:webHidden/>
              </w:rPr>
              <w:t>14</w:t>
            </w:r>
            <w:r>
              <w:rPr>
                <w:noProof/>
                <w:webHidden/>
              </w:rPr>
              <w:fldChar w:fldCharType="end"/>
            </w:r>
          </w:hyperlink>
        </w:p>
        <w:p w14:paraId="03FB8498" w14:textId="05F6DA67" w:rsidR="006F71A1" w:rsidRDefault="006F71A1">
          <w:pPr>
            <w:pStyle w:val="TOC3"/>
            <w:tabs>
              <w:tab w:val="right" w:leader="dot" w:pos="10070"/>
            </w:tabs>
            <w:rPr>
              <w:noProof/>
              <w:kern w:val="2"/>
              <w:sz w:val="24"/>
              <w:szCs w:val="24"/>
              <w14:ligatures w14:val="standardContextual"/>
            </w:rPr>
          </w:pPr>
          <w:hyperlink w:anchor="_Toc197680244" w:history="1">
            <w:r w:rsidRPr="00EF5C58">
              <w:rPr>
                <w:rStyle w:val="Hyperlink"/>
                <w:noProof/>
              </w:rPr>
              <w:t>4.3.1 Payment Methodology</w:t>
            </w:r>
            <w:r>
              <w:rPr>
                <w:noProof/>
                <w:webHidden/>
              </w:rPr>
              <w:tab/>
            </w:r>
            <w:r>
              <w:rPr>
                <w:noProof/>
                <w:webHidden/>
              </w:rPr>
              <w:fldChar w:fldCharType="begin"/>
            </w:r>
            <w:r>
              <w:rPr>
                <w:noProof/>
                <w:webHidden/>
              </w:rPr>
              <w:instrText xml:space="preserve"> PAGEREF _Toc197680244 \h </w:instrText>
            </w:r>
            <w:r>
              <w:rPr>
                <w:noProof/>
                <w:webHidden/>
              </w:rPr>
            </w:r>
            <w:r>
              <w:rPr>
                <w:noProof/>
                <w:webHidden/>
              </w:rPr>
              <w:fldChar w:fldCharType="separate"/>
            </w:r>
            <w:r w:rsidR="005E3718">
              <w:rPr>
                <w:noProof/>
                <w:webHidden/>
              </w:rPr>
              <w:t>14</w:t>
            </w:r>
            <w:r>
              <w:rPr>
                <w:noProof/>
                <w:webHidden/>
              </w:rPr>
              <w:fldChar w:fldCharType="end"/>
            </w:r>
          </w:hyperlink>
        </w:p>
        <w:p w14:paraId="631A78BC" w14:textId="368CC2F9" w:rsidR="006F71A1" w:rsidRDefault="006F71A1">
          <w:pPr>
            <w:pStyle w:val="TOC3"/>
            <w:tabs>
              <w:tab w:val="right" w:leader="dot" w:pos="10070"/>
            </w:tabs>
            <w:rPr>
              <w:noProof/>
              <w:kern w:val="2"/>
              <w:sz w:val="24"/>
              <w:szCs w:val="24"/>
              <w14:ligatures w14:val="standardContextual"/>
            </w:rPr>
          </w:pPr>
          <w:hyperlink w:anchor="_Toc197680245" w:history="1">
            <w:r w:rsidRPr="00EF5C58">
              <w:rPr>
                <w:rStyle w:val="Hyperlink"/>
                <w:noProof/>
              </w:rPr>
              <w:t>4.3.2. Payment Schedule</w:t>
            </w:r>
            <w:r>
              <w:rPr>
                <w:noProof/>
                <w:webHidden/>
              </w:rPr>
              <w:tab/>
            </w:r>
            <w:r>
              <w:rPr>
                <w:noProof/>
                <w:webHidden/>
              </w:rPr>
              <w:fldChar w:fldCharType="begin"/>
            </w:r>
            <w:r>
              <w:rPr>
                <w:noProof/>
                <w:webHidden/>
              </w:rPr>
              <w:instrText xml:space="preserve"> PAGEREF _Toc197680245 \h </w:instrText>
            </w:r>
            <w:r>
              <w:rPr>
                <w:noProof/>
                <w:webHidden/>
              </w:rPr>
            </w:r>
            <w:r>
              <w:rPr>
                <w:noProof/>
                <w:webHidden/>
              </w:rPr>
              <w:fldChar w:fldCharType="separate"/>
            </w:r>
            <w:r w:rsidR="005E3718">
              <w:rPr>
                <w:noProof/>
                <w:webHidden/>
              </w:rPr>
              <w:t>15</w:t>
            </w:r>
            <w:r>
              <w:rPr>
                <w:noProof/>
                <w:webHidden/>
              </w:rPr>
              <w:fldChar w:fldCharType="end"/>
            </w:r>
          </w:hyperlink>
        </w:p>
        <w:p w14:paraId="0996A303" w14:textId="68C811C2" w:rsidR="006F71A1" w:rsidRDefault="006F71A1">
          <w:pPr>
            <w:pStyle w:val="TOC2"/>
            <w:tabs>
              <w:tab w:val="right" w:leader="dot" w:pos="10070"/>
            </w:tabs>
            <w:rPr>
              <w:noProof/>
              <w:kern w:val="2"/>
              <w:sz w:val="24"/>
              <w:szCs w:val="24"/>
              <w14:ligatures w14:val="standardContextual"/>
            </w:rPr>
          </w:pPr>
          <w:hyperlink w:anchor="_Toc197680246" w:history="1">
            <w:r w:rsidRPr="00EF5C58">
              <w:rPr>
                <w:rStyle w:val="Hyperlink"/>
                <w:noProof/>
              </w:rPr>
              <w:t>4.4. CQEIP Performance Assessment Methodology Framework for PY2-5</w:t>
            </w:r>
            <w:r>
              <w:rPr>
                <w:noProof/>
                <w:webHidden/>
              </w:rPr>
              <w:tab/>
            </w:r>
            <w:r>
              <w:rPr>
                <w:noProof/>
                <w:webHidden/>
              </w:rPr>
              <w:fldChar w:fldCharType="begin"/>
            </w:r>
            <w:r>
              <w:rPr>
                <w:noProof/>
                <w:webHidden/>
              </w:rPr>
              <w:instrText xml:space="preserve"> PAGEREF _Toc197680246 \h </w:instrText>
            </w:r>
            <w:r>
              <w:rPr>
                <w:noProof/>
                <w:webHidden/>
              </w:rPr>
            </w:r>
            <w:r>
              <w:rPr>
                <w:noProof/>
                <w:webHidden/>
              </w:rPr>
              <w:fldChar w:fldCharType="separate"/>
            </w:r>
            <w:r w:rsidR="005E3718">
              <w:rPr>
                <w:noProof/>
                <w:webHidden/>
              </w:rPr>
              <w:t>15</w:t>
            </w:r>
            <w:r>
              <w:rPr>
                <w:noProof/>
                <w:webHidden/>
              </w:rPr>
              <w:fldChar w:fldCharType="end"/>
            </w:r>
          </w:hyperlink>
        </w:p>
        <w:p w14:paraId="72F84DFA" w14:textId="5E81C19E" w:rsidR="006F71A1" w:rsidRDefault="006F71A1">
          <w:pPr>
            <w:pStyle w:val="TOC3"/>
            <w:tabs>
              <w:tab w:val="right" w:leader="dot" w:pos="10070"/>
            </w:tabs>
            <w:rPr>
              <w:noProof/>
              <w:kern w:val="2"/>
              <w:sz w:val="24"/>
              <w:szCs w:val="24"/>
              <w14:ligatures w14:val="standardContextual"/>
            </w:rPr>
          </w:pPr>
          <w:hyperlink w:anchor="_Toc197680247" w:history="1">
            <w:r w:rsidRPr="00EF5C58">
              <w:rPr>
                <w:rStyle w:val="Hyperlink"/>
                <w:noProof/>
              </w:rPr>
              <w:t>Table 8. CQEIP Measure Weights for Performance Years 2-5</w:t>
            </w:r>
            <w:r>
              <w:rPr>
                <w:noProof/>
                <w:webHidden/>
              </w:rPr>
              <w:tab/>
            </w:r>
            <w:r>
              <w:rPr>
                <w:noProof/>
                <w:webHidden/>
              </w:rPr>
              <w:fldChar w:fldCharType="begin"/>
            </w:r>
            <w:r>
              <w:rPr>
                <w:noProof/>
                <w:webHidden/>
              </w:rPr>
              <w:instrText xml:space="preserve"> PAGEREF _Toc197680247 \h </w:instrText>
            </w:r>
            <w:r>
              <w:rPr>
                <w:noProof/>
                <w:webHidden/>
              </w:rPr>
            </w:r>
            <w:r>
              <w:rPr>
                <w:noProof/>
                <w:webHidden/>
              </w:rPr>
              <w:fldChar w:fldCharType="separate"/>
            </w:r>
            <w:r w:rsidR="005E3718">
              <w:rPr>
                <w:noProof/>
                <w:webHidden/>
              </w:rPr>
              <w:t>15</w:t>
            </w:r>
            <w:r>
              <w:rPr>
                <w:noProof/>
                <w:webHidden/>
              </w:rPr>
              <w:fldChar w:fldCharType="end"/>
            </w:r>
          </w:hyperlink>
        </w:p>
        <w:p w14:paraId="3AD47040" w14:textId="63DC11A5" w:rsidR="006F71A1" w:rsidRDefault="006F71A1">
          <w:pPr>
            <w:pStyle w:val="TOC1"/>
            <w:tabs>
              <w:tab w:val="right" w:leader="dot" w:pos="10070"/>
            </w:tabs>
            <w:rPr>
              <w:noProof/>
              <w:kern w:val="2"/>
              <w:sz w:val="24"/>
              <w:szCs w:val="24"/>
              <w14:ligatures w14:val="standardContextual"/>
            </w:rPr>
          </w:pPr>
          <w:hyperlink w:anchor="_Toc197680248" w:history="1">
            <w:r w:rsidRPr="00EF5C58">
              <w:rPr>
                <w:rStyle w:val="Hyperlink"/>
                <w:noProof/>
              </w:rPr>
              <w:t>Appendix A. List of CBHC TIN-billing Entities</w:t>
            </w:r>
            <w:r>
              <w:rPr>
                <w:noProof/>
                <w:webHidden/>
              </w:rPr>
              <w:tab/>
            </w:r>
            <w:r>
              <w:rPr>
                <w:noProof/>
                <w:webHidden/>
              </w:rPr>
              <w:fldChar w:fldCharType="begin"/>
            </w:r>
            <w:r>
              <w:rPr>
                <w:noProof/>
                <w:webHidden/>
              </w:rPr>
              <w:instrText xml:space="preserve"> PAGEREF _Toc197680248 \h </w:instrText>
            </w:r>
            <w:r>
              <w:rPr>
                <w:noProof/>
                <w:webHidden/>
              </w:rPr>
            </w:r>
            <w:r>
              <w:rPr>
                <w:noProof/>
                <w:webHidden/>
              </w:rPr>
              <w:fldChar w:fldCharType="separate"/>
            </w:r>
            <w:r w:rsidR="005E3718">
              <w:rPr>
                <w:noProof/>
                <w:webHidden/>
              </w:rPr>
              <w:t>18</w:t>
            </w:r>
            <w:r>
              <w:rPr>
                <w:noProof/>
                <w:webHidden/>
              </w:rPr>
              <w:fldChar w:fldCharType="end"/>
            </w:r>
          </w:hyperlink>
        </w:p>
        <w:p w14:paraId="7EF5FDA2" w14:textId="02E3079E" w:rsidR="00BB1440" w:rsidRPr="00371C52" w:rsidRDefault="00930634" w:rsidP="00371C52">
          <w:pPr>
            <w:rPr>
              <w:rFonts w:cstheme="minorHAnsi"/>
            </w:rPr>
          </w:pPr>
          <w:r w:rsidRPr="00254E34">
            <w:rPr>
              <w:rFonts w:cstheme="minorHAnsi"/>
            </w:rPr>
            <w:fldChar w:fldCharType="end"/>
          </w:r>
        </w:p>
      </w:sdtContent>
    </w:sdt>
    <w:p w14:paraId="36EADA55" w14:textId="77777777" w:rsidR="00594628" w:rsidRDefault="00594628">
      <w:pPr>
        <w:spacing w:before="0" w:after="0" w:line="240" w:lineRule="auto"/>
        <w:rPr>
          <w:rFonts w:asciiTheme="majorHAnsi" w:eastAsiaTheme="majorEastAsia" w:hAnsiTheme="majorHAnsi" w:cstheme="majorBidi"/>
          <w:b/>
          <w:bCs/>
          <w:color w:val="000000" w:themeColor="text1"/>
          <w:sz w:val="34"/>
          <w:szCs w:val="28"/>
        </w:rPr>
      </w:pPr>
      <w:r>
        <w:br w:type="page"/>
      </w:r>
    </w:p>
    <w:p w14:paraId="01AF98BC" w14:textId="651D7A54" w:rsidR="00240F61" w:rsidRPr="00254E34" w:rsidRDefault="00897560" w:rsidP="00371C52">
      <w:pPr>
        <w:pStyle w:val="Heading1"/>
        <w:spacing w:before="0"/>
      </w:pPr>
      <w:bookmarkStart w:id="1" w:name="_Toc197680216"/>
      <w:r w:rsidRPr="00254E34">
        <w:lastRenderedPageBreak/>
        <w:t>Section 1. Overview and Scope of the Community Behavioral Health Centers (CBHC) Incentive Program</w:t>
      </w:r>
      <w:bookmarkEnd w:id="1"/>
    </w:p>
    <w:p w14:paraId="0574B9BE" w14:textId="6FB6140A" w:rsidR="006C269F" w:rsidRPr="00254E34" w:rsidRDefault="00705A90" w:rsidP="00705A90">
      <w:pPr>
        <w:pStyle w:val="Heading2"/>
      </w:pPr>
      <w:bookmarkStart w:id="2" w:name="_Toc197680217"/>
      <w:r>
        <w:t xml:space="preserve">1.1 </w:t>
      </w:r>
      <w:r w:rsidR="001A22D7" w:rsidRPr="00254E34">
        <w:t xml:space="preserve">Overview of </w:t>
      </w:r>
      <w:r w:rsidR="00D116DF">
        <w:t>the CBHC Incentive Program</w:t>
      </w:r>
      <w:bookmarkEnd w:id="2"/>
    </w:p>
    <w:p w14:paraId="5166C835" w14:textId="55A6B2BE" w:rsidR="001A22D7" w:rsidRPr="00254E34" w:rsidRDefault="001A22D7" w:rsidP="006C269F">
      <w:pPr>
        <w:spacing w:before="0" w:after="0"/>
        <w:rPr>
          <w:rFonts w:cstheme="minorHAnsi"/>
        </w:rPr>
      </w:pPr>
      <w:r w:rsidRPr="00254E34">
        <w:rPr>
          <w:rFonts w:cstheme="minorHAnsi"/>
        </w:rPr>
        <w:t>Since the launch of the Community Behavioral Health Centers (CBHCs) in January of 2023 as part of the Roadmap for Behavioral Health Reform, CBHCs play an integral role in the state’s health care system by providing front-door access to care for individuals experiencing behavioral health (BH) crises in the community. EOHHS is implementing a CBHC</w:t>
      </w:r>
      <w:r w:rsidR="0086023E" w:rsidRPr="00254E34">
        <w:rPr>
          <w:rFonts w:cstheme="minorHAnsi"/>
        </w:rPr>
        <w:t xml:space="preserve"> Incentive Program with two components: a quality component, the CBHC</w:t>
      </w:r>
      <w:r w:rsidRPr="00254E34">
        <w:rPr>
          <w:rFonts w:cstheme="minorHAnsi"/>
        </w:rPr>
        <w:t xml:space="preserve"> </w:t>
      </w:r>
      <w:r w:rsidR="0086023E" w:rsidRPr="00254E34">
        <w:rPr>
          <w:rFonts w:cstheme="minorHAnsi"/>
        </w:rPr>
        <w:t>Cl</w:t>
      </w:r>
      <w:r w:rsidRPr="00254E34">
        <w:rPr>
          <w:rFonts w:cstheme="minorHAnsi"/>
        </w:rPr>
        <w:t xml:space="preserve">inical </w:t>
      </w:r>
      <w:r w:rsidR="0086023E" w:rsidRPr="00254E34">
        <w:rPr>
          <w:rFonts w:cstheme="minorHAnsi"/>
        </w:rPr>
        <w:t>Q</w:t>
      </w:r>
      <w:r w:rsidRPr="00254E34">
        <w:rPr>
          <w:rFonts w:cstheme="minorHAnsi"/>
        </w:rPr>
        <w:t xml:space="preserve">uality </w:t>
      </w:r>
      <w:r w:rsidR="0086023E" w:rsidRPr="00254E34">
        <w:rPr>
          <w:rFonts w:cstheme="minorHAnsi"/>
        </w:rPr>
        <w:t>I</w:t>
      </w:r>
      <w:r w:rsidRPr="00254E34">
        <w:rPr>
          <w:rFonts w:cstheme="minorHAnsi"/>
        </w:rPr>
        <w:t xml:space="preserve">ncentive (CCQI) and </w:t>
      </w:r>
      <w:r w:rsidR="0086023E" w:rsidRPr="00254E34">
        <w:rPr>
          <w:rFonts w:cstheme="minorHAnsi"/>
        </w:rPr>
        <w:t>a health equity component, the</w:t>
      </w:r>
      <w:r w:rsidRPr="00254E34">
        <w:rPr>
          <w:rFonts w:cstheme="minorHAnsi"/>
        </w:rPr>
        <w:t xml:space="preserve"> CBHC </w:t>
      </w:r>
      <w:r w:rsidR="0086023E" w:rsidRPr="00254E34">
        <w:rPr>
          <w:rFonts w:cstheme="minorHAnsi"/>
        </w:rPr>
        <w:t>Q</w:t>
      </w:r>
      <w:r w:rsidRPr="00254E34">
        <w:rPr>
          <w:rFonts w:cstheme="minorHAnsi"/>
        </w:rPr>
        <w:t xml:space="preserve">uality and </w:t>
      </w:r>
      <w:r w:rsidR="0086023E" w:rsidRPr="00254E34">
        <w:rPr>
          <w:rFonts w:cstheme="minorHAnsi"/>
        </w:rPr>
        <w:t>Eq</w:t>
      </w:r>
      <w:r w:rsidRPr="00254E34">
        <w:rPr>
          <w:rFonts w:cstheme="minorHAnsi"/>
        </w:rPr>
        <w:t xml:space="preserve">uity </w:t>
      </w:r>
      <w:r w:rsidR="0086023E" w:rsidRPr="00254E34">
        <w:rPr>
          <w:rFonts w:cstheme="minorHAnsi"/>
        </w:rPr>
        <w:t>I</w:t>
      </w:r>
      <w:r w:rsidRPr="00254E34">
        <w:rPr>
          <w:rFonts w:cstheme="minorHAnsi"/>
        </w:rPr>
        <w:t xml:space="preserve">ncentive </w:t>
      </w:r>
      <w:r w:rsidR="0086023E" w:rsidRPr="00254E34">
        <w:rPr>
          <w:rFonts w:cstheme="minorHAnsi"/>
        </w:rPr>
        <w:t>P</w:t>
      </w:r>
      <w:r w:rsidRPr="00254E34">
        <w:rPr>
          <w:rFonts w:cstheme="minorHAnsi"/>
        </w:rPr>
        <w:t>rogram (CQEIP) for the CBHC provider network</w:t>
      </w:r>
      <w:r w:rsidR="0095741C">
        <w:rPr>
          <w:rFonts w:cstheme="minorHAnsi"/>
        </w:rPr>
        <w:t xml:space="preserve">. These incentives are part of </w:t>
      </w:r>
      <w:r w:rsidR="00653DAC">
        <w:rPr>
          <w:rFonts w:cstheme="minorHAnsi"/>
        </w:rPr>
        <w:t>larger efforts at EOHHS</w:t>
      </w:r>
      <w:r w:rsidRPr="00254E34">
        <w:rPr>
          <w:rFonts w:cstheme="minorHAnsi"/>
        </w:rPr>
        <w:t xml:space="preserve"> to </w:t>
      </w:r>
      <w:r w:rsidR="00653DAC">
        <w:rPr>
          <w:rFonts w:cstheme="minorHAnsi"/>
        </w:rPr>
        <w:t xml:space="preserve">center equity alongside quality as </w:t>
      </w:r>
      <w:r w:rsidR="00015084">
        <w:rPr>
          <w:rFonts w:cstheme="minorHAnsi"/>
        </w:rPr>
        <w:t xml:space="preserve">a </w:t>
      </w:r>
      <w:r w:rsidR="00653DAC">
        <w:rPr>
          <w:rFonts w:cstheme="minorHAnsi"/>
        </w:rPr>
        <w:t>pillar</w:t>
      </w:r>
      <w:r w:rsidR="00015084">
        <w:rPr>
          <w:rFonts w:cstheme="minorHAnsi"/>
        </w:rPr>
        <w:t xml:space="preserve"> </w:t>
      </w:r>
      <w:r w:rsidR="00653DAC">
        <w:rPr>
          <w:rFonts w:cstheme="minorHAnsi"/>
        </w:rPr>
        <w:t>of value-based care and a</w:t>
      </w:r>
      <w:r w:rsidR="00E648BD">
        <w:rPr>
          <w:rFonts w:cstheme="minorHAnsi"/>
        </w:rPr>
        <w:t xml:space="preserve">s </w:t>
      </w:r>
      <w:r w:rsidR="00015084">
        <w:rPr>
          <w:rFonts w:cstheme="minorHAnsi"/>
        </w:rPr>
        <w:t xml:space="preserve">a </w:t>
      </w:r>
      <w:r w:rsidR="00653DAC">
        <w:rPr>
          <w:rFonts w:cstheme="minorHAnsi"/>
        </w:rPr>
        <w:t>priori</w:t>
      </w:r>
      <w:r w:rsidR="00015084">
        <w:rPr>
          <w:rFonts w:cstheme="minorHAnsi"/>
        </w:rPr>
        <w:t>ty</w:t>
      </w:r>
      <w:r w:rsidR="00653DAC">
        <w:rPr>
          <w:rFonts w:cstheme="minorHAnsi"/>
        </w:rPr>
        <w:t xml:space="preserve"> for the state’s health care system.</w:t>
      </w:r>
    </w:p>
    <w:p w14:paraId="66D455B9" w14:textId="2A4855AF" w:rsidR="001A22D7" w:rsidRPr="00254E34" w:rsidRDefault="000D400A" w:rsidP="00705A90">
      <w:pPr>
        <w:pStyle w:val="Heading2"/>
      </w:pPr>
      <w:bookmarkStart w:id="3" w:name="_Toc197680218"/>
      <w:r w:rsidRPr="00254E34">
        <w:t xml:space="preserve">1.2 </w:t>
      </w:r>
      <w:r w:rsidR="001A22D7" w:rsidRPr="00254E34">
        <w:t xml:space="preserve">Scope of this </w:t>
      </w:r>
      <w:r w:rsidR="00413E79" w:rsidRPr="00254E34">
        <w:t>CBHC Incentive Program PY</w:t>
      </w:r>
      <w:r w:rsidR="001A22D7" w:rsidRPr="00254E34">
        <w:t xml:space="preserve"> 2-5 Implementation Plan</w:t>
      </w:r>
      <w:bookmarkEnd w:id="3"/>
      <w:r w:rsidR="001A22D7" w:rsidRPr="00254E34">
        <w:t xml:space="preserve"> </w:t>
      </w:r>
    </w:p>
    <w:p w14:paraId="18FD97D0" w14:textId="6CDD40CD" w:rsidR="002952E9" w:rsidRPr="00254E34" w:rsidRDefault="001A22D7" w:rsidP="001A22D7">
      <w:pPr>
        <w:spacing w:after="0"/>
        <w:rPr>
          <w:rFonts w:cstheme="minorHAnsi"/>
        </w:rPr>
      </w:pPr>
      <w:r w:rsidRPr="00254E34">
        <w:rPr>
          <w:rFonts w:cstheme="minorHAnsi"/>
        </w:rPr>
        <w:t xml:space="preserve">This CBHC </w:t>
      </w:r>
      <w:r w:rsidR="00413E79" w:rsidRPr="00254E34">
        <w:rPr>
          <w:rFonts w:cstheme="minorHAnsi"/>
        </w:rPr>
        <w:t xml:space="preserve">Incentive Program </w:t>
      </w:r>
      <w:r w:rsidR="0045374E" w:rsidRPr="00254E34">
        <w:rPr>
          <w:rFonts w:cstheme="minorHAnsi"/>
        </w:rPr>
        <w:t xml:space="preserve">PY2-5 </w:t>
      </w:r>
      <w:r w:rsidRPr="00254E34">
        <w:rPr>
          <w:rFonts w:cstheme="minorHAnsi"/>
        </w:rPr>
        <w:t>Implementation Plan provides additional</w:t>
      </w:r>
      <w:r w:rsidR="00413E79" w:rsidRPr="00254E34">
        <w:rPr>
          <w:rFonts w:cstheme="minorHAnsi"/>
        </w:rPr>
        <w:t xml:space="preserve"> </w:t>
      </w:r>
      <w:r w:rsidRPr="00254E34">
        <w:rPr>
          <w:rFonts w:cstheme="minorHAnsi"/>
        </w:rPr>
        <w:t xml:space="preserve">detail related to implementation of MassHealth’s </w:t>
      </w:r>
      <w:r w:rsidR="00413E79" w:rsidRPr="00254E34">
        <w:rPr>
          <w:rFonts w:cstheme="minorHAnsi"/>
        </w:rPr>
        <w:t>CBHC Incentive Program, inclusive of the quality component (</w:t>
      </w:r>
      <w:r w:rsidR="002952E9" w:rsidRPr="00254E34">
        <w:rPr>
          <w:rFonts w:cstheme="minorHAnsi"/>
        </w:rPr>
        <w:t>C</w:t>
      </w:r>
      <w:r w:rsidR="00413E79" w:rsidRPr="00254E34">
        <w:rPr>
          <w:rFonts w:cstheme="minorHAnsi"/>
        </w:rPr>
        <w:t>CQI) and the health equity component (CQEIP)</w:t>
      </w:r>
      <w:r w:rsidRPr="00254E34">
        <w:rPr>
          <w:rFonts w:cstheme="minorHAnsi"/>
        </w:rPr>
        <w:t xml:space="preserve"> for Performance Years 2-5</w:t>
      </w:r>
      <w:r w:rsidR="00413E79" w:rsidRPr="00254E34">
        <w:rPr>
          <w:rFonts w:cstheme="minorHAnsi"/>
        </w:rPr>
        <w:t xml:space="preserve"> </w:t>
      </w:r>
      <w:r w:rsidRPr="00254E34">
        <w:rPr>
          <w:rFonts w:cstheme="minorHAnsi"/>
        </w:rPr>
        <w:t>(January 1, 2025 – December 31, 2028).</w:t>
      </w:r>
      <w:r w:rsidR="002952E9" w:rsidRPr="00254E34">
        <w:rPr>
          <w:rFonts w:cstheme="minorHAnsi"/>
        </w:rPr>
        <w:t xml:space="preserve"> Total</w:t>
      </w:r>
      <w:r w:rsidR="00015084">
        <w:rPr>
          <w:rFonts w:cstheme="minorHAnsi"/>
        </w:rPr>
        <w:t xml:space="preserve"> annual</w:t>
      </w:r>
      <w:r w:rsidR="002952E9" w:rsidRPr="00254E34">
        <w:rPr>
          <w:rFonts w:cstheme="minorHAnsi"/>
        </w:rPr>
        <w:t xml:space="preserve"> eligible incentive payment for </w:t>
      </w:r>
      <w:r w:rsidR="00015084" w:rsidRPr="00254E34">
        <w:rPr>
          <w:rFonts w:cstheme="minorHAnsi"/>
        </w:rPr>
        <w:t>PY</w:t>
      </w:r>
      <w:r w:rsidR="00015084">
        <w:rPr>
          <w:rFonts w:cstheme="minorHAnsi"/>
        </w:rPr>
        <w:t xml:space="preserve">2-5 </w:t>
      </w:r>
      <w:r w:rsidR="002952E9" w:rsidRPr="00254E34">
        <w:rPr>
          <w:rFonts w:cstheme="minorHAnsi"/>
        </w:rPr>
        <w:t xml:space="preserve">shall total no more than $17 million, with $8.5 million total eligible incentive payment possible in the CCQI and $8.5 million total eligible incentive payment possible in the CQEIP. </w:t>
      </w:r>
    </w:p>
    <w:p w14:paraId="6AC6D4E5" w14:textId="7AD708D5" w:rsidR="001A22D7" w:rsidRPr="00254E34" w:rsidRDefault="002952E9" w:rsidP="001A22D7">
      <w:pPr>
        <w:spacing w:after="0"/>
        <w:rPr>
          <w:rFonts w:cstheme="minorHAnsi"/>
        </w:rPr>
      </w:pPr>
      <w:r w:rsidRPr="00254E34">
        <w:rPr>
          <w:rFonts w:cstheme="minorHAnsi"/>
        </w:rPr>
        <w:t>Incentive payments will be determined by the performance of each CBHC’s Tax Identification Number (TIN)-billing entity</w:t>
      </w:r>
      <w:r w:rsidR="00000721">
        <w:rPr>
          <w:rFonts w:cstheme="minorHAnsi"/>
        </w:rPr>
        <w:t xml:space="preserve"> (see Appendix 1).</w:t>
      </w:r>
      <w:r w:rsidRPr="00254E34">
        <w:rPr>
          <w:rFonts w:cstheme="minorHAnsi"/>
        </w:rPr>
        <w:t xml:space="preserve"> Each CBHC's TIN-billing entity, whether operating one or more CBHC sites, is eligible to earn one incentive payment based on the performance of all CBHC sites operated by that TIN-billing entity. For the purposes of this document, references to “CBHC” refer to both a single CBHC site operating under a TIN- billing entity and multiple CBHC sites operating under one TIN-billing entity.</w:t>
      </w:r>
    </w:p>
    <w:p w14:paraId="4050ED33" w14:textId="3F97779F" w:rsidR="00897560" w:rsidRPr="00705A90" w:rsidRDefault="000D400A" w:rsidP="00705A90">
      <w:pPr>
        <w:pStyle w:val="Heading1"/>
      </w:pPr>
      <w:bookmarkStart w:id="4" w:name="_Toc197680219"/>
      <w:r w:rsidRPr="00705A90">
        <w:t>Section 2. Qualifications for Participation in the CBHC Incentive Program</w:t>
      </w:r>
      <w:bookmarkEnd w:id="4"/>
    </w:p>
    <w:p w14:paraId="708A395D" w14:textId="02FB040A" w:rsidR="00F96849" w:rsidRPr="00254E34" w:rsidRDefault="007C2E75" w:rsidP="00F96849">
      <w:pPr>
        <w:rPr>
          <w:rFonts w:cstheme="minorHAnsi"/>
        </w:rPr>
      </w:pPr>
      <w:r w:rsidRPr="00254E34">
        <w:rPr>
          <w:rFonts w:cstheme="minorHAnsi"/>
        </w:rPr>
        <w:t xml:space="preserve">Subject to any necessary legislative authorization, compliance with applicable federal and state statutes, regulations, state plan provisions, the availability of funds, and full federal financial participation, qualifying CBHCs may earn </w:t>
      </w:r>
      <w:r w:rsidR="005C2657" w:rsidRPr="00254E34">
        <w:rPr>
          <w:rFonts w:cstheme="minorHAnsi"/>
        </w:rPr>
        <w:t>C</w:t>
      </w:r>
      <w:r w:rsidR="005B7F0B" w:rsidRPr="00254E34">
        <w:rPr>
          <w:rFonts w:cstheme="minorHAnsi"/>
        </w:rPr>
        <w:t xml:space="preserve">CQI and CQEIP incentive payments </w:t>
      </w:r>
      <w:r w:rsidR="006D0A08" w:rsidRPr="00254E34">
        <w:rPr>
          <w:rFonts w:cstheme="minorHAnsi"/>
        </w:rPr>
        <w:t xml:space="preserve">regarding their respective completion of requirements and performance in PY2-5. </w:t>
      </w:r>
      <w:proofErr w:type="gramStart"/>
      <w:r w:rsidR="006D0A08" w:rsidRPr="00254E34">
        <w:rPr>
          <w:rFonts w:cstheme="minorHAnsi"/>
        </w:rPr>
        <w:t>In order to</w:t>
      </w:r>
      <w:proofErr w:type="gramEnd"/>
      <w:r w:rsidR="006D0A08" w:rsidRPr="00254E34">
        <w:rPr>
          <w:rFonts w:cstheme="minorHAnsi"/>
        </w:rPr>
        <w:t xml:space="preserve"> qualify for payments, CBHCs must meet the following criteria:</w:t>
      </w:r>
    </w:p>
    <w:p w14:paraId="654ED758" w14:textId="56ABCD92" w:rsidR="005B7F0B" w:rsidRPr="008918C2" w:rsidRDefault="005B7F0B" w:rsidP="00761AF7">
      <w:pPr>
        <w:pStyle w:val="ListParagraph"/>
        <w:numPr>
          <w:ilvl w:val="0"/>
          <w:numId w:val="3"/>
        </w:numPr>
        <w:spacing w:before="240"/>
        <w:rPr>
          <w:rFonts w:asciiTheme="minorHAnsi" w:hAnsiTheme="minorHAnsi" w:cstheme="minorHAnsi"/>
          <w:color w:val="000000" w:themeColor="text1"/>
          <w:sz w:val="22"/>
          <w:szCs w:val="22"/>
        </w:rPr>
      </w:pPr>
      <w:r w:rsidRPr="008918C2">
        <w:rPr>
          <w:rFonts w:asciiTheme="minorHAnsi" w:hAnsiTheme="minorHAnsi" w:cstheme="minorHAnsi"/>
          <w:color w:val="000000" w:themeColor="text1"/>
          <w:sz w:val="22"/>
          <w:szCs w:val="22"/>
        </w:rPr>
        <w:t>Be an MCE-contracted CBHC in good standing, as determined by EOHHS</w:t>
      </w:r>
      <w:r w:rsidR="009E7975" w:rsidRPr="008918C2">
        <w:rPr>
          <w:rFonts w:asciiTheme="minorHAnsi" w:hAnsiTheme="minorHAnsi" w:cstheme="minorHAnsi"/>
          <w:color w:val="000000" w:themeColor="text1"/>
          <w:sz w:val="22"/>
          <w:szCs w:val="22"/>
        </w:rPr>
        <w:t>;</w:t>
      </w:r>
    </w:p>
    <w:p w14:paraId="1CA83286" w14:textId="7B690CF1" w:rsidR="005B7F0B" w:rsidRPr="008918C2" w:rsidRDefault="005B7F0B" w:rsidP="00761AF7">
      <w:pPr>
        <w:pStyle w:val="ListParagraph"/>
        <w:numPr>
          <w:ilvl w:val="0"/>
          <w:numId w:val="3"/>
        </w:numPr>
        <w:spacing w:before="240"/>
        <w:rPr>
          <w:rFonts w:asciiTheme="minorHAnsi" w:hAnsiTheme="minorHAnsi" w:cstheme="minorHAnsi"/>
          <w:color w:val="000000" w:themeColor="text1"/>
          <w:sz w:val="22"/>
          <w:szCs w:val="22"/>
        </w:rPr>
      </w:pPr>
      <w:r w:rsidRPr="008918C2">
        <w:rPr>
          <w:rFonts w:asciiTheme="minorHAnsi" w:hAnsiTheme="minorHAnsi" w:cstheme="minorHAnsi"/>
          <w:color w:val="000000" w:themeColor="text1"/>
          <w:sz w:val="22"/>
          <w:szCs w:val="22"/>
        </w:rPr>
        <w:lastRenderedPageBreak/>
        <w:t>Qualify for incentive payment as per performance assessment methodology, a</w:t>
      </w:r>
      <w:r w:rsidRPr="00EE22DE">
        <w:rPr>
          <w:rFonts w:asciiTheme="minorHAnsi" w:hAnsiTheme="minorHAnsi" w:cstheme="minorHAnsi"/>
          <w:color w:val="000000" w:themeColor="text1"/>
          <w:sz w:val="22"/>
          <w:szCs w:val="22"/>
        </w:rPr>
        <w:t xml:space="preserve">s described in </w:t>
      </w:r>
      <w:r w:rsidR="00EE22DE" w:rsidRPr="00EE22DE">
        <w:rPr>
          <w:rFonts w:asciiTheme="minorHAnsi" w:hAnsiTheme="minorHAnsi" w:cstheme="minorHAnsi"/>
          <w:color w:val="000000" w:themeColor="text1"/>
          <w:sz w:val="22"/>
          <w:szCs w:val="22"/>
        </w:rPr>
        <w:t>Section</w:t>
      </w:r>
      <w:r w:rsidR="00F308BC">
        <w:rPr>
          <w:rFonts w:asciiTheme="minorHAnsi" w:hAnsiTheme="minorHAnsi" w:cstheme="minorHAnsi"/>
          <w:color w:val="000000" w:themeColor="text1"/>
          <w:sz w:val="22"/>
          <w:szCs w:val="22"/>
        </w:rPr>
        <w:t xml:space="preserve">s 3.3 and </w:t>
      </w:r>
      <w:r w:rsidR="00EE22DE" w:rsidRPr="00EE22DE">
        <w:rPr>
          <w:rFonts w:asciiTheme="minorHAnsi" w:hAnsiTheme="minorHAnsi" w:cstheme="minorHAnsi"/>
          <w:color w:val="000000" w:themeColor="text1"/>
          <w:sz w:val="22"/>
          <w:szCs w:val="22"/>
        </w:rPr>
        <w:t xml:space="preserve"> 4.</w:t>
      </w:r>
      <w:r w:rsidR="00C44C63">
        <w:rPr>
          <w:rFonts w:asciiTheme="minorHAnsi" w:hAnsiTheme="minorHAnsi" w:cstheme="minorHAnsi"/>
          <w:color w:val="000000" w:themeColor="text1"/>
          <w:sz w:val="22"/>
          <w:szCs w:val="22"/>
        </w:rPr>
        <w:t>4;</w:t>
      </w:r>
      <w:r w:rsidRPr="00EE22DE">
        <w:rPr>
          <w:rFonts w:asciiTheme="minorHAnsi" w:hAnsiTheme="minorHAnsi" w:cstheme="minorHAnsi"/>
          <w:color w:val="000000" w:themeColor="text1"/>
          <w:sz w:val="22"/>
          <w:szCs w:val="22"/>
        </w:rPr>
        <w:t xml:space="preserve"> and</w:t>
      </w:r>
      <w:r w:rsidRPr="008918C2">
        <w:rPr>
          <w:rFonts w:asciiTheme="minorHAnsi" w:hAnsiTheme="minorHAnsi" w:cstheme="minorHAnsi"/>
          <w:color w:val="000000" w:themeColor="text1"/>
          <w:sz w:val="22"/>
          <w:szCs w:val="22"/>
        </w:rPr>
        <w:t xml:space="preserve"> </w:t>
      </w:r>
    </w:p>
    <w:p w14:paraId="7BA6F333" w14:textId="696FE870" w:rsidR="005B7F0B" w:rsidRPr="008918C2" w:rsidRDefault="00593A67" w:rsidP="00761AF7">
      <w:pPr>
        <w:pStyle w:val="ListParagraph"/>
        <w:numPr>
          <w:ilvl w:val="0"/>
          <w:numId w:val="3"/>
        </w:numPr>
        <w:spacing w:before="240"/>
        <w:rPr>
          <w:rFonts w:asciiTheme="minorHAnsi" w:hAnsiTheme="minorHAnsi" w:cstheme="minorHAnsi"/>
          <w:color w:val="000000" w:themeColor="text1"/>
          <w:sz w:val="22"/>
          <w:szCs w:val="22"/>
        </w:rPr>
      </w:pPr>
      <w:r w:rsidRPr="008918C2">
        <w:rPr>
          <w:rFonts w:asciiTheme="minorHAnsi" w:hAnsiTheme="minorHAnsi" w:cstheme="minorHAnsi"/>
          <w:b/>
          <w:bCs/>
          <w:color w:val="000000" w:themeColor="text1"/>
          <w:sz w:val="22"/>
          <w:szCs w:val="22"/>
        </w:rPr>
        <w:t>FOR CQEIP ONLY</w:t>
      </w:r>
      <w:r w:rsidRPr="008918C2">
        <w:rPr>
          <w:rFonts w:asciiTheme="minorHAnsi" w:hAnsiTheme="minorHAnsi" w:cstheme="minorHAnsi"/>
          <w:color w:val="000000" w:themeColor="text1"/>
          <w:sz w:val="22"/>
          <w:szCs w:val="22"/>
        </w:rPr>
        <w:t xml:space="preserve">: </w:t>
      </w:r>
      <w:r w:rsidR="005B7F0B" w:rsidRPr="008918C2">
        <w:rPr>
          <w:rFonts w:asciiTheme="minorHAnsi" w:hAnsiTheme="minorHAnsi" w:cstheme="minorHAnsi"/>
          <w:color w:val="000000" w:themeColor="text1"/>
          <w:sz w:val="22"/>
          <w:szCs w:val="22"/>
        </w:rPr>
        <w:t>Submit a timely and complete CQEIP Participation Attestation</w:t>
      </w:r>
      <w:r w:rsidRPr="008918C2">
        <w:rPr>
          <w:rFonts w:asciiTheme="minorHAnsi" w:hAnsiTheme="minorHAnsi" w:cstheme="minorHAnsi"/>
          <w:color w:val="000000" w:themeColor="text1"/>
          <w:sz w:val="22"/>
          <w:szCs w:val="22"/>
        </w:rPr>
        <w:t xml:space="preserve"> annually</w:t>
      </w:r>
      <w:r w:rsidR="005B7F0B" w:rsidRPr="008918C2">
        <w:rPr>
          <w:rFonts w:asciiTheme="minorHAnsi" w:hAnsiTheme="minorHAnsi" w:cstheme="minorHAnsi"/>
          <w:color w:val="000000" w:themeColor="text1"/>
          <w:sz w:val="22"/>
          <w:szCs w:val="22"/>
        </w:rPr>
        <w:t xml:space="preserve"> by </w:t>
      </w:r>
      <w:r w:rsidR="00555580" w:rsidRPr="008918C2">
        <w:rPr>
          <w:rFonts w:asciiTheme="minorHAnsi" w:hAnsiTheme="minorHAnsi" w:cstheme="minorHAnsi"/>
          <w:b/>
          <w:bCs/>
          <w:color w:val="000000" w:themeColor="text1"/>
          <w:sz w:val="22"/>
          <w:szCs w:val="22"/>
        </w:rPr>
        <w:t>April 15th</w:t>
      </w:r>
      <w:r w:rsidRPr="008918C2">
        <w:rPr>
          <w:rFonts w:asciiTheme="minorHAnsi" w:hAnsiTheme="minorHAnsi" w:cstheme="minorHAnsi"/>
          <w:b/>
          <w:bCs/>
          <w:color w:val="000000" w:themeColor="text1"/>
          <w:sz w:val="22"/>
          <w:szCs w:val="22"/>
        </w:rPr>
        <w:t xml:space="preserve"> of the Performance Year (e.g., </w:t>
      </w:r>
      <w:r w:rsidR="00555580" w:rsidRPr="008918C2">
        <w:rPr>
          <w:rFonts w:asciiTheme="minorHAnsi" w:hAnsiTheme="minorHAnsi" w:cstheme="minorHAnsi"/>
          <w:b/>
          <w:bCs/>
          <w:color w:val="000000" w:themeColor="text1"/>
          <w:sz w:val="22"/>
          <w:szCs w:val="22"/>
        </w:rPr>
        <w:t>April 15</w:t>
      </w:r>
      <w:r w:rsidRPr="008918C2">
        <w:rPr>
          <w:rFonts w:asciiTheme="minorHAnsi" w:hAnsiTheme="minorHAnsi" w:cstheme="minorHAnsi"/>
          <w:b/>
          <w:bCs/>
          <w:color w:val="000000" w:themeColor="text1"/>
          <w:sz w:val="22"/>
          <w:szCs w:val="22"/>
        </w:rPr>
        <w:t xml:space="preserve">, 2025 for PY2) </w:t>
      </w:r>
      <w:r w:rsidR="005B7F0B" w:rsidRPr="008918C2">
        <w:rPr>
          <w:rFonts w:asciiTheme="minorHAnsi" w:hAnsiTheme="minorHAnsi" w:cstheme="minorHAnsi"/>
          <w:color w:val="000000" w:themeColor="text1"/>
          <w:sz w:val="22"/>
          <w:szCs w:val="22"/>
        </w:rPr>
        <w:t xml:space="preserve">in which each CBHC attests </w:t>
      </w:r>
      <w:r w:rsidR="0032459E" w:rsidRPr="008918C2">
        <w:rPr>
          <w:rFonts w:asciiTheme="minorHAnsi" w:hAnsiTheme="minorHAnsi" w:cstheme="minorHAnsi"/>
          <w:color w:val="000000" w:themeColor="text1"/>
          <w:sz w:val="22"/>
          <w:szCs w:val="22"/>
        </w:rPr>
        <w:t>that it intends to participate in the CQEIP and</w:t>
      </w:r>
      <w:r w:rsidR="005B7F0B" w:rsidRPr="008918C2">
        <w:rPr>
          <w:rFonts w:asciiTheme="minorHAnsi" w:hAnsiTheme="minorHAnsi" w:cstheme="minorHAnsi"/>
          <w:color w:val="000000" w:themeColor="text1"/>
          <w:sz w:val="22"/>
          <w:szCs w:val="22"/>
        </w:rPr>
        <w:t xml:space="preserve"> maintain the following activities</w:t>
      </w:r>
      <w:r w:rsidRPr="008918C2">
        <w:rPr>
          <w:rFonts w:asciiTheme="minorHAnsi" w:hAnsiTheme="minorHAnsi" w:cstheme="minorHAnsi"/>
          <w:color w:val="000000" w:themeColor="text1"/>
          <w:sz w:val="22"/>
          <w:szCs w:val="22"/>
        </w:rPr>
        <w:t>:</w:t>
      </w:r>
    </w:p>
    <w:p w14:paraId="4ECCF864" w14:textId="7C0EF147" w:rsidR="005B7F0B" w:rsidRPr="008918C2" w:rsidRDefault="005B7F0B" w:rsidP="00761AF7">
      <w:pPr>
        <w:pStyle w:val="ListParagraph"/>
        <w:numPr>
          <w:ilvl w:val="1"/>
          <w:numId w:val="3"/>
        </w:numPr>
        <w:spacing w:before="240"/>
        <w:rPr>
          <w:rFonts w:asciiTheme="minorHAnsi" w:hAnsiTheme="minorHAnsi" w:cstheme="minorHAnsi"/>
          <w:color w:val="000000" w:themeColor="text1"/>
          <w:sz w:val="22"/>
          <w:szCs w:val="22"/>
        </w:rPr>
      </w:pPr>
      <w:r w:rsidRPr="008918C2">
        <w:rPr>
          <w:rFonts w:asciiTheme="minorHAnsi" w:hAnsiTheme="minorHAnsi" w:cstheme="minorHAnsi"/>
          <w:color w:val="000000" w:themeColor="text1"/>
          <w:sz w:val="22"/>
          <w:szCs w:val="22"/>
        </w:rPr>
        <w:t xml:space="preserve">Establish and maintain a Health Quality and Equity Committee (HQEC). </w:t>
      </w:r>
    </w:p>
    <w:p w14:paraId="286200C0" w14:textId="77777777" w:rsidR="005B7F0B" w:rsidRPr="008918C2" w:rsidRDefault="005B7F0B" w:rsidP="00761AF7">
      <w:pPr>
        <w:pStyle w:val="ListParagraph"/>
        <w:numPr>
          <w:ilvl w:val="2"/>
          <w:numId w:val="3"/>
        </w:numPr>
        <w:spacing w:before="240"/>
        <w:rPr>
          <w:rFonts w:asciiTheme="minorHAnsi" w:hAnsiTheme="minorHAnsi" w:cstheme="minorHAnsi"/>
          <w:color w:val="000000" w:themeColor="text1"/>
          <w:sz w:val="22"/>
          <w:szCs w:val="22"/>
        </w:rPr>
      </w:pPr>
      <w:r w:rsidRPr="008918C2">
        <w:rPr>
          <w:rFonts w:asciiTheme="minorHAnsi" w:hAnsiTheme="minorHAnsi" w:cstheme="minorHAnsi"/>
          <w:color w:val="000000" w:themeColor="text1"/>
          <w:sz w:val="22"/>
          <w:szCs w:val="22"/>
        </w:rPr>
        <w:t>The HQEC shall have representation from various stakeholders, including but not limited to:</w:t>
      </w:r>
    </w:p>
    <w:p w14:paraId="52C39938" w14:textId="77777777" w:rsidR="005B7F0B" w:rsidRPr="008918C2" w:rsidRDefault="005B7F0B" w:rsidP="00761AF7">
      <w:pPr>
        <w:pStyle w:val="ListParagraph"/>
        <w:numPr>
          <w:ilvl w:val="3"/>
          <w:numId w:val="3"/>
        </w:numPr>
        <w:spacing w:before="240"/>
        <w:rPr>
          <w:rFonts w:asciiTheme="minorHAnsi" w:hAnsiTheme="minorHAnsi" w:cstheme="minorHAnsi"/>
          <w:color w:val="000000" w:themeColor="text1"/>
          <w:sz w:val="22"/>
          <w:szCs w:val="22"/>
        </w:rPr>
      </w:pPr>
      <w:r w:rsidRPr="008918C2">
        <w:rPr>
          <w:rFonts w:asciiTheme="minorHAnsi" w:hAnsiTheme="minorHAnsi" w:cstheme="minorHAnsi"/>
          <w:color w:val="000000" w:themeColor="text1"/>
          <w:sz w:val="22"/>
          <w:szCs w:val="22"/>
        </w:rPr>
        <w:t>CBHC clinical staff;</w:t>
      </w:r>
    </w:p>
    <w:p w14:paraId="34D9E085" w14:textId="77777777" w:rsidR="005B7F0B" w:rsidRPr="008918C2" w:rsidRDefault="005B7F0B" w:rsidP="00761AF7">
      <w:pPr>
        <w:pStyle w:val="ListParagraph"/>
        <w:numPr>
          <w:ilvl w:val="3"/>
          <w:numId w:val="3"/>
        </w:numPr>
        <w:spacing w:before="240"/>
        <w:rPr>
          <w:rFonts w:asciiTheme="minorHAnsi" w:hAnsiTheme="minorHAnsi" w:cstheme="minorHAnsi"/>
          <w:color w:val="000000" w:themeColor="text1"/>
          <w:sz w:val="22"/>
          <w:szCs w:val="22"/>
        </w:rPr>
      </w:pPr>
      <w:r w:rsidRPr="008918C2">
        <w:rPr>
          <w:rFonts w:asciiTheme="minorHAnsi" w:hAnsiTheme="minorHAnsi" w:cstheme="minorHAnsi"/>
          <w:color w:val="000000" w:themeColor="text1"/>
          <w:sz w:val="22"/>
          <w:szCs w:val="22"/>
        </w:rPr>
        <w:t>CBHC non-clinical staff; and</w:t>
      </w:r>
    </w:p>
    <w:p w14:paraId="25872CBA" w14:textId="77777777" w:rsidR="005B7F0B" w:rsidRPr="008918C2" w:rsidRDefault="005B7F0B" w:rsidP="00761AF7">
      <w:pPr>
        <w:pStyle w:val="ListParagraph"/>
        <w:numPr>
          <w:ilvl w:val="3"/>
          <w:numId w:val="3"/>
        </w:numPr>
        <w:spacing w:before="240"/>
        <w:rPr>
          <w:rFonts w:asciiTheme="minorHAnsi" w:hAnsiTheme="minorHAnsi" w:cstheme="minorHAnsi"/>
          <w:color w:val="000000" w:themeColor="text1"/>
          <w:sz w:val="22"/>
          <w:szCs w:val="22"/>
        </w:rPr>
      </w:pPr>
      <w:r w:rsidRPr="008918C2">
        <w:rPr>
          <w:rFonts w:asciiTheme="minorHAnsi" w:hAnsiTheme="minorHAnsi" w:cstheme="minorHAnsi"/>
          <w:color w:val="000000" w:themeColor="text1"/>
          <w:sz w:val="22"/>
          <w:szCs w:val="22"/>
        </w:rPr>
        <w:t>At least two MassHealth members or family members of MassHealth members.</w:t>
      </w:r>
    </w:p>
    <w:p w14:paraId="4DCBB050" w14:textId="77777777" w:rsidR="005B7F0B" w:rsidRPr="008918C2" w:rsidRDefault="005B7F0B" w:rsidP="00761AF7">
      <w:pPr>
        <w:pStyle w:val="ListParagraph"/>
        <w:numPr>
          <w:ilvl w:val="2"/>
          <w:numId w:val="3"/>
        </w:numPr>
        <w:spacing w:before="240"/>
        <w:rPr>
          <w:rFonts w:asciiTheme="minorHAnsi" w:hAnsiTheme="minorHAnsi" w:cstheme="minorHAnsi"/>
          <w:color w:val="000000" w:themeColor="text1"/>
          <w:sz w:val="22"/>
          <w:szCs w:val="22"/>
        </w:rPr>
      </w:pPr>
      <w:r w:rsidRPr="008918C2">
        <w:rPr>
          <w:rFonts w:asciiTheme="minorHAnsi" w:hAnsiTheme="minorHAnsi" w:cstheme="minorHAnsi"/>
          <w:color w:val="000000" w:themeColor="text1"/>
          <w:sz w:val="22"/>
          <w:szCs w:val="22"/>
        </w:rPr>
        <w:t>Responsibilities of the HQEC must include but are not limited to:</w:t>
      </w:r>
    </w:p>
    <w:p w14:paraId="1A37D79D" w14:textId="644B3B7C" w:rsidR="005B7F0B" w:rsidRPr="008918C2" w:rsidRDefault="005B7F0B" w:rsidP="00761AF7">
      <w:pPr>
        <w:pStyle w:val="ListParagraph"/>
        <w:numPr>
          <w:ilvl w:val="3"/>
          <w:numId w:val="3"/>
        </w:numPr>
        <w:spacing w:before="240"/>
        <w:rPr>
          <w:rFonts w:asciiTheme="minorHAnsi" w:hAnsiTheme="minorHAnsi" w:cstheme="minorHAnsi"/>
          <w:color w:val="000000" w:themeColor="text1"/>
          <w:sz w:val="22"/>
          <w:szCs w:val="22"/>
        </w:rPr>
      </w:pPr>
      <w:r w:rsidRPr="008918C2">
        <w:rPr>
          <w:rFonts w:asciiTheme="minorHAnsi" w:hAnsiTheme="minorHAnsi" w:cstheme="minorHAnsi"/>
          <w:color w:val="000000" w:themeColor="text1"/>
          <w:sz w:val="22"/>
          <w:szCs w:val="22"/>
        </w:rPr>
        <w:t>Developing and steering implementation of the CBHC’s QEIP strategy;</w:t>
      </w:r>
    </w:p>
    <w:p w14:paraId="6B5760BF" w14:textId="77777777" w:rsidR="005B7F0B" w:rsidRPr="008918C2" w:rsidRDefault="005B7F0B" w:rsidP="00761AF7">
      <w:pPr>
        <w:pStyle w:val="ListParagraph"/>
        <w:numPr>
          <w:ilvl w:val="3"/>
          <w:numId w:val="3"/>
        </w:numPr>
        <w:spacing w:before="240"/>
        <w:rPr>
          <w:rFonts w:asciiTheme="minorHAnsi" w:hAnsiTheme="minorHAnsi" w:cstheme="minorHAnsi"/>
          <w:color w:val="000000" w:themeColor="text1"/>
          <w:sz w:val="22"/>
          <w:szCs w:val="22"/>
        </w:rPr>
      </w:pPr>
      <w:r w:rsidRPr="008918C2">
        <w:rPr>
          <w:rFonts w:asciiTheme="minorHAnsi" w:hAnsiTheme="minorHAnsi" w:cstheme="minorHAnsi"/>
          <w:color w:val="000000" w:themeColor="text1"/>
          <w:sz w:val="22"/>
          <w:szCs w:val="22"/>
        </w:rPr>
        <w:t>Monitoring progress towards addressing inequities;</w:t>
      </w:r>
      <w:r w:rsidRPr="008918C2">
        <w:rPr>
          <w:rFonts w:asciiTheme="minorHAnsi" w:hAnsiTheme="minorHAnsi" w:cstheme="minorHAnsi"/>
          <w:color w:val="000000" w:themeColor="text1"/>
          <w:sz w:val="22"/>
          <w:szCs w:val="22"/>
        </w:rPr>
        <w:tab/>
      </w:r>
    </w:p>
    <w:p w14:paraId="122780DE" w14:textId="77777777" w:rsidR="005B7F0B" w:rsidRPr="008918C2" w:rsidRDefault="005B7F0B" w:rsidP="00761AF7">
      <w:pPr>
        <w:pStyle w:val="ListParagraph"/>
        <w:numPr>
          <w:ilvl w:val="3"/>
          <w:numId w:val="3"/>
        </w:numPr>
        <w:spacing w:before="240"/>
        <w:rPr>
          <w:rFonts w:asciiTheme="minorHAnsi" w:hAnsiTheme="minorHAnsi" w:cstheme="minorHAnsi"/>
          <w:color w:val="000000" w:themeColor="text1"/>
          <w:sz w:val="22"/>
          <w:szCs w:val="22"/>
        </w:rPr>
      </w:pPr>
      <w:r w:rsidRPr="008918C2">
        <w:rPr>
          <w:rFonts w:asciiTheme="minorHAnsi" w:hAnsiTheme="minorHAnsi" w:cstheme="minorHAnsi"/>
          <w:color w:val="000000" w:themeColor="text1"/>
          <w:sz w:val="22"/>
          <w:szCs w:val="22"/>
        </w:rPr>
        <w:t>Developing Health Equity reporting;</w:t>
      </w:r>
    </w:p>
    <w:p w14:paraId="10877355" w14:textId="77777777" w:rsidR="005B7F0B" w:rsidRPr="008918C2" w:rsidRDefault="005B7F0B" w:rsidP="00761AF7">
      <w:pPr>
        <w:pStyle w:val="ListParagraph"/>
        <w:numPr>
          <w:ilvl w:val="3"/>
          <w:numId w:val="3"/>
        </w:numPr>
        <w:spacing w:before="240"/>
        <w:rPr>
          <w:rFonts w:asciiTheme="minorHAnsi" w:hAnsiTheme="minorHAnsi" w:cstheme="minorHAnsi"/>
          <w:color w:val="000000" w:themeColor="text1"/>
          <w:sz w:val="22"/>
          <w:szCs w:val="22"/>
        </w:rPr>
      </w:pPr>
      <w:r w:rsidRPr="008918C2">
        <w:rPr>
          <w:rFonts w:asciiTheme="minorHAnsi" w:hAnsiTheme="minorHAnsi" w:cstheme="minorHAnsi"/>
          <w:color w:val="000000" w:themeColor="text1"/>
          <w:sz w:val="22"/>
          <w:szCs w:val="22"/>
        </w:rPr>
        <w:t>Sharing all relevant information with the CBHC’s Community Accountability Board</w:t>
      </w:r>
    </w:p>
    <w:p w14:paraId="37603D93" w14:textId="77777777" w:rsidR="005B7F0B" w:rsidRPr="008918C2" w:rsidRDefault="005B7F0B" w:rsidP="00761AF7">
      <w:pPr>
        <w:pStyle w:val="ListParagraph"/>
        <w:numPr>
          <w:ilvl w:val="1"/>
          <w:numId w:val="3"/>
        </w:numPr>
        <w:spacing w:before="240"/>
        <w:rPr>
          <w:rFonts w:asciiTheme="minorHAnsi" w:hAnsiTheme="minorHAnsi" w:cstheme="minorHAnsi"/>
          <w:color w:val="000000" w:themeColor="text1"/>
          <w:sz w:val="22"/>
          <w:szCs w:val="22"/>
        </w:rPr>
      </w:pPr>
      <w:r w:rsidRPr="008918C2">
        <w:rPr>
          <w:rFonts w:asciiTheme="minorHAnsi" w:hAnsiTheme="minorHAnsi" w:cstheme="minorHAnsi"/>
          <w:color w:val="000000" w:themeColor="text1"/>
          <w:sz w:val="22"/>
          <w:szCs w:val="22"/>
        </w:rPr>
        <w:t>Establish and maintain a Community Accountability Board (CAB).</w:t>
      </w:r>
    </w:p>
    <w:p w14:paraId="02270500" w14:textId="77777777" w:rsidR="005B7F0B" w:rsidRPr="008918C2" w:rsidRDefault="005B7F0B" w:rsidP="00761AF7">
      <w:pPr>
        <w:pStyle w:val="ListParagraph"/>
        <w:numPr>
          <w:ilvl w:val="2"/>
          <w:numId w:val="3"/>
        </w:numPr>
        <w:spacing w:before="240"/>
        <w:rPr>
          <w:rFonts w:asciiTheme="minorHAnsi" w:hAnsiTheme="minorHAnsi" w:cstheme="minorHAnsi"/>
          <w:color w:val="000000" w:themeColor="text1"/>
          <w:sz w:val="22"/>
          <w:szCs w:val="22"/>
        </w:rPr>
      </w:pPr>
      <w:r w:rsidRPr="008918C2">
        <w:rPr>
          <w:rFonts w:asciiTheme="minorHAnsi" w:hAnsiTheme="minorHAnsi" w:cstheme="minorHAnsi"/>
          <w:color w:val="000000" w:themeColor="text1"/>
          <w:sz w:val="22"/>
          <w:szCs w:val="22"/>
        </w:rPr>
        <w:t>Duties of the CAB must include, but are not limited to:</w:t>
      </w:r>
    </w:p>
    <w:p w14:paraId="2DF78740" w14:textId="77777777" w:rsidR="005B7F0B" w:rsidRPr="008918C2" w:rsidRDefault="005B7F0B" w:rsidP="00761AF7">
      <w:pPr>
        <w:pStyle w:val="ListParagraph"/>
        <w:numPr>
          <w:ilvl w:val="3"/>
          <w:numId w:val="3"/>
        </w:numPr>
        <w:spacing w:before="240"/>
        <w:rPr>
          <w:rFonts w:asciiTheme="minorHAnsi" w:hAnsiTheme="minorHAnsi" w:cstheme="minorHAnsi"/>
          <w:color w:val="000000" w:themeColor="text1"/>
          <w:sz w:val="22"/>
          <w:szCs w:val="22"/>
        </w:rPr>
      </w:pPr>
      <w:r w:rsidRPr="008918C2">
        <w:rPr>
          <w:rFonts w:asciiTheme="minorHAnsi" w:hAnsiTheme="minorHAnsi" w:cstheme="minorHAnsi"/>
          <w:color w:val="000000" w:themeColor="text1"/>
          <w:sz w:val="22"/>
          <w:szCs w:val="22"/>
        </w:rPr>
        <w:t>Providing regular feedback to the governing board on issues of care and services;</w:t>
      </w:r>
    </w:p>
    <w:p w14:paraId="0C0C6937" w14:textId="77777777" w:rsidR="005B7F0B" w:rsidRPr="008918C2" w:rsidRDefault="005B7F0B" w:rsidP="00761AF7">
      <w:pPr>
        <w:pStyle w:val="ListParagraph"/>
        <w:numPr>
          <w:ilvl w:val="3"/>
          <w:numId w:val="3"/>
        </w:numPr>
        <w:spacing w:before="240"/>
        <w:rPr>
          <w:rFonts w:asciiTheme="minorHAnsi" w:hAnsiTheme="minorHAnsi" w:cstheme="minorHAnsi"/>
          <w:color w:val="000000" w:themeColor="text1"/>
          <w:sz w:val="22"/>
          <w:szCs w:val="22"/>
        </w:rPr>
      </w:pPr>
      <w:r w:rsidRPr="008918C2">
        <w:rPr>
          <w:rFonts w:asciiTheme="minorHAnsi" w:hAnsiTheme="minorHAnsi" w:cstheme="minorHAnsi"/>
          <w:color w:val="000000" w:themeColor="text1"/>
          <w:sz w:val="22"/>
          <w:szCs w:val="22"/>
        </w:rPr>
        <w:t>Identifying and advocating for preventive care practices to be utilized by the CBHC;</w:t>
      </w:r>
    </w:p>
    <w:p w14:paraId="532D079F" w14:textId="77777777" w:rsidR="005B7F0B" w:rsidRPr="008918C2" w:rsidRDefault="005B7F0B" w:rsidP="00761AF7">
      <w:pPr>
        <w:pStyle w:val="ListParagraph"/>
        <w:numPr>
          <w:ilvl w:val="3"/>
          <w:numId w:val="3"/>
        </w:numPr>
        <w:spacing w:before="240"/>
        <w:rPr>
          <w:rFonts w:asciiTheme="minorHAnsi" w:hAnsiTheme="minorHAnsi" w:cstheme="minorHAnsi"/>
          <w:color w:val="000000" w:themeColor="text1"/>
          <w:sz w:val="22"/>
          <w:szCs w:val="22"/>
        </w:rPr>
      </w:pPr>
      <w:r w:rsidRPr="008918C2">
        <w:rPr>
          <w:rFonts w:asciiTheme="minorHAnsi" w:hAnsiTheme="minorHAnsi" w:cstheme="minorHAnsi"/>
          <w:color w:val="000000" w:themeColor="text1"/>
          <w:sz w:val="22"/>
          <w:szCs w:val="22"/>
        </w:rPr>
        <w:t>Being involved with the development and updating of cultural and linguistic policies and procedures, including those related to Quality Improvement, education, and operational and cultural competency issues affecting groups who speak a primary language other than English;</w:t>
      </w:r>
    </w:p>
    <w:p w14:paraId="018A31C9" w14:textId="77777777" w:rsidR="005B7F0B" w:rsidRPr="008918C2" w:rsidRDefault="005B7F0B" w:rsidP="00761AF7">
      <w:pPr>
        <w:pStyle w:val="ListParagraph"/>
        <w:numPr>
          <w:ilvl w:val="3"/>
          <w:numId w:val="3"/>
        </w:numPr>
        <w:spacing w:before="240"/>
        <w:rPr>
          <w:rFonts w:asciiTheme="minorHAnsi" w:hAnsiTheme="minorHAnsi" w:cstheme="minorHAnsi"/>
          <w:color w:val="000000" w:themeColor="text1"/>
          <w:sz w:val="22"/>
          <w:szCs w:val="22"/>
        </w:rPr>
      </w:pPr>
      <w:r w:rsidRPr="008918C2">
        <w:rPr>
          <w:rFonts w:asciiTheme="minorHAnsi" w:hAnsiTheme="minorHAnsi" w:cstheme="minorHAnsi"/>
          <w:color w:val="000000" w:themeColor="text1"/>
          <w:sz w:val="22"/>
          <w:szCs w:val="22"/>
        </w:rPr>
        <w:t xml:space="preserve">Advising on the cultural appropriateness and member-centeredness of necessary </w:t>
      </w:r>
      <w:proofErr w:type="gramStart"/>
      <w:r w:rsidRPr="008918C2">
        <w:rPr>
          <w:rFonts w:asciiTheme="minorHAnsi" w:hAnsiTheme="minorHAnsi" w:cstheme="minorHAnsi"/>
          <w:color w:val="000000" w:themeColor="text1"/>
          <w:sz w:val="22"/>
          <w:szCs w:val="22"/>
        </w:rPr>
        <w:t>member</w:t>
      </w:r>
      <w:proofErr w:type="gramEnd"/>
      <w:r w:rsidRPr="008918C2">
        <w:rPr>
          <w:rFonts w:asciiTheme="minorHAnsi" w:hAnsiTheme="minorHAnsi" w:cstheme="minorHAnsi"/>
          <w:color w:val="000000" w:themeColor="text1"/>
          <w:sz w:val="22"/>
          <w:szCs w:val="22"/>
        </w:rPr>
        <w:t xml:space="preserve"> or provider targeted services, programs, and </w:t>
      </w:r>
      <w:proofErr w:type="gramStart"/>
      <w:r w:rsidRPr="008918C2">
        <w:rPr>
          <w:rFonts w:asciiTheme="minorHAnsi" w:hAnsiTheme="minorHAnsi" w:cstheme="minorHAnsi"/>
          <w:color w:val="000000" w:themeColor="text1"/>
          <w:sz w:val="22"/>
          <w:szCs w:val="22"/>
        </w:rPr>
        <w:t>trainings</w:t>
      </w:r>
      <w:proofErr w:type="gramEnd"/>
      <w:r w:rsidRPr="008918C2">
        <w:rPr>
          <w:rFonts w:asciiTheme="minorHAnsi" w:hAnsiTheme="minorHAnsi" w:cstheme="minorHAnsi"/>
          <w:color w:val="000000" w:themeColor="text1"/>
          <w:sz w:val="22"/>
          <w:szCs w:val="22"/>
        </w:rPr>
        <w:t>; marketing materials and campaigns; and partnerships; and</w:t>
      </w:r>
    </w:p>
    <w:p w14:paraId="2DA4A963" w14:textId="77777777" w:rsidR="005B7F0B" w:rsidRPr="008918C2" w:rsidRDefault="005B7F0B" w:rsidP="00761AF7">
      <w:pPr>
        <w:pStyle w:val="ListParagraph"/>
        <w:numPr>
          <w:ilvl w:val="3"/>
          <w:numId w:val="3"/>
        </w:numPr>
        <w:spacing w:before="240"/>
        <w:rPr>
          <w:rFonts w:asciiTheme="minorHAnsi" w:hAnsiTheme="minorHAnsi" w:cstheme="minorHAnsi"/>
          <w:color w:val="000000" w:themeColor="text1"/>
          <w:sz w:val="22"/>
          <w:szCs w:val="22"/>
        </w:rPr>
      </w:pPr>
      <w:r w:rsidRPr="008918C2">
        <w:rPr>
          <w:rFonts w:asciiTheme="minorHAnsi" w:hAnsiTheme="minorHAnsi" w:cstheme="minorHAnsi"/>
          <w:color w:val="000000" w:themeColor="text1"/>
          <w:sz w:val="22"/>
          <w:szCs w:val="22"/>
        </w:rPr>
        <w:t xml:space="preserve"> Providing input and advice on member experience survey results and other appropriate data and assessments.</w:t>
      </w:r>
    </w:p>
    <w:p w14:paraId="21030BBE" w14:textId="77777777" w:rsidR="005B7F0B" w:rsidRPr="008918C2" w:rsidRDefault="005B7F0B" w:rsidP="00761AF7">
      <w:pPr>
        <w:pStyle w:val="ListParagraph"/>
        <w:numPr>
          <w:ilvl w:val="2"/>
          <w:numId w:val="3"/>
        </w:numPr>
        <w:spacing w:before="240"/>
        <w:rPr>
          <w:rFonts w:asciiTheme="minorHAnsi" w:hAnsiTheme="minorHAnsi" w:cstheme="minorHAnsi"/>
          <w:color w:val="000000" w:themeColor="text1"/>
          <w:sz w:val="22"/>
          <w:szCs w:val="22"/>
        </w:rPr>
      </w:pPr>
      <w:r w:rsidRPr="008918C2">
        <w:rPr>
          <w:rFonts w:asciiTheme="minorHAnsi" w:hAnsiTheme="minorHAnsi" w:cstheme="minorHAnsi"/>
          <w:color w:val="000000" w:themeColor="text1"/>
          <w:sz w:val="22"/>
          <w:szCs w:val="22"/>
        </w:rPr>
        <w:t>The CAB shall be exclusively made up of MassHealth members and family members of MassHealth members.</w:t>
      </w:r>
    </w:p>
    <w:p w14:paraId="0CE62FA9" w14:textId="77777777" w:rsidR="005B7F0B" w:rsidRPr="008918C2" w:rsidRDefault="005B7F0B" w:rsidP="00761AF7">
      <w:pPr>
        <w:pStyle w:val="ListParagraph"/>
        <w:numPr>
          <w:ilvl w:val="2"/>
          <w:numId w:val="3"/>
        </w:numPr>
        <w:spacing w:before="240"/>
        <w:rPr>
          <w:rFonts w:asciiTheme="minorHAnsi" w:hAnsiTheme="minorHAnsi" w:cstheme="minorHAnsi"/>
          <w:color w:val="000000" w:themeColor="text1"/>
          <w:sz w:val="22"/>
          <w:szCs w:val="22"/>
        </w:rPr>
      </w:pPr>
      <w:r w:rsidRPr="008918C2">
        <w:rPr>
          <w:rFonts w:asciiTheme="minorHAnsi" w:hAnsiTheme="minorHAnsi" w:cstheme="minorHAnsi"/>
          <w:color w:val="000000" w:themeColor="text1"/>
          <w:sz w:val="22"/>
          <w:szCs w:val="22"/>
        </w:rPr>
        <w:t>The composition of the CAB shall, to the extent possible, reflect the diversity of the MassHealth population, with a membership that:</w:t>
      </w:r>
    </w:p>
    <w:p w14:paraId="75BF27FE" w14:textId="77777777" w:rsidR="005B7F0B" w:rsidRPr="008918C2" w:rsidRDefault="005B7F0B" w:rsidP="00761AF7">
      <w:pPr>
        <w:pStyle w:val="ListParagraph"/>
        <w:numPr>
          <w:ilvl w:val="3"/>
          <w:numId w:val="3"/>
        </w:numPr>
        <w:spacing w:before="240"/>
        <w:rPr>
          <w:rFonts w:asciiTheme="minorHAnsi" w:hAnsiTheme="minorHAnsi" w:cstheme="minorHAnsi"/>
          <w:color w:val="000000" w:themeColor="text1"/>
          <w:sz w:val="22"/>
          <w:szCs w:val="22"/>
        </w:rPr>
      </w:pPr>
      <w:proofErr w:type="gramStart"/>
      <w:r w:rsidRPr="008918C2">
        <w:rPr>
          <w:rFonts w:asciiTheme="minorHAnsi" w:hAnsiTheme="minorHAnsi" w:cstheme="minorHAnsi"/>
          <w:color w:val="000000" w:themeColor="text1"/>
          <w:sz w:val="22"/>
          <w:szCs w:val="22"/>
        </w:rPr>
        <w:t>Considers</w:t>
      </w:r>
      <w:proofErr w:type="gramEnd"/>
      <w:r w:rsidRPr="008918C2">
        <w:rPr>
          <w:rFonts w:asciiTheme="minorHAnsi" w:hAnsiTheme="minorHAnsi" w:cstheme="minorHAnsi"/>
          <w:color w:val="000000" w:themeColor="text1"/>
          <w:sz w:val="22"/>
          <w:szCs w:val="22"/>
        </w:rPr>
        <w:t xml:space="preserve"> cultural, linguistic, racial, disability, sexual orientation, and gender identities, among others; and</w:t>
      </w:r>
    </w:p>
    <w:p w14:paraId="416E294E" w14:textId="77777777" w:rsidR="005B7F0B" w:rsidRPr="008918C2" w:rsidRDefault="005B7F0B" w:rsidP="00761AF7">
      <w:pPr>
        <w:pStyle w:val="ListParagraph"/>
        <w:numPr>
          <w:ilvl w:val="3"/>
          <w:numId w:val="3"/>
        </w:numPr>
        <w:spacing w:before="240"/>
        <w:rPr>
          <w:rFonts w:asciiTheme="minorHAnsi" w:hAnsiTheme="minorHAnsi" w:cstheme="minorHAnsi"/>
          <w:color w:val="000000" w:themeColor="text1"/>
          <w:sz w:val="22"/>
          <w:szCs w:val="22"/>
        </w:rPr>
      </w:pPr>
      <w:r w:rsidRPr="008918C2">
        <w:rPr>
          <w:rFonts w:asciiTheme="minorHAnsi" w:hAnsiTheme="minorHAnsi" w:cstheme="minorHAnsi"/>
          <w:color w:val="000000" w:themeColor="text1"/>
          <w:sz w:val="22"/>
          <w:szCs w:val="22"/>
        </w:rPr>
        <w:t>Includes representatives from parents or guardians of pediatric members.</w:t>
      </w:r>
    </w:p>
    <w:p w14:paraId="3A337877" w14:textId="77777777" w:rsidR="005B7F0B" w:rsidRPr="008918C2" w:rsidRDefault="005B7F0B" w:rsidP="00761AF7">
      <w:pPr>
        <w:pStyle w:val="ListParagraph"/>
        <w:numPr>
          <w:ilvl w:val="2"/>
          <w:numId w:val="3"/>
        </w:numPr>
        <w:spacing w:before="240"/>
        <w:rPr>
          <w:rFonts w:asciiTheme="minorHAnsi" w:hAnsiTheme="minorHAnsi" w:cstheme="minorHAnsi"/>
          <w:color w:val="000000" w:themeColor="text1"/>
          <w:sz w:val="22"/>
          <w:szCs w:val="22"/>
        </w:rPr>
      </w:pPr>
      <w:r w:rsidRPr="008918C2">
        <w:rPr>
          <w:rFonts w:asciiTheme="minorHAnsi" w:hAnsiTheme="minorHAnsi" w:cstheme="minorHAnsi"/>
          <w:color w:val="000000" w:themeColor="text1"/>
          <w:sz w:val="22"/>
          <w:szCs w:val="22"/>
        </w:rPr>
        <w:t>The CBHC shall ensure:</w:t>
      </w:r>
    </w:p>
    <w:p w14:paraId="63A152FB" w14:textId="77777777" w:rsidR="005B7F0B" w:rsidRPr="008918C2" w:rsidRDefault="005B7F0B" w:rsidP="00761AF7">
      <w:pPr>
        <w:pStyle w:val="ListParagraph"/>
        <w:numPr>
          <w:ilvl w:val="3"/>
          <w:numId w:val="3"/>
        </w:numPr>
        <w:spacing w:before="240"/>
        <w:rPr>
          <w:rFonts w:asciiTheme="minorHAnsi" w:hAnsiTheme="minorHAnsi" w:cstheme="minorHAnsi"/>
          <w:color w:val="000000" w:themeColor="text1"/>
          <w:sz w:val="22"/>
          <w:szCs w:val="22"/>
        </w:rPr>
      </w:pPr>
      <w:r w:rsidRPr="008918C2">
        <w:rPr>
          <w:rFonts w:asciiTheme="minorHAnsi" w:hAnsiTheme="minorHAnsi" w:cstheme="minorHAnsi"/>
          <w:color w:val="000000" w:themeColor="text1"/>
          <w:sz w:val="22"/>
          <w:szCs w:val="22"/>
        </w:rPr>
        <w:t xml:space="preserve">Reasonable </w:t>
      </w:r>
      <w:proofErr w:type="gramStart"/>
      <w:r w:rsidRPr="008918C2">
        <w:rPr>
          <w:rFonts w:asciiTheme="minorHAnsi" w:hAnsiTheme="minorHAnsi" w:cstheme="minorHAnsi"/>
          <w:color w:val="000000" w:themeColor="text1"/>
          <w:sz w:val="22"/>
          <w:szCs w:val="22"/>
        </w:rPr>
        <w:t>accommodations</w:t>
      </w:r>
      <w:proofErr w:type="gramEnd"/>
      <w:r w:rsidRPr="008918C2">
        <w:rPr>
          <w:rFonts w:asciiTheme="minorHAnsi" w:hAnsiTheme="minorHAnsi" w:cstheme="minorHAnsi"/>
          <w:color w:val="000000" w:themeColor="text1"/>
          <w:sz w:val="22"/>
          <w:szCs w:val="22"/>
        </w:rPr>
        <w:t>, including interpreter services, as well as other resources are provided as may be needed to support participation by members and their family members in the CAB; and</w:t>
      </w:r>
    </w:p>
    <w:p w14:paraId="30B3696A" w14:textId="77777777" w:rsidR="00B62DCC" w:rsidRDefault="005B7F0B" w:rsidP="00761AF7">
      <w:pPr>
        <w:pStyle w:val="ListParagraph"/>
        <w:numPr>
          <w:ilvl w:val="3"/>
          <w:numId w:val="3"/>
        </w:numPr>
        <w:spacing w:before="240"/>
        <w:rPr>
          <w:rFonts w:asciiTheme="minorHAnsi" w:hAnsiTheme="minorHAnsi" w:cstheme="minorHAnsi"/>
          <w:color w:val="000000" w:themeColor="text1"/>
          <w:sz w:val="22"/>
          <w:szCs w:val="22"/>
        </w:rPr>
      </w:pPr>
      <w:r w:rsidRPr="008918C2">
        <w:rPr>
          <w:rFonts w:asciiTheme="minorHAnsi" w:hAnsiTheme="minorHAnsi" w:cstheme="minorHAnsi"/>
          <w:color w:val="000000" w:themeColor="text1"/>
          <w:sz w:val="22"/>
          <w:szCs w:val="22"/>
        </w:rPr>
        <w:t>That the process and opportunity for joining the CAB is publicized such that any member (or family members as applicable) may have the opportunity to apply or otherwise participate.</w:t>
      </w:r>
    </w:p>
    <w:p w14:paraId="7F17689E" w14:textId="7A04F624" w:rsidR="005B7F0B" w:rsidRPr="00B62DCC" w:rsidRDefault="00B62DCC" w:rsidP="00B62DCC">
      <w:pPr>
        <w:spacing w:before="240"/>
        <w:rPr>
          <w:rFonts w:cstheme="minorHAnsi"/>
          <w:color w:val="000000" w:themeColor="text1"/>
        </w:rPr>
      </w:pPr>
      <w:r w:rsidRPr="00B62DCC">
        <w:rPr>
          <w:rFonts w:cstheme="minorHAnsi"/>
          <w:color w:val="000000" w:themeColor="text1"/>
        </w:rPr>
        <w:lastRenderedPageBreak/>
        <w:t>EOHHS anticipates monitoring the progress of t</w:t>
      </w:r>
      <w:r>
        <w:rPr>
          <w:rFonts w:cstheme="minorHAnsi"/>
          <w:color w:val="000000" w:themeColor="text1"/>
        </w:rPr>
        <w:t xml:space="preserve">hese activities </w:t>
      </w:r>
      <w:r w:rsidRPr="00B62DCC">
        <w:rPr>
          <w:rFonts w:cstheme="minorHAnsi"/>
          <w:color w:val="000000" w:themeColor="text1"/>
        </w:rPr>
        <w:t>in the Health Quality and Equity Strategic Plan</w:t>
      </w:r>
      <w:r w:rsidR="00AD2C4C">
        <w:rPr>
          <w:rFonts w:cstheme="minorHAnsi"/>
          <w:color w:val="000000" w:themeColor="text1"/>
        </w:rPr>
        <w:t>.</w:t>
      </w:r>
    </w:p>
    <w:p w14:paraId="06156045" w14:textId="0B79A690" w:rsidR="0099763E" w:rsidRPr="003E35A8" w:rsidRDefault="0099763E" w:rsidP="00497C36">
      <w:pPr>
        <w:pStyle w:val="Heading2"/>
      </w:pPr>
      <w:bookmarkStart w:id="5" w:name="_Toc197680220"/>
      <w:r w:rsidRPr="003E35A8">
        <w:t>2.</w:t>
      </w:r>
      <w:r w:rsidR="00FD4EB3" w:rsidRPr="003E35A8">
        <w:t>1</w:t>
      </w:r>
      <w:r w:rsidR="00857F57" w:rsidRPr="003E35A8">
        <w:t xml:space="preserve">. Health Quality and Equity </w:t>
      </w:r>
      <w:r w:rsidR="008F2F1C" w:rsidRPr="003E35A8">
        <w:t>Strategic</w:t>
      </w:r>
      <w:r w:rsidR="00857F57" w:rsidRPr="003E35A8">
        <w:t xml:space="preserve"> Plan </w:t>
      </w:r>
      <w:r w:rsidR="008F2F1C" w:rsidRPr="003E35A8">
        <w:t>Qualification for Participation Reporting</w:t>
      </w:r>
      <w:r w:rsidR="00857F57" w:rsidRPr="003E35A8">
        <w:t xml:space="preserve"> Requirement</w:t>
      </w:r>
      <w:bookmarkEnd w:id="5"/>
    </w:p>
    <w:p w14:paraId="3F155EE3" w14:textId="55DA3FC7" w:rsidR="00B62DCC" w:rsidRPr="00B62DCC" w:rsidRDefault="00B62DCC" w:rsidP="00B62DCC">
      <w:proofErr w:type="gramStart"/>
      <w:r>
        <w:t>In order to</w:t>
      </w:r>
      <w:proofErr w:type="gramEnd"/>
      <w:r>
        <w:t xml:space="preserve"> qualify for CQEIP incentive payments, </w:t>
      </w:r>
      <w:r w:rsidR="00B82FC5">
        <w:t xml:space="preserve">each Performance Year, </w:t>
      </w:r>
      <w:r>
        <w:t xml:space="preserve">CBHCs must </w:t>
      </w:r>
      <w:r w:rsidR="00B82FC5">
        <w:t xml:space="preserve">submit a timely, complete, and responsive Health Quality and Equity Strategic Plan to EOHHS due by </w:t>
      </w:r>
      <w:r w:rsidR="00B82FC5" w:rsidRPr="00B82FC5">
        <w:rPr>
          <w:b/>
          <w:bCs/>
        </w:rPr>
        <w:t xml:space="preserve">December 31 of the Performance Year </w:t>
      </w:r>
      <w:r w:rsidR="00B82FC5">
        <w:t>(e.g. December 31, 2025 for PY2).</w:t>
      </w:r>
    </w:p>
    <w:p w14:paraId="319C0E3D" w14:textId="60E74E66" w:rsidR="400AE7C7" w:rsidRDefault="001D55C7" w:rsidP="400AE7C7">
      <w:pPr>
        <w:pStyle w:val="Heading1"/>
      </w:pPr>
      <w:bookmarkStart w:id="6" w:name="_Toc197680221"/>
      <w:r w:rsidRPr="00254E34">
        <w:t>Section 3. Incentive 1. CBHC Clinical Quality Incentive (CCQI)</w:t>
      </w:r>
      <w:bookmarkEnd w:id="6"/>
    </w:p>
    <w:p w14:paraId="5B1974D3" w14:textId="77777777" w:rsidR="006D50F5" w:rsidRPr="0070011E" w:rsidRDefault="006D50F5" w:rsidP="006D50F5">
      <w:pPr>
        <w:pStyle w:val="Heading2"/>
      </w:pPr>
      <w:bookmarkStart w:id="7" w:name="_Toc197680222"/>
      <w:r>
        <w:t xml:space="preserve">3.1 </w:t>
      </w:r>
      <w:r w:rsidRPr="00254E34">
        <w:t xml:space="preserve">Overview of </w:t>
      </w:r>
      <w:r>
        <w:t xml:space="preserve">the Measures </w:t>
      </w:r>
      <w:r w:rsidRPr="00254E34">
        <w:t>in the C</w:t>
      </w:r>
      <w:r>
        <w:t>C</w:t>
      </w:r>
      <w:r w:rsidRPr="00254E34">
        <w:t>Q</w:t>
      </w:r>
      <w:r>
        <w:t>I</w:t>
      </w:r>
      <w:bookmarkEnd w:id="7"/>
    </w:p>
    <w:p w14:paraId="7AA3A51B" w14:textId="400A1B89" w:rsidR="006D50F5" w:rsidRDefault="006D50F5" w:rsidP="006D50F5">
      <w:r>
        <w:t xml:space="preserve">The CCQI measure slate consists of three clinical quality incentive measures outlined in </w:t>
      </w:r>
      <w:r w:rsidRPr="002F6C21">
        <w:rPr>
          <w:i/>
          <w:iCs/>
        </w:rPr>
        <w:t>Table 1. Overview of Measure Slate in the CCQI</w:t>
      </w:r>
      <w:r>
        <w:t xml:space="preserve">.  Further detail on these measures is provided in the </w:t>
      </w:r>
      <w:r w:rsidR="3E6D90E8" w:rsidRPr="00C94EEE">
        <w:rPr>
          <w:i/>
          <w:iCs/>
        </w:rPr>
        <w:t xml:space="preserve">PY2 </w:t>
      </w:r>
      <w:r w:rsidR="2E73275D" w:rsidRPr="00C94EEE">
        <w:rPr>
          <w:i/>
        </w:rPr>
        <w:t xml:space="preserve">CBHC Clinical Quality Incentive (CCQI) </w:t>
      </w:r>
      <w:r w:rsidR="3E6D90E8" w:rsidRPr="00C94EEE">
        <w:rPr>
          <w:i/>
          <w:iCs/>
        </w:rPr>
        <w:t>Technical Specifications</w:t>
      </w:r>
      <w:r>
        <w:t xml:space="preserve"> document.</w:t>
      </w:r>
    </w:p>
    <w:p w14:paraId="7301F092" w14:textId="77777777" w:rsidR="006D50F5" w:rsidRDefault="006D50F5" w:rsidP="006D50F5">
      <w:pPr>
        <w:pStyle w:val="Heading3"/>
      </w:pPr>
      <w:bookmarkStart w:id="8" w:name="_Toc197680223"/>
      <w:r w:rsidRPr="00254E34">
        <w:t xml:space="preserve">Table </w:t>
      </w:r>
      <w:r>
        <w:t>1</w:t>
      </w:r>
      <w:r w:rsidRPr="00254E34">
        <w:t xml:space="preserve">. Overview of </w:t>
      </w:r>
      <w:r>
        <w:t>Measure Slate in the CCQI</w:t>
      </w:r>
      <w:bookmarkEnd w:id="8"/>
    </w:p>
    <w:tbl>
      <w:tblPr>
        <w:tblStyle w:val="TableGrid"/>
        <w:tblW w:w="0" w:type="auto"/>
        <w:tblLayout w:type="fixed"/>
        <w:tblLook w:val="04A0" w:firstRow="1" w:lastRow="0" w:firstColumn="1" w:lastColumn="0" w:noHBand="0" w:noVBand="1"/>
      </w:tblPr>
      <w:tblGrid>
        <w:gridCol w:w="3775"/>
        <w:gridCol w:w="6120"/>
      </w:tblGrid>
      <w:tr w:rsidR="006D50F5" w:rsidRPr="0099424A" w14:paraId="1B27CCC3" w14:textId="77777777">
        <w:trPr>
          <w:tblHeader/>
        </w:trPr>
        <w:tc>
          <w:tcPr>
            <w:tcW w:w="3775" w:type="dxa"/>
            <w:shd w:val="clear" w:color="auto" w:fill="E7EDF3" w:themeFill="accent3" w:themeFillTint="33"/>
          </w:tcPr>
          <w:p w14:paraId="2C77034E" w14:textId="77777777" w:rsidR="006D50F5" w:rsidRPr="0099424A" w:rsidRDefault="006D50F5">
            <w:pPr>
              <w:spacing w:before="0" w:after="0"/>
              <w:rPr>
                <w:rFonts w:cstheme="minorHAnsi"/>
                <w:b/>
                <w:bCs/>
              </w:rPr>
            </w:pPr>
            <w:r w:rsidRPr="0099424A">
              <w:rPr>
                <w:rFonts w:cstheme="minorHAnsi"/>
                <w:b/>
                <w:bCs/>
              </w:rPr>
              <w:t>Measure Name</w:t>
            </w:r>
          </w:p>
        </w:tc>
        <w:tc>
          <w:tcPr>
            <w:tcW w:w="6120" w:type="dxa"/>
            <w:shd w:val="clear" w:color="auto" w:fill="E7EDF3" w:themeFill="accent3" w:themeFillTint="33"/>
          </w:tcPr>
          <w:p w14:paraId="6CC6A153" w14:textId="77777777" w:rsidR="006D50F5" w:rsidRPr="0099424A" w:rsidRDefault="006D50F5">
            <w:pPr>
              <w:spacing w:before="0" w:after="0"/>
              <w:rPr>
                <w:rFonts w:cstheme="minorHAnsi"/>
                <w:b/>
                <w:bCs/>
              </w:rPr>
            </w:pPr>
            <w:r>
              <w:rPr>
                <w:rFonts w:cstheme="minorHAnsi"/>
                <w:b/>
                <w:bCs/>
              </w:rPr>
              <w:t>Measure Description</w:t>
            </w:r>
          </w:p>
        </w:tc>
      </w:tr>
      <w:tr w:rsidR="006D50F5" w:rsidRPr="0099424A" w14:paraId="5AB8AE2C" w14:textId="77777777">
        <w:tc>
          <w:tcPr>
            <w:tcW w:w="3775" w:type="dxa"/>
            <w:shd w:val="clear" w:color="auto" w:fill="auto"/>
          </w:tcPr>
          <w:p w14:paraId="60E725FC" w14:textId="77777777" w:rsidR="006D50F5" w:rsidRPr="00707AAF" w:rsidRDefault="006D50F5">
            <w:pPr>
              <w:spacing w:before="0" w:after="0"/>
              <w:rPr>
                <w:rFonts w:cstheme="minorHAnsi"/>
              </w:rPr>
            </w:pPr>
            <w:r w:rsidRPr="00707AAF">
              <w:rPr>
                <w:rFonts w:cstheme="minorHAnsi"/>
              </w:rPr>
              <w:t>CCQI-1: Access Standards</w:t>
            </w:r>
          </w:p>
        </w:tc>
        <w:tc>
          <w:tcPr>
            <w:tcW w:w="6120" w:type="dxa"/>
            <w:shd w:val="clear" w:color="auto" w:fill="auto"/>
          </w:tcPr>
          <w:p w14:paraId="1EA929E3" w14:textId="77777777" w:rsidR="006D50F5" w:rsidRPr="0099424A" w:rsidRDefault="006D50F5">
            <w:pPr>
              <w:spacing w:before="0" w:after="0"/>
              <w:rPr>
                <w:rFonts w:cstheme="minorHAnsi"/>
              </w:rPr>
            </w:pPr>
            <w:r w:rsidRPr="00700C48">
              <w:rPr>
                <w:rFonts w:cstheme="minorHAnsi"/>
              </w:rPr>
              <w:t>This measure assesses timely access to behavioral health services for members experiencing a behavioral health crisis with an urgent or immediate care need by looking at the percentage of new patients (new to qualifying visits) that received an appointment for a qualifying CBHC visit within a specified timeframe.</w:t>
            </w:r>
          </w:p>
        </w:tc>
      </w:tr>
      <w:tr w:rsidR="006D50F5" w:rsidRPr="0099424A" w14:paraId="7397A304" w14:textId="77777777">
        <w:tc>
          <w:tcPr>
            <w:tcW w:w="3775" w:type="dxa"/>
          </w:tcPr>
          <w:p w14:paraId="79FEBD79" w14:textId="77777777" w:rsidR="006D50F5" w:rsidRPr="0099424A" w:rsidRDefault="006D50F5">
            <w:pPr>
              <w:spacing w:before="0" w:after="0"/>
              <w:rPr>
                <w:rFonts w:cstheme="minorHAnsi"/>
              </w:rPr>
            </w:pPr>
            <w:r>
              <w:rPr>
                <w:rFonts w:cstheme="minorHAnsi"/>
              </w:rPr>
              <w:t>CCQI-2: Follow-up After Acute Behavioral Health Episode of Care</w:t>
            </w:r>
          </w:p>
        </w:tc>
        <w:tc>
          <w:tcPr>
            <w:tcW w:w="6120" w:type="dxa"/>
          </w:tcPr>
          <w:p w14:paraId="3CB7D5F3" w14:textId="77777777" w:rsidR="006D50F5" w:rsidRPr="0099424A" w:rsidRDefault="006D50F5">
            <w:pPr>
              <w:spacing w:before="0" w:after="0"/>
              <w:rPr>
                <w:rFonts w:cstheme="minorHAnsi"/>
              </w:rPr>
            </w:pPr>
            <w:r>
              <w:t xml:space="preserve">This measure </w:t>
            </w:r>
            <w:r w:rsidRPr="003D69C2">
              <w:t>assesses the proportion of qualifying hospital encounters that result in a qualifying CBHC visit within 7 days of discharge that occur at each CBHC</w:t>
            </w:r>
            <w:r>
              <w:t>.</w:t>
            </w:r>
          </w:p>
        </w:tc>
      </w:tr>
      <w:tr w:rsidR="006D50F5" w:rsidRPr="0099424A" w14:paraId="3489DF40" w14:textId="77777777">
        <w:tc>
          <w:tcPr>
            <w:tcW w:w="3775" w:type="dxa"/>
          </w:tcPr>
          <w:p w14:paraId="1B55C532" w14:textId="77777777" w:rsidR="006D50F5" w:rsidRPr="0099424A" w:rsidRDefault="006D50F5">
            <w:pPr>
              <w:spacing w:before="0" w:after="0"/>
              <w:rPr>
                <w:rFonts w:cstheme="minorHAnsi"/>
              </w:rPr>
            </w:pPr>
            <w:r>
              <w:rPr>
                <w:rFonts w:cstheme="minorHAnsi"/>
              </w:rPr>
              <w:t>CCQI-3: Readmission to Acute Behavioral Health Care</w:t>
            </w:r>
          </w:p>
        </w:tc>
        <w:tc>
          <w:tcPr>
            <w:tcW w:w="6120" w:type="dxa"/>
          </w:tcPr>
          <w:p w14:paraId="447AC2A4" w14:textId="77777777" w:rsidR="006D50F5" w:rsidRPr="0099424A" w:rsidRDefault="006D50F5">
            <w:pPr>
              <w:spacing w:before="0" w:after="0"/>
              <w:rPr>
                <w:rFonts w:cstheme="minorHAnsi"/>
              </w:rPr>
            </w:pPr>
            <w:r w:rsidRPr="006474F4">
              <w:rPr>
                <w:rFonts w:cstheme="minorHAnsi"/>
              </w:rPr>
              <w:t xml:space="preserve">This measure assesses the percentage of patients who have a qualifying encounter and who have a qualifying CBHC visit within 7 days of discharge from the qualifying encounter who subsequently readmit within 30 days of discharge from the qualifying encounter.  </w:t>
            </w:r>
          </w:p>
        </w:tc>
      </w:tr>
    </w:tbl>
    <w:p w14:paraId="284673A4" w14:textId="77777777" w:rsidR="006D50F5" w:rsidRPr="007A4205" w:rsidRDefault="006D50F5" w:rsidP="006D50F5">
      <w:pPr>
        <w:pStyle w:val="Heading2"/>
      </w:pPr>
      <w:bookmarkStart w:id="9" w:name="_Toc197680224"/>
      <w:r>
        <w:t>3.2 CCQI Measures and Their Performance Status for PY2-5</w:t>
      </w:r>
      <w:bookmarkEnd w:id="9"/>
    </w:p>
    <w:p w14:paraId="31CF28CE" w14:textId="77777777" w:rsidR="006D50F5" w:rsidRDefault="006D50F5" w:rsidP="006D50F5">
      <w:pPr>
        <w:rPr>
          <w:rFonts w:cstheme="minorHAnsi"/>
        </w:rPr>
      </w:pPr>
      <w:r w:rsidRPr="00254E34">
        <w:rPr>
          <w:rFonts w:cstheme="minorHAnsi"/>
        </w:rPr>
        <w:t xml:space="preserve">The </w:t>
      </w:r>
      <w:r>
        <w:rPr>
          <w:rFonts w:cstheme="minorHAnsi"/>
        </w:rPr>
        <w:t xml:space="preserve">payment </w:t>
      </w:r>
      <w:r w:rsidRPr="00254E34">
        <w:rPr>
          <w:rFonts w:cstheme="minorHAnsi"/>
        </w:rPr>
        <w:t xml:space="preserve">status </w:t>
      </w:r>
      <w:r>
        <w:rPr>
          <w:rFonts w:cstheme="minorHAnsi"/>
        </w:rPr>
        <w:t>for all three CCQI</w:t>
      </w:r>
      <w:r w:rsidRPr="00254E34">
        <w:rPr>
          <w:rFonts w:cstheme="minorHAnsi"/>
        </w:rPr>
        <w:t xml:space="preserve"> measures</w:t>
      </w:r>
      <w:r>
        <w:rPr>
          <w:rFonts w:cstheme="minorHAnsi"/>
        </w:rPr>
        <w:t xml:space="preserve"> will be in Pay-for-Performance (P4P) throughout PY2-5.  </w:t>
      </w:r>
      <w:r w:rsidRPr="002F6C21">
        <w:rPr>
          <w:rFonts w:cstheme="minorHAnsi"/>
          <w:i/>
          <w:iCs/>
        </w:rPr>
        <w:t>Table 2. CCQI Measures and their Payment Status in PY2-5</w:t>
      </w:r>
      <w:r>
        <w:rPr>
          <w:rFonts w:cstheme="minorHAnsi"/>
        </w:rPr>
        <w:t xml:space="preserve"> outlines </w:t>
      </w:r>
      <w:r w:rsidRPr="00254E34">
        <w:rPr>
          <w:rFonts w:cstheme="minorHAnsi"/>
        </w:rPr>
        <w:t>the</w:t>
      </w:r>
      <w:r>
        <w:rPr>
          <w:rFonts w:cstheme="minorHAnsi"/>
        </w:rPr>
        <w:t xml:space="preserve"> payment status for each of the</w:t>
      </w:r>
      <w:r w:rsidRPr="00254E34">
        <w:rPr>
          <w:rFonts w:cstheme="minorHAnsi"/>
        </w:rPr>
        <w:t xml:space="preserve"> C</w:t>
      </w:r>
      <w:r>
        <w:rPr>
          <w:rFonts w:cstheme="minorHAnsi"/>
        </w:rPr>
        <w:t>CQI</w:t>
      </w:r>
      <w:r w:rsidRPr="00254E34">
        <w:rPr>
          <w:rFonts w:cstheme="minorHAnsi"/>
        </w:rPr>
        <w:t xml:space="preserve"> me</w:t>
      </w:r>
      <w:r>
        <w:rPr>
          <w:rFonts w:cstheme="minorHAnsi"/>
        </w:rPr>
        <w:t>asures.</w:t>
      </w:r>
    </w:p>
    <w:p w14:paraId="735D3296" w14:textId="77777777" w:rsidR="006D50F5" w:rsidRPr="002F6C21" w:rsidRDefault="006D50F5" w:rsidP="006D50F5">
      <w:pPr>
        <w:pStyle w:val="Heading3"/>
      </w:pPr>
      <w:bookmarkStart w:id="10" w:name="_Toc197680225"/>
      <w:r w:rsidRPr="00087EED">
        <w:lastRenderedPageBreak/>
        <w:t xml:space="preserve">Table </w:t>
      </w:r>
      <w:r>
        <w:t>2</w:t>
      </w:r>
      <w:r w:rsidRPr="00087EED">
        <w:t>. C</w:t>
      </w:r>
      <w:r>
        <w:t>CQI</w:t>
      </w:r>
      <w:r w:rsidRPr="00087EED">
        <w:t xml:space="preserve"> Measures</w:t>
      </w:r>
      <w:r>
        <w:t xml:space="preserve"> and their Payment Status in PY2-5</w:t>
      </w:r>
      <w:bookmarkEnd w:id="10"/>
    </w:p>
    <w:tbl>
      <w:tblPr>
        <w:tblStyle w:val="TableGrid"/>
        <w:tblW w:w="10334" w:type="dxa"/>
        <w:tblInd w:w="-113" w:type="dxa"/>
        <w:tblLook w:val="04A0" w:firstRow="1" w:lastRow="0" w:firstColumn="1" w:lastColumn="0" w:noHBand="0" w:noVBand="1"/>
      </w:tblPr>
      <w:tblGrid>
        <w:gridCol w:w="3717"/>
        <w:gridCol w:w="1588"/>
        <w:gridCol w:w="1822"/>
        <w:gridCol w:w="1645"/>
        <w:gridCol w:w="1562"/>
      </w:tblGrid>
      <w:tr w:rsidR="0054728D" w:rsidRPr="00293843" w14:paraId="54635AC9" w14:textId="77777777" w:rsidTr="0909B1F4">
        <w:tc>
          <w:tcPr>
            <w:tcW w:w="3894" w:type="dxa"/>
            <w:shd w:val="clear" w:color="auto" w:fill="E7EDF3" w:themeFill="accent3" w:themeFillTint="33"/>
          </w:tcPr>
          <w:p w14:paraId="596A96D5" w14:textId="77777777" w:rsidR="006D50F5" w:rsidRPr="00293843" w:rsidRDefault="006D50F5">
            <w:pPr>
              <w:spacing w:before="0" w:after="0"/>
              <w:rPr>
                <w:rFonts w:cstheme="minorHAnsi"/>
                <w:b/>
                <w:bCs/>
              </w:rPr>
            </w:pPr>
            <w:r w:rsidRPr="00293843">
              <w:rPr>
                <w:rFonts w:cstheme="minorHAnsi"/>
                <w:b/>
                <w:bCs/>
              </w:rPr>
              <w:t>Measure Name</w:t>
            </w:r>
          </w:p>
        </w:tc>
        <w:tc>
          <w:tcPr>
            <w:tcW w:w="1590" w:type="dxa"/>
            <w:shd w:val="clear" w:color="auto" w:fill="E7EDF3" w:themeFill="accent3" w:themeFillTint="33"/>
          </w:tcPr>
          <w:p w14:paraId="69294A69" w14:textId="77777777" w:rsidR="006D50F5" w:rsidRPr="00293843" w:rsidRDefault="006D50F5">
            <w:pPr>
              <w:spacing w:before="0" w:after="0"/>
              <w:jc w:val="center"/>
              <w:rPr>
                <w:rFonts w:cstheme="minorHAnsi"/>
                <w:b/>
                <w:bCs/>
              </w:rPr>
            </w:pPr>
            <w:r w:rsidRPr="00293843">
              <w:rPr>
                <w:rFonts w:cstheme="minorHAnsi"/>
                <w:b/>
                <w:bCs/>
              </w:rPr>
              <w:t>Performance Status</w:t>
            </w:r>
            <w:r>
              <w:rPr>
                <w:rFonts w:cstheme="minorHAnsi"/>
                <w:b/>
                <w:bCs/>
              </w:rPr>
              <w:t>: PY2 (2025)</w:t>
            </w:r>
          </w:p>
        </w:tc>
        <w:tc>
          <w:tcPr>
            <w:tcW w:w="1843" w:type="dxa"/>
            <w:shd w:val="clear" w:color="auto" w:fill="E7EDF3" w:themeFill="accent3" w:themeFillTint="33"/>
          </w:tcPr>
          <w:p w14:paraId="70188099" w14:textId="77777777" w:rsidR="006D50F5" w:rsidRPr="00293843" w:rsidRDefault="006D50F5">
            <w:pPr>
              <w:spacing w:before="0" w:after="0"/>
              <w:jc w:val="center"/>
              <w:rPr>
                <w:rFonts w:cstheme="minorHAnsi"/>
                <w:b/>
                <w:bCs/>
              </w:rPr>
            </w:pPr>
            <w:r w:rsidRPr="00293843">
              <w:rPr>
                <w:rFonts w:cstheme="minorHAnsi"/>
                <w:b/>
                <w:bCs/>
              </w:rPr>
              <w:t>Performance Status</w:t>
            </w:r>
            <w:r>
              <w:rPr>
                <w:rFonts w:cstheme="minorHAnsi"/>
                <w:b/>
                <w:bCs/>
              </w:rPr>
              <w:t>: PY3 (2026)</w:t>
            </w:r>
          </w:p>
        </w:tc>
        <w:tc>
          <w:tcPr>
            <w:tcW w:w="1652" w:type="dxa"/>
            <w:shd w:val="clear" w:color="auto" w:fill="E7EDF3" w:themeFill="accent3" w:themeFillTint="33"/>
          </w:tcPr>
          <w:p w14:paraId="770A6158" w14:textId="77777777" w:rsidR="006D50F5" w:rsidRPr="00293843" w:rsidRDefault="006D50F5">
            <w:pPr>
              <w:spacing w:before="0" w:after="0"/>
              <w:jc w:val="center"/>
              <w:rPr>
                <w:rFonts w:cstheme="minorHAnsi"/>
                <w:b/>
                <w:bCs/>
              </w:rPr>
            </w:pPr>
            <w:r w:rsidRPr="00293843">
              <w:rPr>
                <w:rFonts w:cstheme="minorHAnsi"/>
                <w:b/>
                <w:bCs/>
              </w:rPr>
              <w:t>Performance Status</w:t>
            </w:r>
            <w:r>
              <w:rPr>
                <w:rFonts w:cstheme="minorHAnsi"/>
                <w:b/>
                <w:bCs/>
              </w:rPr>
              <w:t>: PY4 (2027)</w:t>
            </w:r>
          </w:p>
        </w:tc>
        <w:tc>
          <w:tcPr>
            <w:tcW w:w="1355" w:type="dxa"/>
            <w:shd w:val="clear" w:color="auto" w:fill="E7EDF3" w:themeFill="accent3" w:themeFillTint="33"/>
          </w:tcPr>
          <w:p w14:paraId="64455F3C" w14:textId="77777777" w:rsidR="006D50F5" w:rsidRPr="00293843" w:rsidRDefault="006D50F5">
            <w:pPr>
              <w:spacing w:before="0" w:after="0"/>
              <w:jc w:val="center"/>
              <w:rPr>
                <w:rFonts w:cstheme="minorHAnsi"/>
                <w:b/>
                <w:bCs/>
              </w:rPr>
            </w:pPr>
            <w:r w:rsidRPr="00293843">
              <w:rPr>
                <w:rFonts w:cstheme="minorHAnsi"/>
                <w:b/>
                <w:bCs/>
              </w:rPr>
              <w:t>Performance Status</w:t>
            </w:r>
            <w:r>
              <w:rPr>
                <w:rFonts w:cstheme="minorHAnsi"/>
                <w:b/>
                <w:bCs/>
              </w:rPr>
              <w:t>: PY5 (2028)</w:t>
            </w:r>
            <w:r w:rsidRPr="00293843">
              <w:rPr>
                <w:rFonts w:cstheme="minorHAnsi"/>
                <w:b/>
                <w:bCs/>
              </w:rPr>
              <w:t xml:space="preserve"> </w:t>
            </w:r>
          </w:p>
        </w:tc>
      </w:tr>
      <w:tr w:rsidR="006D50F5" w:rsidRPr="00293843" w14:paraId="5274CEFB" w14:textId="77777777" w:rsidTr="0909B1F4">
        <w:tc>
          <w:tcPr>
            <w:tcW w:w="3894" w:type="dxa"/>
            <w:shd w:val="clear" w:color="auto" w:fill="auto"/>
          </w:tcPr>
          <w:p w14:paraId="029EB0A2" w14:textId="77777777" w:rsidR="006D50F5" w:rsidRPr="00293843" w:rsidRDefault="006D50F5">
            <w:pPr>
              <w:spacing w:before="0" w:after="0"/>
              <w:rPr>
                <w:rFonts w:cstheme="minorHAnsi"/>
                <w:b/>
                <w:bCs/>
              </w:rPr>
            </w:pPr>
            <w:r w:rsidRPr="00707AAF">
              <w:rPr>
                <w:rFonts w:cstheme="minorHAnsi"/>
              </w:rPr>
              <w:t>CCQI-1: Access Standards</w:t>
            </w:r>
          </w:p>
        </w:tc>
        <w:tc>
          <w:tcPr>
            <w:tcW w:w="1590" w:type="dxa"/>
            <w:shd w:val="clear" w:color="auto" w:fill="auto"/>
          </w:tcPr>
          <w:p w14:paraId="1CEAE1A3" w14:textId="77777777" w:rsidR="006D50F5" w:rsidRPr="003313DB" w:rsidRDefault="006D50F5">
            <w:pPr>
              <w:spacing w:before="0" w:after="0"/>
              <w:jc w:val="center"/>
              <w:rPr>
                <w:rFonts w:cstheme="minorHAnsi"/>
              </w:rPr>
            </w:pPr>
            <w:r w:rsidRPr="003313DB">
              <w:rPr>
                <w:rFonts w:cstheme="minorHAnsi"/>
              </w:rPr>
              <w:t>P4P</w:t>
            </w:r>
          </w:p>
        </w:tc>
        <w:tc>
          <w:tcPr>
            <w:tcW w:w="1843" w:type="dxa"/>
            <w:shd w:val="clear" w:color="auto" w:fill="auto"/>
          </w:tcPr>
          <w:p w14:paraId="79DEF930" w14:textId="77777777" w:rsidR="006D50F5" w:rsidRPr="003313DB" w:rsidRDefault="006D50F5">
            <w:pPr>
              <w:spacing w:before="0" w:after="0"/>
              <w:jc w:val="center"/>
              <w:rPr>
                <w:rFonts w:cstheme="minorHAnsi"/>
              </w:rPr>
            </w:pPr>
            <w:r w:rsidRPr="003313DB">
              <w:rPr>
                <w:rFonts w:cstheme="minorHAnsi"/>
              </w:rPr>
              <w:t>P4P</w:t>
            </w:r>
          </w:p>
        </w:tc>
        <w:tc>
          <w:tcPr>
            <w:tcW w:w="1652" w:type="dxa"/>
            <w:shd w:val="clear" w:color="auto" w:fill="auto"/>
          </w:tcPr>
          <w:p w14:paraId="7A0AA883" w14:textId="77777777" w:rsidR="006D50F5" w:rsidRPr="003313DB" w:rsidRDefault="006D50F5">
            <w:pPr>
              <w:spacing w:before="0" w:after="0"/>
              <w:jc w:val="center"/>
              <w:rPr>
                <w:rFonts w:cstheme="minorHAnsi"/>
              </w:rPr>
            </w:pPr>
            <w:r w:rsidRPr="003313DB">
              <w:rPr>
                <w:rFonts w:cstheme="minorHAnsi"/>
              </w:rPr>
              <w:t>P4P</w:t>
            </w:r>
          </w:p>
        </w:tc>
        <w:tc>
          <w:tcPr>
            <w:tcW w:w="1355" w:type="dxa"/>
            <w:shd w:val="clear" w:color="auto" w:fill="auto"/>
          </w:tcPr>
          <w:p w14:paraId="05EF9005" w14:textId="77777777" w:rsidR="006D50F5" w:rsidRPr="003313DB" w:rsidRDefault="006D50F5">
            <w:pPr>
              <w:spacing w:before="0" w:after="0"/>
              <w:jc w:val="center"/>
              <w:rPr>
                <w:rFonts w:cstheme="minorHAnsi"/>
              </w:rPr>
            </w:pPr>
            <w:r w:rsidRPr="003313DB">
              <w:rPr>
                <w:rFonts w:cstheme="minorHAnsi"/>
              </w:rPr>
              <w:t>P4P</w:t>
            </w:r>
          </w:p>
        </w:tc>
      </w:tr>
      <w:tr w:rsidR="006D50F5" w:rsidRPr="00293843" w14:paraId="528322AA" w14:textId="77777777" w:rsidTr="0909B1F4">
        <w:tc>
          <w:tcPr>
            <w:tcW w:w="3894" w:type="dxa"/>
            <w:shd w:val="clear" w:color="auto" w:fill="auto"/>
          </w:tcPr>
          <w:p w14:paraId="663551BE" w14:textId="77777777" w:rsidR="006D50F5" w:rsidRPr="00293843" w:rsidRDefault="006D50F5">
            <w:pPr>
              <w:spacing w:before="0" w:after="0"/>
              <w:rPr>
                <w:rFonts w:cstheme="minorHAnsi"/>
                <w:b/>
                <w:bCs/>
              </w:rPr>
            </w:pPr>
            <w:r>
              <w:rPr>
                <w:rFonts w:cstheme="minorHAnsi"/>
              </w:rPr>
              <w:t>CCQI-2: Follow-up After Acute Behavioral Health Episode of Care</w:t>
            </w:r>
          </w:p>
        </w:tc>
        <w:tc>
          <w:tcPr>
            <w:tcW w:w="1590" w:type="dxa"/>
            <w:shd w:val="clear" w:color="auto" w:fill="auto"/>
          </w:tcPr>
          <w:p w14:paraId="268DC8B5" w14:textId="77777777" w:rsidR="006D50F5" w:rsidRPr="003313DB" w:rsidRDefault="006D50F5">
            <w:pPr>
              <w:spacing w:before="0" w:after="0"/>
              <w:jc w:val="center"/>
              <w:rPr>
                <w:rFonts w:cstheme="minorHAnsi"/>
              </w:rPr>
            </w:pPr>
            <w:r w:rsidRPr="003313DB">
              <w:rPr>
                <w:rFonts w:cstheme="minorHAnsi"/>
              </w:rPr>
              <w:t>P4P</w:t>
            </w:r>
          </w:p>
        </w:tc>
        <w:tc>
          <w:tcPr>
            <w:tcW w:w="1843" w:type="dxa"/>
            <w:shd w:val="clear" w:color="auto" w:fill="auto"/>
          </w:tcPr>
          <w:p w14:paraId="285983B3" w14:textId="77777777" w:rsidR="006D50F5" w:rsidRPr="003313DB" w:rsidRDefault="006D50F5">
            <w:pPr>
              <w:spacing w:before="0" w:after="0"/>
              <w:jc w:val="center"/>
              <w:rPr>
                <w:rFonts w:cstheme="minorHAnsi"/>
              </w:rPr>
            </w:pPr>
            <w:r w:rsidRPr="003313DB">
              <w:rPr>
                <w:rFonts w:cstheme="minorHAnsi"/>
              </w:rPr>
              <w:t>P4P</w:t>
            </w:r>
          </w:p>
        </w:tc>
        <w:tc>
          <w:tcPr>
            <w:tcW w:w="1652" w:type="dxa"/>
            <w:shd w:val="clear" w:color="auto" w:fill="auto"/>
          </w:tcPr>
          <w:p w14:paraId="0D1E297F" w14:textId="77777777" w:rsidR="006D50F5" w:rsidRPr="003313DB" w:rsidRDefault="006D50F5">
            <w:pPr>
              <w:spacing w:before="0" w:after="0"/>
              <w:jc w:val="center"/>
              <w:rPr>
                <w:rFonts w:cstheme="minorHAnsi"/>
              </w:rPr>
            </w:pPr>
            <w:r w:rsidRPr="003313DB">
              <w:rPr>
                <w:rFonts w:cstheme="minorHAnsi"/>
              </w:rPr>
              <w:t>P4P</w:t>
            </w:r>
          </w:p>
        </w:tc>
        <w:tc>
          <w:tcPr>
            <w:tcW w:w="1355" w:type="dxa"/>
            <w:shd w:val="clear" w:color="auto" w:fill="auto"/>
          </w:tcPr>
          <w:p w14:paraId="592A9AD7" w14:textId="77777777" w:rsidR="006D50F5" w:rsidRPr="003313DB" w:rsidRDefault="006D50F5">
            <w:pPr>
              <w:spacing w:before="0" w:after="0"/>
              <w:jc w:val="center"/>
              <w:rPr>
                <w:rFonts w:cstheme="minorHAnsi"/>
              </w:rPr>
            </w:pPr>
            <w:r w:rsidRPr="003313DB">
              <w:rPr>
                <w:rFonts w:cstheme="minorHAnsi"/>
              </w:rPr>
              <w:t>P4P</w:t>
            </w:r>
          </w:p>
        </w:tc>
      </w:tr>
      <w:tr w:rsidR="006D50F5" w:rsidRPr="00293843" w14:paraId="31C8CA35" w14:textId="77777777" w:rsidTr="0909B1F4">
        <w:tc>
          <w:tcPr>
            <w:tcW w:w="3894" w:type="dxa"/>
            <w:shd w:val="clear" w:color="auto" w:fill="auto"/>
          </w:tcPr>
          <w:p w14:paraId="0BD5B791" w14:textId="77777777" w:rsidR="006D50F5" w:rsidRPr="00293843" w:rsidRDefault="006D50F5">
            <w:pPr>
              <w:spacing w:before="0" w:after="0"/>
              <w:rPr>
                <w:rFonts w:cstheme="minorHAnsi"/>
                <w:b/>
                <w:bCs/>
              </w:rPr>
            </w:pPr>
            <w:r>
              <w:rPr>
                <w:rFonts w:cstheme="minorHAnsi"/>
              </w:rPr>
              <w:t>CCQI-3: Readmission to Acute Behavioral Health Care</w:t>
            </w:r>
          </w:p>
        </w:tc>
        <w:tc>
          <w:tcPr>
            <w:tcW w:w="1590" w:type="dxa"/>
            <w:shd w:val="clear" w:color="auto" w:fill="auto"/>
          </w:tcPr>
          <w:p w14:paraId="20EFE70E" w14:textId="77777777" w:rsidR="006D50F5" w:rsidRPr="003313DB" w:rsidRDefault="006D50F5">
            <w:pPr>
              <w:spacing w:before="0" w:after="0"/>
              <w:jc w:val="center"/>
              <w:rPr>
                <w:rFonts w:cstheme="minorHAnsi"/>
              </w:rPr>
            </w:pPr>
            <w:r w:rsidRPr="003313DB">
              <w:rPr>
                <w:rFonts w:cstheme="minorHAnsi"/>
              </w:rPr>
              <w:t>P4P</w:t>
            </w:r>
          </w:p>
        </w:tc>
        <w:tc>
          <w:tcPr>
            <w:tcW w:w="1843" w:type="dxa"/>
            <w:shd w:val="clear" w:color="auto" w:fill="auto"/>
          </w:tcPr>
          <w:p w14:paraId="2E7FD276" w14:textId="77777777" w:rsidR="006D50F5" w:rsidRPr="003313DB" w:rsidRDefault="006D50F5">
            <w:pPr>
              <w:spacing w:before="0" w:after="0"/>
              <w:jc w:val="center"/>
              <w:rPr>
                <w:rFonts w:cstheme="minorHAnsi"/>
              </w:rPr>
            </w:pPr>
            <w:r w:rsidRPr="003313DB">
              <w:rPr>
                <w:rFonts w:cstheme="minorHAnsi"/>
              </w:rPr>
              <w:t>P4P</w:t>
            </w:r>
          </w:p>
        </w:tc>
        <w:tc>
          <w:tcPr>
            <w:tcW w:w="1652" w:type="dxa"/>
            <w:shd w:val="clear" w:color="auto" w:fill="auto"/>
          </w:tcPr>
          <w:p w14:paraId="78B9D28E" w14:textId="77777777" w:rsidR="006D50F5" w:rsidRPr="003313DB" w:rsidRDefault="006D50F5">
            <w:pPr>
              <w:spacing w:before="0" w:after="0"/>
              <w:jc w:val="center"/>
              <w:rPr>
                <w:rFonts w:cstheme="minorHAnsi"/>
              </w:rPr>
            </w:pPr>
            <w:r w:rsidRPr="003313DB">
              <w:rPr>
                <w:rFonts w:cstheme="minorHAnsi"/>
              </w:rPr>
              <w:t>P4P</w:t>
            </w:r>
          </w:p>
        </w:tc>
        <w:tc>
          <w:tcPr>
            <w:tcW w:w="1355" w:type="dxa"/>
            <w:shd w:val="clear" w:color="auto" w:fill="auto"/>
          </w:tcPr>
          <w:p w14:paraId="0BCF7BB0" w14:textId="77777777" w:rsidR="006D50F5" w:rsidRPr="003313DB" w:rsidRDefault="006D50F5">
            <w:pPr>
              <w:spacing w:before="0" w:after="0"/>
              <w:jc w:val="center"/>
              <w:rPr>
                <w:rFonts w:cstheme="minorHAnsi"/>
              </w:rPr>
            </w:pPr>
            <w:r w:rsidRPr="003313DB">
              <w:rPr>
                <w:rFonts w:cstheme="minorHAnsi"/>
              </w:rPr>
              <w:t>P4P</w:t>
            </w:r>
          </w:p>
        </w:tc>
      </w:tr>
    </w:tbl>
    <w:p w14:paraId="0FAE78BC" w14:textId="77777777" w:rsidR="006D50F5" w:rsidRPr="001B04D5" w:rsidRDefault="006D50F5" w:rsidP="00C94EEE">
      <w:pPr>
        <w:pStyle w:val="Heading3"/>
      </w:pPr>
      <w:bookmarkStart w:id="11" w:name="_Toc197680226"/>
      <w:r w:rsidRPr="001B04D5">
        <w:t xml:space="preserve">3.2.1 Reporting </w:t>
      </w:r>
      <w:r>
        <w:t xml:space="preserve">Requirements </w:t>
      </w:r>
      <w:r w:rsidRPr="001B04D5">
        <w:t>for Performance Year 2</w:t>
      </w:r>
      <w:bookmarkEnd w:id="11"/>
    </w:p>
    <w:p w14:paraId="335A6CD6" w14:textId="66F39B35" w:rsidR="006D50F5" w:rsidRDefault="006D50F5" w:rsidP="006D50F5">
      <w:r>
        <w:t xml:space="preserve">For PY2, CBHCs are required to submit the Access Standards Data File (ASDF) on a quarterly basis. Further information on the CCQI-1 measurement requirements and guidance on ASDF quarterly submissions can be found in the </w:t>
      </w:r>
      <w:r w:rsidR="20E0709A" w:rsidRPr="3E932A4F">
        <w:rPr>
          <w:i/>
          <w:iCs/>
        </w:rPr>
        <w:t>PY2 CBHC Clinical Quality Incentive (CCQI) Technical Specifications</w:t>
      </w:r>
      <w:r>
        <w:t xml:space="preserve"> and the </w:t>
      </w:r>
      <w:r w:rsidRPr="00C94EEE">
        <w:rPr>
          <w:i/>
        </w:rPr>
        <w:t xml:space="preserve">VDDF </w:t>
      </w:r>
      <w:r w:rsidR="2A7B4A8F" w:rsidRPr="00C94EEE">
        <w:rPr>
          <w:i/>
          <w:iCs/>
        </w:rPr>
        <w:t xml:space="preserve">Production-level </w:t>
      </w:r>
      <w:r w:rsidRPr="00C94EEE">
        <w:rPr>
          <w:i/>
        </w:rPr>
        <w:t>Submission Guide</w:t>
      </w:r>
      <w:r>
        <w:t xml:space="preserve">.  Reporting requirements for the CCQI-1: Access Standards measure are outlined below in </w:t>
      </w:r>
      <w:r w:rsidRPr="00F2001D">
        <w:rPr>
          <w:i/>
          <w:iCs/>
        </w:rPr>
        <w:t xml:space="preserve">Table 3. CCQI Reporting </w:t>
      </w:r>
      <w:r>
        <w:rPr>
          <w:i/>
          <w:iCs/>
        </w:rPr>
        <w:t>Requirement</w:t>
      </w:r>
      <w:r w:rsidRPr="00F2001D">
        <w:rPr>
          <w:i/>
          <w:iCs/>
        </w:rPr>
        <w:t>s for PY2</w:t>
      </w:r>
      <w:r>
        <w:t>.  There are no reporting requirements for CBHCs on the CCQI-2 and the CCQI-3 measures.  EOHHS’s Comprehensive Quality Measurement Vendor (CQMV) will review paid claims and encounter data to assess CBHC performance for these two measures in PY2-5.  Please note reporting requirements may be subject to change in subsequent performance years.</w:t>
      </w:r>
    </w:p>
    <w:p w14:paraId="5CBC1F91" w14:textId="1C3AD79E" w:rsidR="5A1B15B2" w:rsidRDefault="47F0CE4E">
      <w:r w:rsidRPr="00C94EEE">
        <w:t>CBHCs that do not meet the reporting requirements for each CCQI measure during a performance year are subject to suspension from the CCQI component of the CBHC Incentive Program for that performance year and will not be eligible for the incentive within this performance period. The CBHC may resume participation in subsequent performance years upon demonstrating the ability to meet reporting requirements for each measure at the start of the following performance year. The CBHC will be held accountable for the reporting requirements in the performance year immediately following the last performance year in which the CBHC was suspended.</w:t>
      </w:r>
    </w:p>
    <w:p w14:paraId="2F0E0B7C" w14:textId="77777777" w:rsidR="006D50F5" w:rsidRPr="0099424A" w:rsidRDefault="006D50F5" w:rsidP="006D50F5">
      <w:pPr>
        <w:pStyle w:val="Heading3"/>
      </w:pPr>
      <w:bookmarkStart w:id="12" w:name="_Toc197680227"/>
      <w:r w:rsidRPr="0099424A">
        <w:t xml:space="preserve">Table </w:t>
      </w:r>
      <w:r>
        <w:t>3</w:t>
      </w:r>
      <w:r w:rsidRPr="0099424A">
        <w:t>. C</w:t>
      </w:r>
      <w:r>
        <w:t>CQI</w:t>
      </w:r>
      <w:r w:rsidRPr="0099424A">
        <w:t xml:space="preserve"> Reporting </w:t>
      </w:r>
      <w:r>
        <w:t>Requirements</w:t>
      </w:r>
      <w:r w:rsidRPr="0099424A">
        <w:t xml:space="preserve"> for PY2</w:t>
      </w:r>
      <w:bookmarkEnd w:id="12"/>
    </w:p>
    <w:tbl>
      <w:tblPr>
        <w:tblStyle w:val="TableGrid"/>
        <w:tblW w:w="5000" w:type="pct"/>
        <w:tblLook w:val="04A0" w:firstRow="1" w:lastRow="0" w:firstColumn="1" w:lastColumn="0" w:noHBand="0" w:noVBand="1"/>
      </w:tblPr>
      <w:tblGrid>
        <w:gridCol w:w="3189"/>
        <w:gridCol w:w="4096"/>
        <w:gridCol w:w="2785"/>
      </w:tblGrid>
      <w:tr w:rsidR="006D50F5" w14:paraId="3C5416F8" w14:textId="77777777">
        <w:trPr>
          <w:tblHeader/>
        </w:trPr>
        <w:tc>
          <w:tcPr>
            <w:tcW w:w="1583" w:type="pct"/>
            <w:shd w:val="clear" w:color="auto" w:fill="E7EDF3" w:themeFill="accent3" w:themeFillTint="33"/>
          </w:tcPr>
          <w:p w14:paraId="48DB614C" w14:textId="77777777" w:rsidR="006D50F5" w:rsidRPr="005C3E4F" w:rsidRDefault="006D50F5">
            <w:pPr>
              <w:spacing w:before="0" w:after="0"/>
              <w:rPr>
                <w:rFonts w:cstheme="minorHAnsi"/>
                <w:b/>
                <w:bCs/>
              </w:rPr>
            </w:pPr>
            <w:r w:rsidRPr="005C3E4F">
              <w:rPr>
                <w:rFonts w:cstheme="minorHAnsi"/>
                <w:b/>
                <w:bCs/>
              </w:rPr>
              <w:t>Measure Name</w:t>
            </w:r>
          </w:p>
        </w:tc>
        <w:tc>
          <w:tcPr>
            <w:tcW w:w="2034" w:type="pct"/>
            <w:shd w:val="clear" w:color="auto" w:fill="E7EDF3" w:themeFill="accent3" w:themeFillTint="33"/>
          </w:tcPr>
          <w:p w14:paraId="233084DE" w14:textId="77777777" w:rsidR="006D50F5" w:rsidRPr="005C3E4F" w:rsidRDefault="006D50F5">
            <w:pPr>
              <w:spacing w:before="0" w:after="0"/>
              <w:rPr>
                <w:rFonts w:cstheme="minorHAnsi"/>
                <w:b/>
                <w:bCs/>
              </w:rPr>
            </w:pPr>
            <w:r w:rsidRPr="005C3E4F">
              <w:rPr>
                <w:rFonts w:cstheme="minorHAnsi"/>
                <w:b/>
                <w:bCs/>
              </w:rPr>
              <w:t>Reporting Expectations for PY2 (to be further specified by EOHHS)</w:t>
            </w:r>
          </w:p>
        </w:tc>
        <w:tc>
          <w:tcPr>
            <w:tcW w:w="1383" w:type="pct"/>
            <w:shd w:val="clear" w:color="auto" w:fill="E7EDF3" w:themeFill="accent3" w:themeFillTint="33"/>
          </w:tcPr>
          <w:p w14:paraId="1765ED7A" w14:textId="206F4024" w:rsidR="006D50F5" w:rsidRPr="005C3E4F" w:rsidRDefault="006D50F5">
            <w:pPr>
              <w:spacing w:before="0" w:after="0"/>
              <w:rPr>
                <w:b/>
              </w:rPr>
            </w:pPr>
            <w:r w:rsidRPr="38057DC8">
              <w:rPr>
                <w:b/>
              </w:rPr>
              <w:t>Due Date</w:t>
            </w:r>
          </w:p>
        </w:tc>
      </w:tr>
      <w:tr w:rsidR="006D50F5" w14:paraId="4AA35BEF" w14:textId="77777777" w:rsidTr="00C94EEE">
        <w:trPr>
          <w:trHeight w:val="1745"/>
        </w:trPr>
        <w:tc>
          <w:tcPr>
            <w:tcW w:w="1583" w:type="pct"/>
            <w:shd w:val="clear" w:color="auto" w:fill="auto"/>
          </w:tcPr>
          <w:p w14:paraId="01020409" w14:textId="77777777" w:rsidR="006D50F5" w:rsidRPr="009005D0" w:rsidRDefault="006D50F5">
            <w:pPr>
              <w:spacing w:before="0" w:after="0"/>
              <w:contextualSpacing/>
              <w:rPr>
                <w:rFonts w:cstheme="minorHAnsi"/>
                <w:b/>
                <w:bCs/>
              </w:rPr>
            </w:pPr>
            <w:r w:rsidRPr="00707AAF">
              <w:rPr>
                <w:rFonts w:cstheme="minorHAnsi"/>
              </w:rPr>
              <w:t>CCQI-1: Access Standards</w:t>
            </w:r>
          </w:p>
        </w:tc>
        <w:tc>
          <w:tcPr>
            <w:tcW w:w="2034" w:type="pct"/>
            <w:shd w:val="clear" w:color="auto" w:fill="auto"/>
          </w:tcPr>
          <w:p w14:paraId="45617BE0" w14:textId="02E03BDE" w:rsidR="006D50F5" w:rsidRPr="005D3FD7" w:rsidRDefault="006D50F5">
            <w:pPr>
              <w:pStyle w:val="ListParagraph"/>
              <w:ind w:left="0"/>
              <w:rPr>
                <w:rFonts w:asciiTheme="minorHAnsi" w:hAnsiTheme="minorHAnsi" w:cstheme="minorHAnsi"/>
                <w:sz w:val="22"/>
                <w:szCs w:val="22"/>
              </w:rPr>
            </w:pPr>
            <w:r w:rsidRPr="009005D0">
              <w:rPr>
                <w:rFonts w:asciiTheme="minorHAnsi" w:hAnsiTheme="minorHAnsi" w:cstheme="minorHAnsi"/>
                <w:sz w:val="22"/>
                <w:szCs w:val="22"/>
              </w:rPr>
              <w:t xml:space="preserve">Quarterly Submission of the </w:t>
            </w:r>
            <w:r>
              <w:rPr>
                <w:rFonts w:asciiTheme="minorHAnsi" w:hAnsiTheme="minorHAnsi" w:cstheme="minorHAnsi"/>
                <w:sz w:val="22"/>
                <w:szCs w:val="22"/>
              </w:rPr>
              <w:t>Access Standards</w:t>
            </w:r>
            <w:r w:rsidRPr="009005D0">
              <w:rPr>
                <w:rFonts w:asciiTheme="minorHAnsi" w:hAnsiTheme="minorHAnsi" w:cstheme="minorHAnsi"/>
                <w:sz w:val="22"/>
                <w:szCs w:val="22"/>
              </w:rPr>
              <w:t xml:space="preserve"> Data File</w:t>
            </w:r>
            <w:r>
              <w:rPr>
                <w:rFonts w:asciiTheme="minorHAnsi" w:hAnsiTheme="minorHAnsi" w:cstheme="minorHAnsi"/>
                <w:sz w:val="22"/>
                <w:szCs w:val="22"/>
              </w:rPr>
              <w:t xml:space="preserve"> (ASDF)</w:t>
            </w:r>
            <w:r w:rsidRPr="009005D0">
              <w:rPr>
                <w:rFonts w:asciiTheme="minorHAnsi" w:hAnsiTheme="minorHAnsi" w:cstheme="minorHAnsi"/>
                <w:sz w:val="22"/>
                <w:szCs w:val="22"/>
              </w:rPr>
              <w:t xml:space="preserve">, as further specified in the Visit and Demographic Data File </w:t>
            </w:r>
            <w:r w:rsidR="006D0734">
              <w:rPr>
                <w:rFonts w:asciiTheme="minorHAnsi" w:hAnsiTheme="minorHAnsi" w:cstheme="minorHAnsi"/>
                <w:sz w:val="22"/>
                <w:szCs w:val="22"/>
              </w:rPr>
              <w:t xml:space="preserve">(VDDF) </w:t>
            </w:r>
            <w:r w:rsidRPr="009005D0">
              <w:rPr>
                <w:rFonts w:asciiTheme="minorHAnsi" w:hAnsiTheme="minorHAnsi" w:cstheme="minorHAnsi"/>
                <w:sz w:val="22"/>
                <w:szCs w:val="22"/>
              </w:rPr>
              <w:t>Submission Guide</w:t>
            </w:r>
            <w:r>
              <w:rPr>
                <w:rFonts w:asciiTheme="minorHAnsi" w:hAnsiTheme="minorHAnsi" w:cstheme="minorHAnsi"/>
                <w:sz w:val="22"/>
                <w:szCs w:val="22"/>
              </w:rPr>
              <w:t xml:space="preserve"> </w:t>
            </w:r>
          </w:p>
        </w:tc>
        <w:tc>
          <w:tcPr>
            <w:tcW w:w="1383" w:type="pct"/>
            <w:shd w:val="clear" w:color="auto" w:fill="auto"/>
          </w:tcPr>
          <w:p w14:paraId="33B67E46" w14:textId="77777777" w:rsidR="00CD68F3" w:rsidRDefault="00E54B8E">
            <w:pPr>
              <w:spacing w:before="0" w:after="0"/>
              <w:contextualSpacing/>
              <w:rPr>
                <w:b/>
                <w:bCs/>
              </w:rPr>
            </w:pPr>
            <w:r w:rsidRPr="00CD68F3">
              <w:t>Quarterly submission of ASDF</w:t>
            </w:r>
          </w:p>
          <w:p w14:paraId="7F5A95DD" w14:textId="77777777" w:rsidR="00CD68F3" w:rsidRDefault="00CD68F3">
            <w:pPr>
              <w:spacing w:before="0" w:after="0"/>
              <w:contextualSpacing/>
              <w:rPr>
                <w:b/>
                <w:bCs/>
                <w:i/>
              </w:rPr>
            </w:pPr>
          </w:p>
          <w:p w14:paraId="1859DDEC" w14:textId="35A94CDE" w:rsidR="006D50F5" w:rsidRPr="00C94EEE" w:rsidRDefault="7DD3572C">
            <w:pPr>
              <w:spacing w:before="0" w:after="0"/>
              <w:contextualSpacing/>
              <w:rPr>
                <w:i/>
              </w:rPr>
            </w:pPr>
            <w:r w:rsidRPr="00C94EEE">
              <w:rPr>
                <w:iCs/>
              </w:rPr>
              <w:t>Please refer to the</w:t>
            </w:r>
            <w:r w:rsidRPr="00C94EEE">
              <w:rPr>
                <w:i/>
              </w:rPr>
              <w:t xml:space="preserve"> VDDF Submission Guide </w:t>
            </w:r>
            <w:r w:rsidRPr="00C94EEE">
              <w:rPr>
                <w:iCs/>
              </w:rPr>
              <w:t xml:space="preserve">for the Submission </w:t>
            </w:r>
            <w:r w:rsidR="2858FBDF" w:rsidRPr="00C94EEE">
              <w:rPr>
                <w:iCs/>
              </w:rPr>
              <w:t>S</w:t>
            </w:r>
            <w:r w:rsidRPr="00C94EEE">
              <w:rPr>
                <w:iCs/>
              </w:rPr>
              <w:t>chedule.</w:t>
            </w:r>
          </w:p>
        </w:tc>
      </w:tr>
      <w:tr w:rsidR="006D50F5" w14:paraId="53300845" w14:textId="77777777">
        <w:tc>
          <w:tcPr>
            <w:tcW w:w="1583" w:type="pct"/>
            <w:shd w:val="clear" w:color="auto" w:fill="auto"/>
          </w:tcPr>
          <w:p w14:paraId="780AB850" w14:textId="77777777" w:rsidR="006D50F5" w:rsidRPr="00707AAF" w:rsidRDefault="006D50F5">
            <w:pPr>
              <w:spacing w:before="0" w:after="0"/>
              <w:contextualSpacing/>
              <w:rPr>
                <w:rFonts w:cstheme="minorHAnsi"/>
              </w:rPr>
            </w:pPr>
            <w:r>
              <w:rPr>
                <w:rFonts w:cstheme="minorHAnsi"/>
              </w:rPr>
              <w:t>CCQI-2: Follow-up After Acute Behavioral Health Episode of Care</w:t>
            </w:r>
          </w:p>
        </w:tc>
        <w:tc>
          <w:tcPr>
            <w:tcW w:w="2034" w:type="pct"/>
            <w:shd w:val="clear" w:color="auto" w:fill="auto"/>
          </w:tcPr>
          <w:p w14:paraId="4E4DC2C2" w14:textId="77777777" w:rsidR="006D50F5" w:rsidRPr="0023001A" w:rsidRDefault="006D50F5">
            <w:pPr>
              <w:pStyle w:val="ListParagraph"/>
              <w:ind w:left="0"/>
              <w:rPr>
                <w:rFonts w:asciiTheme="minorHAnsi" w:hAnsiTheme="minorHAnsi" w:cstheme="minorHAnsi"/>
                <w:i/>
                <w:iCs/>
                <w:sz w:val="22"/>
                <w:szCs w:val="22"/>
              </w:rPr>
            </w:pPr>
            <w:r w:rsidRPr="0023001A">
              <w:rPr>
                <w:rFonts w:asciiTheme="minorHAnsi" w:hAnsiTheme="minorHAnsi" w:cstheme="minorHAnsi"/>
                <w:i/>
                <w:iCs/>
                <w:sz w:val="22"/>
                <w:szCs w:val="22"/>
              </w:rPr>
              <w:t xml:space="preserve">N/A – </w:t>
            </w:r>
            <w:r>
              <w:rPr>
                <w:rFonts w:asciiTheme="minorHAnsi" w:hAnsiTheme="minorHAnsi" w:cstheme="minorHAnsi"/>
                <w:i/>
                <w:iCs/>
                <w:sz w:val="22"/>
                <w:szCs w:val="22"/>
              </w:rPr>
              <w:t>P</w:t>
            </w:r>
            <w:r w:rsidRPr="0023001A">
              <w:rPr>
                <w:rFonts w:asciiTheme="minorHAnsi" w:hAnsiTheme="minorHAnsi" w:cstheme="minorHAnsi"/>
                <w:i/>
                <w:iCs/>
                <w:sz w:val="22"/>
                <w:szCs w:val="22"/>
              </w:rPr>
              <w:t>aid claims and encounter data</w:t>
            </w:r>
            <w:r>
              <w:rPr>
                <w:rFonts w:asciiTheme="minorHAnsi" w:hAnsiTheme="minorHAnsi" w:cstheme="minorHAnsi"/>
                <w:i/>
                <w:iCs/>
                <w:sz w:val="22"/>
                <w:szCs w:val="22"/>
              </w:rPr>
              <w:t xml:space="preserve"> analysis</w:t>
            </w:r>
            <w:r w:rsidRPr="0023001A">
              <w:rPr>
                <w:rFonts w:asciiTheme="minorHAnsi" w:hAnsiTheme="minorHAnsi" w:cstheme="minorHAnsi"/>
                <w:i/>
                <w:iCs/>
                <w:sz w:val="22"/>
                <w:szCs w:val="22"/>
              </w:rPr>
              <w:t xml:space="preserve"> will be </w:t>
            </w:r>
            <w:r>
              <w:rPr>
                <w:rFonts w:asciiTheme="minorHAnsi" w:hAnsiTheme="minorHAnsi" w:cstheme="minorHAnsi"/>
                <w:i/>
                <w:iCs/>
                <w:sz w:val="22"/>
                <w:szCs w:val="22"/>
              </w:rPr>
              <w:t>completed</w:t>
            </w:r>
            <w:r w:rsidRPr="0023001A">
              <w:rPr>
                <w:rFonts w:asciiTheme="minorHAnsi" w:hAnsiTheme="minorHAnsi" w:cstheme="minorHAnsi"/>
                <w:i/>
                <w:iCs/>
                <w:sz w:val="22"/>
                <w:szCs w:val="22"/>
              </w:rPr>
              <w:t xml:space="preserve"> by </w:t>
            </w:r>
            <w:r>
              <w:rPr>
                <w:rFonts w:asciiTheme="minorHAnsi" w:hAnsiTheme="minorHAnsi" w:cstheme="minorHAnsi"/>
                <w:i/>
                <w:iCs/>
                <w:sz w:val="22"/>
                <w:szCs w:val="22"/>
              </w:rPr>
              <w:t xml:space="preserve">the </w:t>
            </w:r>
            <w:r w:rsidRPr="0023001A">
              <w:rPr>
                <w:rFonts w:asciiTheme="minorHAnsi" w:hAnsiTheme="minorHAnsi" w:cstheme="minorHAnsi"/>
                <w:i/>
                <w:iCs/>
                <w:sz w:val="22"/>
                <w:szCs w:val="22"/>
              </w:rPr>
              <w:lastRenderedPageBreak/>
              <w:t xml:space="preserve">EOHHS Comprehensive Quality Measurement Vendor (CQMV).  </w:t>
            </w:r>
          </w:p>
        </w:tc>
        <w:tc>
          <w:tcPr>
            <w:tcW w:w="1383" w:type="pct"/>
            <w:shd w:val="clear" w:color="auto" w:fill="auto"/>
          </w:tcPr>
          <w:p w14:paraId="18356352" w14:textId="77777777" w:rsidR="006D50F5" w:rsidRPr="0023001A" w:rsidRDefault="006D50F5">
            <w:pPr>
              <w:spacing w:before="0" w:after="0"/>
              <w:rPr>
                <w:rFonts w:cstheme="minorHAnsi"/>
                <w:b/>
                <w:bCs/>
                <w:i/>
                <w:iCs/>
              </w:rPr>
            </w:pPr>
            <w:r w:rsidRPr="0023001A">
              <w:rPr>
                <w:rFonts w:cstheme="minorHAnsi"/>
                <w:i/>
                <w:iCs/>
              </w:rPr>
              <w:lastRenderedPageBreak/>
              <w:t xml:space="preserve">N/A </w:t>
            </w:r>
          </w:p>
        </w:tc>
      </w:tr>
      <w:tr w:rsidR="006D50F5" w14:paraId="4A02B5BC" w14:textId="77777777">
        <w:tc>
          <w:tcPr>
            <w:tcW w:w="1583" w:type="pct"/>
            <w:shd w:val="clear" w:color="auto" w:fill="auto"/>
          </w:tcPr>
          <w:p w14:paraId="74BA23D8" w14:textId="77777777" w:rsidR="006D50F5" w:rsidRPr="00707AAF" w:rsidRDefault="006D50F5">
            <w:pPr>
              <w:spacing w:before="0" w:after="0"/>
              <w:contextualSpacing/>
              <w:rPr>
                <w:rFonts w:cstheme="minorHAnsi"/>
              </w:rPr>
            </w:pPr>
            <w:r>
              <w:rPr>
                <w:rFonts w:cstheme="minorHAnsi"/>
              </w:rPr>
              <w:t>CCQI-3: Readmission to Acute Behavioral Health Care</w:t>
            </w:r>
          </w:p>
        </w:tc>
        <w:tc>
          <w:tcPr>
            <w:tcW w:w="2034" w:type="pct"/>
            <w:shd w:val="clear" w:color="auto" w:fill="auto"/>
          </w:tcPr>
          <w:p w14:paraId="23FDFB13" w14:textId="77777777" w:rsidR="006D50F5" w:rsidRPr="0023001A" w:rsidRDefault="006D50F5">
            <w:pPr>
              <w:pStyle w:val="ListParagraph"/>
              <w:ind w:left="0"/>
              <w:rPr>
                <w:rFonts w:asciiTheme="minorHAnsi" w:hAnsiTheme="minorHAnsi" w:cstheme="minorHAnsi"/>
                <w:i/>
                <w:iCs/>
                <w:sz w:val="22"/>
                <w:szCs w:val="22"/>
              </w:rPr>
            </w:pPr>
            <w:r w:rsidRPr="0023001A">
              <w:rPr>
                <w:rFonts w:asciiTheme="minorHAnsi" w:hAnsiTheme="minorHAnsi" w:cstheme="minorHAnsi"/>
                <w:i/>
                <w:iCs/>
                <w:sz w:val="22"/>
                <w:szCs w:val="22"/>
              </w:rPr>
              <w:t xml:space="preserve">N/A – </w:t>
            </w:r>
            <w:r>
              <w:rPr>
                <w:rFonts w:asciiTheme="minorHAnsi" w:hAnsiTheme="minorHAnsi" w:cstheme="minorHAnsi"/>
                <w:i/>
                <w:iCs/>
                <w:sz w:val="22"/>
                <w:szCs w:val="22"/>
              </w:rPr>
              <w:t>P</w:t>
            </w:r>
            <w:r w:rsidRPr="0023001A">
              <w:rPr>
                <w:rFonts w:asciiTheme="minorHAnsi" w:hAnsiTheme="minorHAnsi" w:cstheme="minorHAnsi"/>
                <w:i/>
                <w:iCs/>
                <w:sz w:val="22"/>
                <w:szCs w:val="22"/>
              </w:rPr>
              <w:t>aid claims and encounter data</w:t>
            </w:r>
            <w:r>
              <w:rPr>
                <w:rFonts w:asciiTheme="minorHAnsi" w:hAnsiTheme="minorHAnsi" w:cstheme="minorHAnsi"/>
                <w:i/>
                <w:iCs/>
                <w:sz w:val="22"/>
                <w:szCs w:val="22"/>
              </w:rPr>
              <w:t xml:space="preserve"> analysis</w:t>
            </w:r>
            <w:r w:rsidRPr="0023001A">
              <w:rPr>
                <w:rFonts w:asciiTheme="minorHAnsi" w:hAnsiTheme="minorHAnsi" w:cstheme="minorHAnsi"/>
                <w:i/>
                <w:iCs/>
                <w:sz w:val="22"/>
                <w:szCs w:val="22"/>
              </w:rPr>
              <w:t xml:space="preserve"> will be </w:t>
            </w:r>
            <w:r>
              <w:rPr>
                <w:rFonts w:asciiTheme="minorHAnsi" w:hAnsiTheme="minorHAnsi" w:cstheme="minorHAnsi"/>
                <w:i/>
                <w:iCs/>
                <w:sz w:val="22"/>
                <w:szCs w:val="22"/>
              </w:rPr>
              <w:t>completed</w:t>
            </w:r>
            <w:r w:rsidRPr="0023001A">
              <w:rPr>
                <w:rFonts w:asciiTheme="minorHAnsi" w:hAnsiTheme="minorHAnsi" w:cstheme="minorHAnsi"/>
                <w:i/>
                <w:iCs/>
                <w:sz w:val="22"/>
                <w:szCs w:val="22"/>
              </w:rPr>
              <w:t xml:space="preserve"> by </w:t>
            </w:r>
            <w:r>
              <w:rPr>
                <w:rFonts w:asciiTheme="minorHAnsi" w:hAnsiTheme="minorHAnsi" w:cstheme="minorHAnsi"/>
                <w:i/>
                <w:iCs/>
                <w:sz w:val="22"/>
                <w:szCs w:val="22"/>
              </w:rPr>
              <w:t xml:space="preserve">the </w:t>
            </w:r>
            <w:r w:rsidRPr="0023001A">
              <w:rPr>
                <w:rFonts w:asciiTheme="minorHAnsi" w:hAnsiTheme="minorHAnsi" w:cstheme="minorHAnsi"/>
                <w:i/>
                <w:iCs/>
                <w:sz w:val="22"/>
                <w:szCs w:val="22"/>
              </w:rPr>
              <w:t xml:space="preserve">EOHHS Comprehensive Quality Measurement Vendor (CQMV).  </w:t>
            </w:r>
          </w:p>
        </w:tc>
        <w:tc>
          <w:tcPr>
            <w:tcW w:w="1383" w:type="pct"/>
            <w:shd w:val="clear" w:color="auto" w:fill="auto"/>
          </w:tcPr>
          <w:p w14:paraId="6195C711" w14:textId="77777777" w:rsidR="006D50F5" w:rsidRPr="0023001A" w:rsidRDefault="006D50F5">
            <w:pPr>
              <w:spacing w:before="0" w:after="0"/>
              <w:rPr>
                <w:rFonts w:cstheme="minorHAnsi"/>
                <w:b/>
                <w:bCs/>
                <w:i/>
                <w:iCs/>
              </w:rPr>
            </w:pPr>
            <w:r w:rsidRPr="0023001A">
              <w:rPr>
                <w:rFonts w:cstheme="minorHAnsi"/>
                <w:i/>
                <w:iCs/>
              </w:rPr>
              <w:t xml:space="preserve">N/A </w:t>
            </w:r>
          </w:p>
        </w:tc>
      </w:tr>
    </w:tbl>
    <w:p w14:paraId="6502CFFA" w14:textId="77777777" w:rsidR="006D50F5" w:rsidRDefault="006D50F5" w:rsidP="006D50F5">
      <w:pPr>
        <w:pStyle w:val="Heading2"/>
      </w:pPr>
      <w:bookmarkStart w:id="13" w:name="_Toc197680228"/>
      <w:r>
        <w:t>3.3. CCQI PY2-5 Payment Methodology and Schedule</w:t>
      </w:r>
      <w:bookmarkEnd w:id="13"/>
    </w:p>
    <w:p w14:paraId="37F18C21" w14:textId="77777777" w:rsidR="006D50F5" w:rsidRDefault="006D50F5" w:rsidP="006D50F5">
      <w:pPr>
        <w:pStyle w:val="Heading3"/>
      </w:pPr>
      <w:bookmarkStart w:id="14" w:name="_Toc197680229"/>
      <w:r>
        <w:t>3.3.1 Payment Methodology</w:t>
      </w:r>
      <w:bookmarkEnd w:id="14"/>
    </w:p>
    <w:p w14:paraId="48998D74" w14:textId="52884986" w:rsidR="006D50F5" w:rsidRDefault="006D50F5" w:rsidP="006D50F5">
      <w:r>
        <w:t xml:space="preserve">The annual total maximum eligible incentive payment pool for the CCQI across all CBHCs per year is $8.5 million. Of the $8.5 million, each CBHC TIN-billing entity’s </w:t>
      </w:r>
      <w:r w:rsidRPr="2C44332D">
        <w:rPr>
          <w:b/>
          <w:bCs/>
        </w:rPr>
        <w:t xml:space="preserve">individual maximum eligible incentive amount </w:t>
      </w:r>
      <w:r>
        <w:t xml:space="preserve">will be based on their relative proportion of unique MassHealth members served in the previous performance year. For example, for PY2 (2025), each CBHC TIN-billing entity’s maximum eligible incentive amount will be based on their relative proportion of unique MassHealth members served from 01/01/24 to 12/31/24. Each CBHC’s TIN-billing entity may earn their respective maximum eligible incentive amount based on their overall quality score (as described in Section 3.4).  </w:t>
      </w:r>
      <w:r w:rsidRPr="00C94EEE">
        <w:t xml:space="preserve">Please note that if the reporting requirements for the Access Standards measure are not adequately met where complete and accurate data is not provided for a performance </w:t>
      </w:r>
      <w:r w:rsidR="40174ECE" w:rsidRPr="00C94EEE">
        <w:t>period</w:t>
      </w:r>
      <w:r w:rsidRPr="00C94EEE">
        <w:t>, EOHHS would not be able to calculate a quality score for this measure, which may result in a significantly reduced amount of the total earned incentive.</w:t>
      </w:r>
    </w:p>
    <w:p w14:paraId="45D46F36" w14:textId="77777777" w:rsidR="006D50F5" w:rsidRDefault="006D50F5" w:rsidP="006D50F5">
      <w:pPr>
        <w:pStyle w:val="Heading3"/>
      </w:pPr>
      <w:bookmarkStart w:id="15" w:name="_Toc197680230"/>
      <w:r>
        <w:t>3.3.2. Payment Schedule</w:t>
      </w:r>
      <w:bookmarkEnd w:id="15"/>
    </w:p>
    <w:p w14:paraId="01BB3CD1" w14:textId="77777777" w:rsidR="006D50F5" w:rsidRDefault="006D50F5" w:rsidP="006D50F5">
      <w:pPr>
        <w:pStyle w:val="Heading4"/>
      </w:pPr>
      <w:r>
        <w:t>CCQI Performance Year 2-5 Payment Schedule</w:t>
      </w:r>
    </w:p>
    <w:p w14:paraId="0718DB5F" w14:textId="7CA95A52" w:rsidR="006D50F5" w:rsidRPr="00D62CB0" w:rsidRDefault="006D50F5" w:rsidP="006D50F5">
      <w:r>
        <w:t xml:space="preserve"> </w:t>
      </w:r>
      <w:r w:rsidR="7604F883">
        <w:t>I</w:t>
      </w:r>
      <w:r>
        <w:t>n PY2-5 CBHCs will receive a one-time final earned incentive payment based on an overall quality score during each performance year.</w:t>
      </w:r>
    </w:p>
    <w:p w14:paraId="5FA47CE4" w14:textId="6513AF9F" w:rsidR="006D50F5" w:rsidRPr="0058202D" w:rsidRDefault="006D50F5" w:rsidP="6A802AC2">
      <w:pPr>
        <w:pStyle w:val="ListParagraph"/>
        <w:numPr>
          <w:ilvl w:val="0"/>
          <w:numId w:val="9"/>
        </w:numPr>
        <w:rPr>
          <w:rFonts w:asciiTheme="minorHAnsi" w:hAnsiTheme="minorHAnsi" w:cstheme="minorBidi"/>
          <w:sz w:val="22"/>
          <w:szCs w:val="22"/>
        </w:rPr>
      </w:pPr>
      <w:r w:rsidRPr="6A802AC2">
        <w:rPr>
          <w:rFonts w:asciiTheme="minorHAnsi" w:hAnsiTheme="minorHAnsi" w:cstheme="minorBidi"/>
          <w:sz w:val="22"/>
          <w:szCs w:val="22"/>
          <w:u w:val="single"/>
        </w:rPr>
        <w:t>Earned Incentive Payment:</w:t>
      </w:r>
      <w:r w:rsidRPr="6A802AC2">
        <w:rPr>
          <w:rFonts w:asciiTheme="minorHAnsi" w:hAnsiTheme="minorHAnsi" w:cstheme="minorBidi"/>
          <w:sz w:val="22"/>
          <w:szCs w:val="22"/>
        </w:rPr>
        <w:t xml:space="preserve"> When the overall quality score is calculated for the performance </w:t>
      </w:r>
      <w:r w:rsidR="4C278AF3" w:rsidRPr="6A802AC2">
        <w:rPr>
          <w:rFonts w:asciiTheme="minorHAnsi" w:hAnsiTheme="minorHAnsi" w:cstheme="minorBidi"/>
          <w:sz w:val="22"/>
          <w:szCs w:val="22"/>
        </w:rPr>
        <w:t>period</w:t>
      </w:r>
      <w:r w:rsidRPr="6A802AC2">
        <w:rPr>
          <w:rFonts w:asciiTheme="minorHAnsi" w:hAnsiTheme="minorHAnsi" w:cstheme="minorBidi"/>
          <w:sz w:val="22"/>
          <w:szCs w:val="22"/>
        </w:rPr>
        <w:t xml:space="preserve">, CBHCs will be paid the one-time earned incentive amount. </w:t>
      </w:r>
    </w:p>
    <w:p w14:paraId="44581C32" w14:textId="4B2627B2" w:rsidR="006D50F5" w:rsidRDefault="006D50F5" w:rsidP="006D50F5">
      <w:pPr>
        <w:pStyle w:val="Heading2"/>
      </w:pPr>
      <w:bookmarkStart w:id="16" w:name="_Toc197680231"/>
      <w:r>
        <w:t>3.4</w:t>
      </w:r>
      <w:r w:rsidRPr="00705A90">
        <w:t>. C</w:t>
      </w:r>
      <w:r>
        <w:t>CQI</w:t>
      </w:r>
      <w:r w:rsidRPr="00705A90">
        <w:t xml:space="preserve"> Performance Assessment Methodology for PY2-5</w:t>
      </w:r>
      <w:bookmarkEnd w:id="16"/>
    </w:p>
    <w:p w14:paraId="033E91DE" w14:textId="38F9AADD" w:rsidR="006D50F5" w:rsidRPr="005077C7" w:rsidRDefault="006D50F5" w:rsidP="006D50F5">
      <w:r>
        <w:t xml:space="preserve">The CCQI Performance Assessment Methodology (PAM) is used to determine how the quality performance score for each clinical quality incentive measure will be calculated relative to the total </w:t>
      </w:r>
      <w:r w:rsidR="007D1EA6">
        <w:t>incentive amount earned</w:t>
      </w:r>
      <w:r>
        <w:t xml:space="preserve"> for each CBHC.  EOHHS will determine the overall quality score (the sum of each quality score for all three measures) based on the scoring mechanisms outlined in section 3.4.  Please note that the Performance Assessment Methodology for the CCQI program may be subject to change in subsequent performance years.  The complete framework for the CCQI PAM will be provided </w:t>
      </w:r>
      <w:r>
        <w:lastRenderedPageBreak/>
        <w:t xml:space="preserve">to CBHCs in a forthcoming </w:t>
      </w:r>
      <w:r w:rsidRPr="574A7CA2">
        <w:rPr>
          <w:i/>
        </w:rPr>
        <w:t xml:space="preserve">CBHC </w:t>
      </w:r>
      <w:r w:rsidR="5C2E609A" w:rsidRPr="574A7CA2">
        <w:rPr>
          <w:i/>
          <w:iCs/>
        </w:rPr>
        <w:t>C</w:t>
      </w:r>
      <w:r w:rsidR="0173BE89" w:rsidRPr="574A7CA2">
        <w:rPr>
          <w:i/>
          <w:iCs/>
        </w:rPr>
        <w:t xml:space="preserve">linical </w:t>
      </w:r>
      <w:r w:rsidR="5C2E609A" w:rsidRPr="574A7CA2">
        <w:rPr>
          <w:i/>
          <w:iCs/>
        </w:rPr>
        <w:t>Q</w:t>
      </w:r>
      <w:r w:rsidR="26CD68FF" w:rsidRPr="574A7CA2">
        <w:rPr>
          <w:i/>
          <w:iCs/>
        </w:rPr>
        <w:t xml:space="preserve">uality </w:t>
      </w:r>
      <w:r w:rsidR="5C2E609A" w:rsidRPr="574A7CA2">
        <w:rPr>
          <w:i/>
          <w:iCs/>
        </w:rPr>
        <w:t>I</w:t>
      </w:r>
      <w:r w:rsidR="5D0BF70B" w:rsidRPr="574A7CA2">
        <w:rPr>
          <w:i/>
          <w:iCs/>
        </w:rPr>
        <w:t>ncentive (</w:t>
      </w:r>
      <w:r w:rsidR="69A5649C" w:rsidRPr="574A7CA2">
        <w:rPr>
          <w:i/>
          <w:iCs/>
        </w:rPr>
        <w:t>C</w:t>
      </w:r>
      <w:r w:rsidR="5D0BF70B" w:rsidRPr="574A7CA2">
        <w:rPr>
          <w:i/>
          <w:iCs/>
        </w:rPr>
        <w:t>CQI)</w:t>
      </w:r>
      <w:r w:rsidR="5C2E609A" w:rsidRPr="574A7CA2">
        <w:rPr>
          <w:i/>
          <w:iCs/>
        </w:rPr>
        <w:t xml:space="preserve"> P</w:t>
      </w:r>
      <w:r w:rsidR="6F954BEC" w:rsidRPr="574A7CA2">
        <w:rPr>
          <w:i/>
          <w:iCs/>
        </w:rPr>
        <w:t xml:space="preserve">erformance </w:t>
      </w:r>
      <w:r w:rsidR="5C2E609A" w:rsidRPr="574A7CA2">
        <w:rPr>
          <w:i/>
          <w:iCs/>
        </w:rPr>
        <w:t>A</w:t>
      </w:r>
      <w:r w:rsidR="1AE211D1" w:rsidRPr="574A7CA2">
        <w:rPr>
          <w:i/>
          <w:iCs/>
        </w:rPr>
        <w:t xml:space="preserve">ssessment </w:t>
      </w:r>
      <w:r w:rsidR="5C2E609A" w:rsidRPr="574A7CA2">
        <w:rPr>
          <w:i/>
          <w:iCs/>
        </w:rPr>
        <w:t>M</w:t>
      </w:r>
      <w:r w:rsidR="1138922B" w:rsidRPr="574A7CA2">
        <w:rPr>
          <w:i/>
          <w:iCs/>
        </w:rPr>
        <w:t>ethodology (PAM)</w:t>
      </w:r>
      <w:r w:rsidR="5C2E609A" w:rsidRPr="574A7CA2">
        <w:rPr>
          <w:i/>
          <w:iCs/>
        </w:rPr>
        <w:t xml:space="preserve"> Manual.</w:t>
      </w:r>
      <w:r w:rsidR="5C2E609A">
        <w:t xml:space="preserve"> </w:t>
      </w:r>
    </w:p>
    <w:p w14:paraId="126EB41D" w14:textId="77777777" w:rsidR="006D50F5" w:rsidRPr="008B009F" w:rsidRDefault="006D50F5" w:rsidP="006D50F5">
      <w:pPr>
        <w:pStyle w:val="Heading3"/>
      </w:pPr>
      <w:bookmarkStart w:id="17" w:name="_Toc197680232"/>
      <w:r w:rsidRPr="0058165E">
        <w:t>3.4.1 CCQI Measure Weights for Performance Years 2-5</w:t>
      </w:r>
      <w:bookmarkEnd w:id="17"/>
    </w:p>
    <w:p w14:paraId="3C00746F" w14:textId="77777777" w:rsidR="006D50F5" w:rsidRPr="00BE47A0" w:rsidRDefault="006D50F5" w:rsidP="006D50F5">
      <w:r w:rsidRPr="00BE47A0">
        <w:rPr>
          <w:rFonts w:cstheme="minorHAnsi"/>
        </w:rPr>
        <w:t xml:space="preserve">Each </w:t>
      </w:r>
      <w:r>
        <w:rPr>
          <w:rFonts w:cstheme="minorHAnsi"/>
        </w:rPr>
        <w:t xml:space="preserve">CCQI </w:t>
      </w:r>
      <w:r w:rsidRPr="00BE47A0">
        <w:rPr>
          <w:rFonts w:cstheme="minorHAnsi"/>
        </w:rPr>
        <w:t xml:space="preserve">measure will be </w:t>
      </w:r>
      <w:proofErr w:type="gramStart"/>
      <w:r w:rsidRPr="00BE47A0">
        <w:rPr>
          <w:rFonts w:cstheme="minorHAnsi"/>
        </w:rPr>
        <w:t>weighted</w:t>
      </w:r>
      <w:proofErr w:type="gramEnd"/>
      <w:r w:rsidRPr="00BE47A0">
        <w:rPr>
          <w:rFonts w:cstheme="minorHAnsi"/>
        </w:rPr>
        <w:t xml:space="preserve"> equall</w:t>
      </w:r>
      <w:r>
        <w:rPr>
          <w:rFonts w:cstheme="minorHAnsi"/>
        </w:rPr>
        <w:t xml:space="preserve">y for each quality score for PY2-5.  The measure weights are outlined in </w:t>
      </w:r>
      <w:r w:rsidRPr="001D3577">
        <w:rPr>
          <w:rFonts w:cstheme="minorHAnsi"/>
          <w:i/>
          <w:iCs/>
        </w:rPr>
        <w:t>Table 4. CCQI Measure Weights for Performance Years 2-5</w:t>
      </w:r>
      <w:r>
        <w:rPr>
          <w:rFonts w:cstheme="minorHAnsi"/>
        </w:rPr>
        <w:t xml:space="preserve">.   </w:t>
      </w:r>
    </w:p>
    <w:p w14:paraId="787FA422" w14:textId="77777777" w:rsidR="006D50F5" w:rsidRPr="0099424A" w:rsidRDefault="006D50F5" w:rsidP="006D50F5">
      <w:pPr>
        <w:pStyle w:val="Heading3"/>
      </w:pPr>
      <w:bookmarkStart w:id="18" w:name="_Toc197680233"/>
      <w:r w:rsidRPr="0099424A">
        <w:t xml:space="preserve">Table </w:t>
      </w:r>
      <w:r>
        <w:t>4</w:t>
      </w:r>
      <w:r w:rsidRPr="0099424A">
        <w:t>. C</w:t>
      </w:r>
      <w:r>
        <w:t>CQI</w:t>
      </w:r>
      <w:r w:rsidRPr="0099424A">
        <w:t xml:space="preserve"> Measure Weights for Performance Years 2-5</w:t>
      </w:r>
      <w:bookmarkEnd w:id="18"/>
    </w:p>
    <w:tbl>
      <w:tblPr>
        <w:tblStyle w:val="TableGrid"/>
        <w:tblW w:w="10705" w:type="dxa"/>
        <w:tblLayout w:type="fixed"/>
        <w:tblLook w:val="04A0" w:firstRow="1" w:lastRow="0" w:firstColumn="1" w:lastColumn="0" w:noHBand="0" w:noVBand="1"/>
      </w:tblPr>
      <w:tblGrid>
        <w:gridCol w:w="2965"/>
        <w:gridCol w:w="1260"/>
        <w:gridCol w:w="1260"/>
        <w:gridCol w:w="1260"/>
        <w:gridCol w:w="1260"/>
        <w:gridCol w:w="2700"/>
      </w:tblGrid>
      <w:tr w:rsidR="006D50F5" w:rsidRPr="00B14D67" w14:paraId="5FBC59B6" w14:textId="77777777">
        <w:tc>
          <w:tcPr>
            <w:tcW w:w="2965" w:type="dxa"/>
            <w:shd w:val="clear" w:color="auto" w:fill="E7EDF3" w:themeFill="accent3" w:themeFillTint="33"/>
          </w:tcPr>
          <w:p w14:paraId="53C89613" w14:textId="77777777" w:rsidR="006D50F5" w:rsidRPr="00B14D67" w:rsidRDefault="006D50F5">
            <w:pPr>
              <w:spacing w:before="0" w:after="0"/>
              <w:rPr>
                <w:rFonts w:cstheme="minorHAnsi"/>
                <w:sz w:val="20"/>
                <w:szCs w:val="20"/>
              </w:rPr>
            </w:pPr>
            <w:r w:rsidRPr="00B14D67">
              <w:rPr>
                <w:rFonts w:cstheme="minorHAnsi"/>
                <w:b/>
                <w:bCs/>
                <w:sz w:val="20"/>
                <w:szCs w:val="20"/>
              </w:rPr>
              <w:t>Measure Name</w:t>
            </w:r>
          </w:p>
        </w:tc>
        <w:tc>
          <w:tcPr>
            <w:tcW w:w="1260" w:type="dxa"/>
            <w:shd w:val="clear" w:color="auto" w:fill="E7EDF3" w:themeFill="accent3" w:themeFillTint="33"/>
          </w:tcPr>
          <w:p w14:paraId="51323C21" w14:textId="77777777" w:rsidR="006D50F5" w:rsidRPr="00B14D67" w:rsidRDefault="006D50F5">
            <w:pPr>
              <w:spacing w:before="0" w:after="0"/>
              <w:jc w:val="center"/>
              <w:rPr>
                <w:rFonts w:cstheme="minorHAnsi"/>
                <w:b/>
                <w:bCs/>
                <w:sz w:val="20"/>
                <w:szCs w:val="20"/>
              </w:rPr>
            </w:pPr>
            <w:r w:rsidRPr="00B14D67">
              <w:rPr>
                <w:rFonts w:cstheme="minorHAnsi"/>
                <w:b/>
                <w:bCs/>
                <w:sz w:val="20"/>
                <w:szCs w:val="20"/>
              </w:rPr>
              <w:t xml:space="preserve">Measure Weight </w:t>
            </w:r>
          </w:p>
          <w:p w14:paraId="0F39A70B" w14:textId="77777777" w:rsidR="006D50F5" w:rsidRPr="00B14D67" w:rsidRDefault="006D50F5">
            <w:pPr>
              <w:spacing w:before="0" w:after="0"/>
              <w:jc w:val="center"/>
              <w:rPr>
                <w:rFonts w:cstheme="minorHAnsi"/>
                <w:sz w:val="20"/>
                <w:szCs w:val="20"/>
              </w:rPr>
            </w:pPr>
            <w:r w:rsidRPr="00B14D67">
              <w:rPr>
                <w:rFonts w:cstheme="minorHAnsi"/>
                <w:sz w:val="20"/>
                <w:szCs w:val="20"/>
              </w:rPr>
              <w:t>PY2 (2025)</w:t>
            </w:r>
          </w:p>
        </w:tc>
        <w:tc>
          <w:tcPr>
            <w:tcW w:w="1260" w:type="dxa"/>
            <w:shd w:val="clear" w:color="auto" w:fill="E7EDF3" w:themeFill="accent3" w:themeFillTint="33"/>
          </w:tcPr>
          <w:p w14:paraId="31C9F76F" w14:textId="77777777" w:rsidR="006D50F5" w:rsidRPr="00B14D67" w:rsidRDefault="006D50F5">
            <w:pPr>
              <w:spacing w:before="0" w:after="0"/>
              <w:jc w:val="center"/>
              <w:rPr>
                <w:rFonts w:cstheme="minorHAnsi"/>
                <w:b/>
                <w:bCs/>
                <w:sz w:val="20"/>
                <w:szCs w:val="20"/>
              </w:rPr>
            </w:pPr>
            <w:r w:rsidRPr="00B14D67">
              <w:rPr>
                <w:rFonts w:cstheme="minorHAnsi"/>
                <w:b/>
                <w:bCs/>
                <w:sz w:val="20"/>
                <w:szCs w:val="20"/>
              </w:rPr>
              <w:t xml:space="preserve">Measure Weight </w:t>
            </w:r>
          </w:p>
          <w:p w14:paraId="2C263E22" w14:textId="77777777" w:rsidR="006D50F5" w:rsidRPr="00B14D67" w:rsidRDefault="006D50F5">
            <w:pPr>
              <w:spacing w:before="0" w:after="0"/>
              <w:jc w:val="center"/>
              <w:rPr>
                <w:rFonts w:cstheme="minorHAnsi"/>
                <w:sz w:val="20"/>
                <w:szCs w:val="20"/>
              </w:rPr>
            </w:pPr>
            <w:r w:rsidRPr="00B14D67">
              <w:rPr>
                <w:rFonts w:cstheme="minorHAnsi"/>
                <w:sz w:val="20"/>
                <w:szCs w:val="20"/>
              </w:rPr>
              <w:t>PY3 (2026)</w:t>
            </w:r>
          </w:p>
        </w:tc>
        <w:tc>
          <w:tcPr>
            <w:tcW w:w="1260" w:type="dxa"/>
            <w:shd w:val="clear" w:color="auto" w:fill="E7EDF3" w:themeFill="accent3" w:themeFillTint="33"/>
          </w:tcPr>
          <w:p w14:paraId="522A6BE7" w14:textId="77777777" w:rsidR="006D50F5" w:rsidRPr="00B14D67" w:rsidRDefault="006D50F5">
            <w:pPr>
              <w:spacing w:before="0" w:after="0"/>
              <w:jc w:val="center"/>
              <w:rPr>
                <w:rFonts w:cstheme="minorHAnsi"/>
                <w:b/>
                <w:bCs/>
                <w:sz w:val="20"/>
                <w:szCs w:val="20"/>
              </w:rPr>
            </w:pPr>
            <w:r w:rsidRPr="00B14D67">
              <w:rPr>
                <w:rFonts w:cstheme="minorHAnsi"/>
                <w:b/>
                <w:bCs/>
                <w:sz w:val="20"/>
                <w:szCs w:val="20"/>
              </w:rPr>
              <w:t xml:space="preserve">Measure Weight </w:t>
            </w:r>
          </w:p>
          <w:p w14:paraId="407A56AF" w14:textId="77777777" w:rsidR="006D50F5" w:rsidRPr="00B14D67" w:rsidRDefault="006D50F5">
            <w:pPr>
              <w:spacing w:before="0" w:after="0"/>
              <w:jc w:val="center"/>
              <w:rPr>
                <w:rFonts w:cstheme="minorHAnsi"/>
                <w:sz w:val="20"/>
                <w:szCs w:val="20"/>
              </w:rPr>
            </w:pPr>
            <w:r w:rsidRPr="00B14D67">
              <w:rPr>
                <w:rFonts w:cstheme="minorHAnsi"/>
                <w:sz w:val="20"/>
                <w:szCs w:val="20"/>
              </w:rPr>
              <w:t>PY4 (2027)</w:t>
            </w:r>
          </w:p>
        </w:tc>
        <w:tc>
          <w:tcPr>
            <w:tcW w:w="1260" w:type="dxa"/>
            <w:shd w:val="clear" w:color="auto" w:fill="E7EDF3" w:themeFill="accent3" w:themeFillTint="33"/>
          </w:tcPr>
          <w:p w14:paraId="305C4247" w14:textId="77777777" w:rsidR="006D50F5" w:rsidRPr="00B14D67" w:rsidRDefault="006D50F5">
            <w:pPr>
              <w:spacing w:before="0" w:after="0"/>
              <w:jc w:val="center"/>
              <w:rPr>
                <w:rFonts w:cstheme="minorHAnsi"/>
                <w:b/>
                <w:bCs/>
                <w:sz w:val="20"/>
                <w:szCs w:val="20"/>
              </w:rPr>
            </w:pPr>
            <w:r w:rsidRPr="00B14D67">
              <w:rPr>
                <w:rFonts w:cstheme="minorHAnsi"/>
                <w:b/>
                <w:bCs/>
                <w:sz w:val="20"/>
                <w:szCs w:val="20"/>
              </w:rPr>
              <w:t xml:space="preserve">Measure Weight </w:t>
            </w:r>
          </w:p>
          <w:p w14:paraId="5E677B4D" w14:textId="77777777" w:rsidR="006D50F5" w:rsidRPr="00B14D67" w:rsidRDefault="006D50F5">
            <w:pPr>
              <w:spacing w:before="0" w:after="0"/>
              <w:jc w:val="center"/>
              <w:rPr>
                <w:rFonts w:cstheme="minorHAnsi"/>
                <w:sz w:val="20"/>
                <w:szCs w:val="20"/>
              </w:rPr>
            </w:pPr>
            <w:r w:rsidRPr="00B14D67">
              <w:rPr>
                <w:rFonts w:cstheme="minorHAnsi"/>
                <w:sz w:val="20"/>
                <w:szCs w:val="20"/>
              </w:rPr>
              <w:t>PY5 (2028)</w:t>
            </w:r>
          </w:p>
        </w:tc>
        <w:tc>
          <w:tcPr>
            <w:tcW w:w="2700" w:type="dxa"/>
            <w:shd w:val="clear" w:color="auto" w:fill="E7EDF3" w:themeFill="accent3" w:themeFillTint="33"/>
          </w:tcPr>
          <w:p w14:paraId="42F22D30" w14:textId="77777777" w:rsidR="006D50F5" w:rsidRPr="008E4A0E" w:rsidRDefault="006D50F5">
            <w:pPr>
              <w:spacing w:before="0" w:after="0"/>
              <w:jc w:val="center"/>
              <w:rPr>
                <w:rFonts w:cstheme="minorHAnsi"/>
                <w:b/>
                <w:bCs/>
                <w:sz w:val="20"/>
                <w:szCs w:val="20"/>
              </w:rPr>
            </w:pPr>
            <w:r w:rsidRPr="008E4A0E">
              <w:rPr>
                <w:rFonts w:cstheme="minorHAnsi"/>
                <w:b/>
                <w:bCs/>
                <w:sz w:val="20"/>
                <w:szCs w:val="20"/>
              </w:rPr>
              <w:t>Weighted Quality Score</w:t>
            </w:r>
          </w:p>
        </w:tc>
      </w:tr>
      <w:tr w:rsidR="006D50F5" w:rsidRPr="00B14D67" w14:paraId="02341214" w14:textId="77777777">
        <w:tc>
          <w:tcPr>
            <w:tcW w:w="2965" w:type="dxa"/>
            <w:shd w:val="clear" w:color="auto" w:fill="auto"/>
          </w:tcPr>
          <w:p w14:paraId="57CA7BB3" w14:textId="77777777" w:rsidR="006D50F5" w:rsidRPr="00B14D67" w:rsidRDefault="006D50F5">
            <w:pPr>
              <w:spacing w:before="0" w:after="0"/>
              <w:rPr>
                <w:rFonts w:cstheme="minorHAnsi"/>
                <w:b/>
                <w:bCs/>
                <w:sz w:val="20"/>
                <w:szCs w:val="20"/>
              </w:rPr>
            </w:pPr>
            <w:r w:rsidRPr="00B14D67">
              <w:rPr>
                <w:rFonts w:cstheme="minorHAnsi"/>
                <w:sz w:val="20"/>
                <w:szCs w:val="20"/>
              </w:rPr>
              <w:t>CCQI-1: Access Standards</w:t>
            </w:r>
          </w:p>
        </w:tc>
        <w:tc>
          <w:tcPr>
            <w:tcW w:w="1260" w:type="dxa"/>
            <w:shd w:val="clear" w:color="auto" w:fill="auto"/>
          </w:tcPr>
          <w:p w14:paraId="0DF8610A" w14:textId="77777777" w:rsidR="006D50F5" w:rsidRPr="00B14D67" w:rsidRDefault="006D50F5">
            <w:pPr>
              <w:spacing w:before="0" w:after="0"/>
              <w:jc w:val="center"/>
              <w:rPr>
                <w:rFonts w:cstheme="minorHAnsi"/>
                <w:sz w:val="20"/>
                <w:szCs w:val="20"/>
              </w:rPr>
            </w:pPr>
            <w:r w:rsidRPr="00B14D67">
              <w:rPr>
                <w:rFonts w:cstheme="minorHAnsi"/>
                <w:sz w:val="20"/>
                <w:szCs w:val="20"/>
              </w:rPr>
              <w:t>33.33%</w:t>
            </w:r>
          </w:p>
        </w:tc>
        <w:tc>
          <w:tcPr>
            <w:tcW w:w="1260" w:type="dxa"/>
            <w:shd w:val="clear" w:color="auto" w:fill="auto"/>
          </w:tcPr>
          <w:p w14:paraId="0CAF7C66" w14:textId="77777777" w:rsidR="006D50F5" w:rsidRPr="00B14D67" w:rsidRDefault="006D50F5">
            <w:pPr>
              <w:spacing w:before="0" w:after="0"/>
              <w:jc w:val="center"/>
              <w:rPr>
                <w:rFonts w:cstheme="minorHAnsi"/>
                <w:b/>
                <w:bCs/>
                <w:sz w:val="20"/>
                <w:szCs w:val="20"/>
              </w:rPr>
            </w:pPr>
            <w:r w:rsidRPr="00B14D67">
              <w:rPr>
                <w:rFonts w:cstheme="minorHAnsi"/>
                <w:sz w:val="20"/>
                <w:szCs w:val="20"/>
              </w:rPr>
              <w:t>33.33%</w:t>
            </w:r>
          </w:p>
        </w:tc>
        <w:tc>
          <w:tcPr>
            <w:tcW w:w="1260" w:type="dxa"/>
            <w:shd w:val="clear" w:color="auto" w:fill="auto"/>
          </w:tcPr>
          <w:p w14:paraId="43441EA2" w14:textId="77777777" w:rsidR="006D50F5" w:rsidRPr="00B14D67" w:rsidRDefault="006D50F5">
            <w:pPr>
              <w:spacing w:before="0" w:after="0"/>
              <w:jc w:val="center"/>
              <w:rPr>
                <w:rFonts w:cstheme="minorHAnsi"/>
                <w:b/>
                <w:bCs/>
                <w:sz w:val="20"/>
                <w:szCs w:val="20"/>
              </w:rPr>
            </w:pPr>
            <w:r w:rsidRPr="00B14D67">
              <w:rPr>
                <w:rFonts w:cstheme="minorHAnsi"/>
                <w:sz w:val="20"/>
                <w:szCs w:val="20"/>
              </w:rPr>
              <w:t>33.33%</w:t>
            </w:r>
          </w:p>
        </w:tc>
        <w:tc>
          <w:tcPr>
            <w:tcW w:w="1260" w:type="dxa"/>
            <w:shd w:val="clear" w:color="auto" w:fill="auto"/>
          </w:tcPr>
          <w:p w14:paraId="275814EE" w14:textId="77777777" w:rsidR="006D50F5" w:rsidRPr="00B14D67" w:rsidRDefault="006D50F5">
            <w:pPr>
              <w:spacing w:before="0" w:after="0"/>
              <w:jc w:val="center"/>
              <w:rPr>
                <w:rFonts w:cstheme="minorHAnsi"/>
                <w:b/>
                <w:bCs/>
                <w:sz w:val="20"/>
                <w:szCs w:val="20"/>
              </w:rPr>
            </w:pPr>
            <w:r w:rsidRPr="00B14D67">
              <w:rPr>
                <w:rFonts w:cstheme="minorHAnsi"/>
                <w:sz w:val="20"/>
                <w:szCs w:val="20"/>
              </w:rPr>
              <w:t>33.33%</w:t>
            </w:r>
          </w:p>
        </w:tc>
        <w:tc>
          <w:tcPr>
            <w:tcW w:w="2700" w:type="dxa"/>
            <w:shd w:val="clear" w:color="auto" w:fill="auto"/>
          </w:tcPr>
          <w:p w14:paraId="7927AD66" w14:textId="77777777" w:rsidR="006D50F5" w:rsidRPr="008E4A0E" w:rsidRDefault="006D50F5">
            <w:pPr>
              <w:spacing w:before="0" w:after="0"/>
              <w:rPr>
                <w:rFonts w:cstheme="minorHAnsi"/>
                <w:sz w:val="20"/>
                <w:szCs w:val="20"/>
              </w:rPr>
            </w:pPr>
            <w:r w:rsidRPr="008E4A0E">
              <w:rPr>
                <w:rFonts w:cstheme="minorHAnsi"/>
                <w:sz w:val="20"/>
                <w:szCs w:val="20"/>
              </w:rPr>
              <w:t>33.33% * quality score</w:t>
            </w:r>
          </w:p>
        </w:tc>
      </w:tr>
      <w:tr w:rsidR="006D50F5" w:rsidRPr="00B14D67" w14:paraId="6A8C399B" w14:textId="77777777">
        <w:tc>
          <w:tcPr>
            <w:tcW w:w="2965" w:type="dxa"/>
            <w:shd w:val="clear" w:color="auto" w:fill="auto"/>
          </w:tcPr>
          <w:p w14:paraId="22A62BA9" w14:textId="77777777" w:rsidR="006D50F5" w:rsidRPr="00B14D67" w:rsidRDefault="006D50F5">
            <w:pPr>
              <w:spacing w:before="0" w:after="0"/>
              <w:rPr>
                <w:rFonts w:cstheme="minorHAnsi"/>
                <w:b/>
                <w:bCs/>
                <w:sz w:val="20"/>
                <w:szCs w:val="20"/>
              </w:rPr>
            </w:pPr>
            <w:r w:rsidRPr="00B14D67">
              <w:rPr>
                <w:rFonts w:cstheme="minorHAnsi"/>
                <w:sz w:val="20"/>
                <w:szCs w:val="20"/>
              </w:rPr>
              <w:t>CCQI-2: Follow-up After Acute Behavioral Health Episode of Care</w:t>
            </w:r>
          </w:p>
        </w:tc>
        <w:tc>
          <w:tcPr>
            <w:tcW w:w="1260" w:type="dxa"/>
            <w:shd w:val="clear" w:color="auto" w:fill="auto"/>
          </w:tcPr>
          <w:p w14:paraId="5BE5B42F" w14:textId="77777777" w:rsidR="006D50F5" w:rsidRPr="00B14D67" w:rsidRDefault="006D50F5">
            <w:pPr>
              <w:spacing w:before="0" w:after="0"/>
              <w:jc w:val="center"/>
              <w:rPr>
                <w:rFonts w:cstheme="minorHAnsi"/>
                <w:b/>
                <w:bCs/>
                <w:sz w:val="20"/>
                <w:szCs w:val="20"/>
              </w:rPr>
            </w:pPr>
            <w:r w:rsidRPr="00B14D67">
              <w:rPr>
                <w:rFonts w:cstheme="minorHAnsi"/>
                <w:sz w:val="20"/>
                <w:szCs w:val="20"/>
              </w:rPr>
              <w:t>33.33%</w:t>
            </w:r>
          </w:p>
        </w:tc>
        <w:tc>
          <w:tcPr>
            <w:tcW w:w="1260" w:type="dxa"/>
            <w:shd w:val="clear" w:color="auto" w:fill="auto"/>
          </w:tcPr>
          <w:p w14:paraId="163E4BFD" w14:textId="77777777" w:rsidR="006D50F5" w:rsidRPr="00B14D67" w:rsidRDefault="006D50F5">
            <w:pPr>
              <w:spacing w:before="0" w:after="0"/>
              <w:jc w:val="center"/>
              <w:rPr>
                <w:rFonts w:cstheme="minorHAnsi"/>
                <w:b/>
                <w:bCs/>
                <w:sz w:val="20"/>
                <w:szCs w:val="20"/>
              </w:rPr>
            </w:pPr>
            <w:r w:rsidRPr="00B14D67">
              <w:rPr>
                <w:rFonts w:cstheme="minorHAnsi"/>
                <w:sz w:val="20"/>
                <w:szCs w:val="20"/>
              </w:rPr>
              <w:t>33.33%</w:t>
            </w:r>
          </w:p>
        </w:tc>
        <w:tc>
          <w:tcPr>
            <w:tcW w:w="1260" w:type="dxa"/>
            <w:shd w:val="clear" w:color="auto" w:fill="auto"/>
          </w:tcPr>
          <w:p w14:paraId="6EF5E560" w14:textId="77777777" w:rsidR="006D50F5" w:rsidRPr="00B14D67" w:rsidRDefault="006D50F5">
            <w:pPr>
              <w:spacing w:before="0" w:after="0"/>
              <w:jc w:val="center"/>
              <w:rPr>
                <w:rFonts w:cstheme="minorHAnsi"/>
                <w:b/>
                <w:bCs/>
                <w:sz w:val="20"/>
                <w:szCs w:val="20"/>
              </w:rPr>
            </w:pPr>
            <w:r w:rsidRPr="00B14D67">
              <w:rPr>
                <w:rFonts w:cstheme="minorHAnsi"/>
                <w:sz w:val="20"/>
                <w:szCs w:val="20"/>
              </w:rPr>
              <w:t>33.33%</w:t>
            </w:r>
          </w:p>
        </w:tc>
        <w:tc>
          <w:tcPr>
            <w:tcW w:w="1260" w:type="dxa"/>
            <w:shd w:val="clear" w:color="auto" w:fill="auto"/>
          </w:tcPr>
          <w:p w14:paraId="6A6D841E" w14:textId="77777777" w:rsidR="006D50F5" w:rsidRPr="00B14D67" w:rsidRDefault="006D50F5">
            <w:pPr>
              <w:spacing w:before="0" w:after="0"/>
              <w:jc w:val="center"/>
              <w:rPr>
                <w:rFonts w:cstheme="minorHAnsi"/>
                <w:b/>
                <w:bCs/>
                <w:sz w:val="20"/>
                <w:szCs w:val="20"/>
              </w:rPr>
            </w:pPr>
            <w:r w:rsidRPr="00B14D67">
              <w:rPr>
                <w:rFonts w:cstheme="minorHAnsi"/>
                <w:sz w:val="20"/>
                <w:szCs w:val="20"/>
              </w:rPr>
              <w:t>33.33%</w:t>
            </w:r>
          </w:p>
        </w:tc>
        <w:tc>
          <w:tcPr>
            <w:tcW w:w="2700" w:type="dxa"/>
            <w:shd w:val="clear" w:color="auto" w:fill="auto"/>
          </w:tcPr>
          <w:p w14:paraId="067250A3" w14:textId="77777777" w:rsidR="006D50F5" w:rsidRPr="008E4A0E" w:rsidRDefault="006D50F5">
            <w:pPr>
              <w:spacing w:before="0" w:after="0"/>
              <w:rPr>
                <w:rFonts w:cstheme="minorHAnsi"/>
                <w:sz w:val="20"/>
                <w:szCs w:val="20"/>
              </w:rPr>
            </w:pPr>
            <w:r w:rsidRPr="008E4A0E">
              <w:rPr>
                <w:rFonts w:cstheme="minorHAnsi"/>
                <w:sz w:val="20"/>
                <w:szCs w:val="20"/>
              </w:rPr>
              <w:t>33.33% * quality score</w:t>
            </w:r>
          </w:p>
        </w:tc>
      </w:tr>
      <w:tr w:rsidR="006D50F5" w:rsidRPr="00B14D67" w14:paraId="70402CC6" w14:textId="77777777">
        <w:tc>
          <w:tcPr>
            <w:tcW w:w="2965" w:type="dxa"/>
            <w:shd w:val="clear" w:color="auto" w:fill="auto"/>
          </w:tcPr>
          <w:p w14:paraId="208AD896" w14:textId="77777777" w:rsidR="006D50F5" w:rsidRPr="00B14D67" w:rsidRDefault="006D50F5">
            <w:pPr>
              <w:spacing w:before="0" w:after="0"/>
              <w:rPr>
                <w:rFonts w:cstheme="minorHAnsi"/>
                <w:b/>
                <w:bCs/>
                <w:sz w:val="20"/>
                <w:szCs w:val="20"/>
              </w:rPr>
            </w:pPr>
            <w:r w:rsidRPr="00B14D67">
              <w:rPr>
                <w:rFonts w:cstheme="minorHAnsi"/>
                <w:sz w:val="20"/>
                <w:szCs w:val="20"/>
              </w:rPr>
              <w:t>CCQI-3: Readmission to Acute Behavioral Health Care</w:t>
            </w:r>
          </w:p>
        </w:tc>
        <w:tc>
          <w:tcPr>
            <w:tcW w:w="1260" w:type="dxa"/>
            <w:shd w:val="clear" w:color="auto" w:fill="auto"/>
          </w:tcPr>
          <w:p w14:paraId="09A3ADD7" w14:textId="77777777" w:rsidR="006D50F5" w:rsidRPr="00B14D67" w:rsidRDefault="006D50F5">
            <w:pPr>
              <w:spacing w:before="0" w:after="0"/>
              <w:jc w:val="center"/>
              <w:rPr>
                <w:rFonts w:cstheme="minorHAnsi"/>
                <w:b/>
                <w:bCs/>
                <w:sz w:val="20"/>
                <w:szCs w:val="20"/>
              </w:rPr>
            </w:pPr>
            <w:r w:rsidRPr="00B14D67">
              <w:rPr>
                <w:rFonts w:cstheme="minorHAnsi"/>
                <w:sz w:val="20"/>
                <w:szCs w:val="20"/>
              </w:rPr>
              <w:t>33.33%</w:t>
            </w:r>
          </w:p>
        </w:tc>
        <w:tc>
          <w:tcPr>
            <w:tcW w:w="1260" w:type="dxa"/>
            <w:shd w:val="clear" w:color="auto" w:fill="auto"/>
          </w:tcPr>
          <w:p w14:paraId="6750BF2F" w14:textId="77777777" w:rsidR="006D50F5" w:rsidRPr="00B14D67" w:rsidRDefault="006D50F5">
            <w:pPr>
              <w:spacing w:before="0" w:after="0"/>
              <w:jc w:val="center"/>
              <w:rPr>
                <w:rFonts w:cstheme="minorHAnsi"/>
                <w:b/>
                <w:bCs/>
                <w:sz w:val="20"/>
                <w:szCs w:val="20"/>
              </w:rPr>
            </w:pPr>
            <w:r w:rsidRPr="00B14D67">
              <w:rPr>
                <w:rFonts w:cstheme="minorHAnsi"/>
                <w:sz w:val="20"/>
                <w:szCs w:val="20"/>
              </w:rPr>
              <w:t>33.33%</w:t>
            </w:r>
          </w:p>
        </w:tc>
        <w:tc>
          <w:tcPr>
            <w:tcW w:w="1260" w:type="dxa"/>
            <w:shd w:val="clear" w:color="auto" w:fill="auto"/>
          </w:tcPr>
          <w:p w14:paraId="1FC3631D" w14:textId="77777777" w:rsidR="006D50F5" w:rsidRPr="00B14D67" w:rsidRDefault="006D50F5">
            <w:pPr>
              <w:spacing w:before="0" w:after="0"/>
              <w:jc w:val="center"/>
              <w:rPr>
                <w:rFonts w:cstheme="minorHAnsi"/>
                <w:b/>
                <w:bCs/>
                <w:sz w:val="20"/>
                <w:szCs w:val="20"/>
              </w:rPr>
            </w:pPr>
            <w:r w:rsidRPr="00B14D67">
              <w:rPr>
                <w:rFonts w:cstheme="minorHAnsi"/>
                <w:sz w:val="20"/>
                <w:szCs w:val="20"/>
              </w:rPr>
              <w:t>33.33%</w:t>
            </w:r>
          </w:p>
        </w:tc>
        <w:tc>
          <w:tcPr>
            <w:tcW w:w="1260" w:type="dxa"/>
            <w:shd w:val="clear" w:color="auto" w:fill="auto"/>
          </w:tcPr>
          <w:p w14:paraId="25BE1EBC" w14:textId="77777777" w:rsidR="006D50F5" w:rsidRPr="00B14D67" w:rsidRDefault="006D50F5">
            <w:pPr>
              <w:spacing w:before="0" w:after="0"/>
              <w:jc w:val="center"/>
              <w:rPr>
                <w:rFonts w:cstheme="minorHAnsi"/>
                <w:b/>
                <w:bCs/>
                <w:sz w:val="20"/>
                <w:szCs w:val="20"/>
              </w:rPr>
            </w:pPr>
            <w:r w:rsidRPr="00B14D67">
              <w:rPr>
                <w:rFonts w:cstheme="minorHAnsi"/>
                <w:sz w:val="20"/>
                <w:szCs w:val="20"/>
              </w:rPr>
              <w:t>33.33%</w:t>
            </w:r>
          </w:p>
        </w:tc>
        <w:tc>
          <w:tcPr>
            <w:tcW w:w="2700" w:type="dxa"/>
            <w:shd w:val="clear" w:color="auto" w:fill="auto"/>
          </w:tcPr>
          <w:p w14:paraId="09ADEBEA" w14:textId="77777777" w:rsidR="006D50F5" w:rsidRPr="008E4A0E" w:rsidRDefault="006D50F5">
            <w:pPr>
              <w:spacing w:before="0" w:after="0"/>
              <w:rPr>
                <w:rFonts w:cstheme="minorHAnsi"/>
                <w:sz w:val="20"/>
                <w:szCs w:val="20"/>
              </w:rPr>
            </w:pPr>
            <w:r w:rsidRPr="008E4A0E">
              <w:rPr>
                <w:rFonts w:cstheme="minorHAnsi"/>
                <w:sz w:val="20"/>
                <w:szCs w:val="20"/>
              </w:rPr>
              <w:t>33.33% * quality score</w:t>
            </w:r>
          </w:p>
        </w:tc>
      </w:tr>
      <w:tr w:rsidR="006D50F5" w:rsidRPr="00B14D67" w14:paraId="608AA2DB" w14:textId="77777777">
        <w:tc>
          <w:tcPr>
            <w:tcW w:w="2965" w:type="dxa"/>
            <w:shd w:val="clear" w:color="auto" w:fill="E7EDF3" w:themeFill="accent3" w:themeFillTint="33"/>
          </w:tcPr>
          <w:p w14:paraId="69028DAE" w14:textId="77777777" w:rsidR="006D50F5" w:rsidRPr="008D09FA" w:rsidRDefault="006D50F5">
            <w:pPr>
              <w:spacing w:before="0" w:after="0"/>
              <w:rPr>
                <w:rFonts w:cstheme="minorHAnsi"/>
                <w:b/>
                <w:bCs/>
                <w:sz w:val="20"/>
                <w:szCs w:val="20"/>
              </w:rPr>
            </w:pPr>
            <w:r w:rsidRPr="008D09FA">
              <w:rPr>
                <w:rFonts w:cstheme="minorHAnsi"/>
                <w:b/>
                <w:bCs/>
                <w:sz w:val="20"/>
                <w:szCs w:val="20"/>
              </w:rPr>
              <w:t>Total</w:t>
            </w:r>
          </w:p>
        </w:tc>
        <w:tc>
          <w:tcPr>
            <w:tcW w:w="1260" w:type="dxa"/>
            <w:shd w:val="clear" w:color="auto" w:fill="E7EDF3" w:themeFill="accent3" w:themeFillTint="33"/>
          </w:tcPr>
          <w:p w14:paraId="22023FD4" w14:textId="77777777" w:rsidR="006D50F5" w:rsidRPr="008D09FA" w:rsidRDefault="006D50F5">
            <w:pPr>
              <w:spacing w:before="0" w:after="0"/>
              <w:jc w:val="center"/>
              <w:rPr>
                <w:rFonts w:cstheme="minorHAnsi"/>
                <w:b/>
                <w:bCs/>
                <w:sz w:val="20"/>
                <w:szCs w:val="20"/>
              </w:rPr>
            </w:pPr>
            <w:r w:rsidRPr="008D09FA">
              <w:rPr>
                <w:rFonts w:cstheme="minorHAnsi"/>
                <w:b/>
                <w:bCs/>
                <w:sz w:val="20"/>
                <w:szCs w:val="20"/>
              </w:rPr>
              <w:t>100%</w:t>
            </w:r>
          </w:p>
        </w:tc>
        <w:tc>
          <w:tcPr>
            <w:tcW w:w="1260" w:type="dxa"/>
            <w:shd w:val="clear" w:color="auto" w:fill="E7EDF3" w:themeFill="accent3" w:themeFillTint="33"/>
          </w:tcPr>
          <w:p w14:paraId="4B5765E8" w14:textId="77777777" w:rsidR="006D50F5" w:rsidRPr="008D09FA" w:rsidRDefault="006D50F5">
            <w:pPr>
              <w:spacing w:before="0" w:after="0"/>
              <w:jc w:val="center"/>
              <w:rPr>
                <w:rFonts w:cstheme="minorHAnsi"/>
                <w:b/>
                <w:bCs/>
                <w:sz w:val="20"/>
                <w:szCs w:val="20"/>
              </w:rPr>
            </w:pPr>
            <w:r w:rsidRPr="008D09FA">
              <w:rPr>
                <w:rFonts w:cstheme="minorHAnsi"/>
                <w:b/>
                <w:bCs/>
                <w:sz w:val="20"/>
                <w:szCs w:val="20"/>
              </w:rPr>
              <w:t>100%</w:t>
            </w:r>
          </w:p>
        </w:tc>
        <w:tc>
          <w:tcPr>
            <w:tcW w:w="1260" w:type="dxa"/>
            <w:shd w:val="clear" w:color="auto" w:fill="E7EDF3" w:themeFill="accent3" w:themeFillTint="33"/>
          </w:tcPr>
          <w:p w14:paraId="72ED5077" w14:textId="77777777" w:rsidR="006D50F5" w:rsidRPr="008D09FA" w:rsidRDefault="006D50F5">
            <w:pPr>
              <w:spacing w:before="0" w:after="0"/>
              <w:jc w:val="center"/>
              <w:rPr>
                <w:rFonts w:cstheme="minorHAnsi"/>
                <w:b/>
                <w:bCs/>
                <w:sz w:val="20"/>
                <w:szCs w:val="20"/>
              </w:rPr>
            </w:pPr>
            <w:r w:rsidRPr="008D09FA">
              <w:rPr>
                <w:rFonts w:cstheme="minorHAnsi"/>
                <w:b/>
                <w:bCs/>
                <w:sz w:val="20"/>
                <w:szCs w:val="20"/>
              </w:rPr>
              <w:t>100%</w:t>
            </w:r>
          </w:p>
        </w:tc>
        <w:tc>
          <w:tcPr>
            <w:tcW w:w="1260" w:type="dxa"/>
            <w:shd w:val="clear" w:color="auto" w:fill="E7EDF3" w:themeFill="accent3" w:themeFillTint="33"/>
          </w:tcPr>
          <w:p w14:paraId="1534E79C" w14:textId="77777777" w:rsidR="006D50F5" w:rsidRPr="008D09FA" w:rsidRDefault="006D50F5">
            <w:pPr>
              <w:spacing w:before="0" w:after="0"/>
              <w:jc w:val="center"/>
              <w:rPr>
                <w:rFonts w:cstheme="minorHAnsi"/>
                <w:b/>
                <w:bCs/>
                <w:sz w:val="20"/>
                <w:szCs w:val="20"/>
              </w:rPr>
            </w:pPr>
            <w:r w:rsidRPr="008D09FA">
              <w:rPr>
                <w:rFonts w:cstheme="minorHAnsi"/>
                <w:b/>
                <w:bCs/>
                <w:sz w:val="20"/>
                <w:szCs w:val="20"/>
              </w:rPr>
              <w:t>100%</w:t>
            </w:r>
          </w:p>
        </w:tc>
        <w:tc>
          <w:tcPr>
            <w:tcW w:w="2700" w:type="dxa"/>
            <w:shd w:val="clear" w:color="auto" w:fill="E7EDF3" w:themeFill="accent3" w:themeFillTint="33"/>
          </w:tcPr>
          <w:p w14:paraId="29A6013F" w14:textId="77777777" w:rsidR="006D50F5" w:rsidRPr="008E4A0E" w:rsidRDefault="006D50F5">
            <w:pPr>
              <w:spacing w:before="0" w:after="0"/>
              <w:jc w:val="center"/>
              <w:rPr>
                <w:rFonts w:cstheme="minorHAnsi"/>
                <w:b/>
                <w:bCs/>
                <w:sz w:val="20"/>
                <w:szCs w:val="20"/>
              </w:rPr>
            </w:pPr>
            <w:r w:rsidRPr="008E4A0E">
              <w:rPr>
                <w:rFonts w:cstheme="minorHAnsi"/>
                <w:b/>
                <w:bCs/>
                <w:sz w:val="20"/>
                <w:szCs w:val="20"/>
              </w:rPr>
              <w:t>Overall Quality Score</w:t>
            </w:r>
          </w:p>
        </w:tc>
      </w:tr>
    </w:tbl>
    <w:p w14:paraId="0C2602D6" w14:textId="77777777" w:rsidR="007D1EA6" w:rsidRDefault="007D1EA6" w:rsidP="574A7CA2">
      <w:pPr>
        <w:spacing w:before="0" w:after="0" w:line="240" w:lineRule="auto"/>
      </w:pPr>
    </w:p>
    <w:p w14:paraId="3848A92D" w14:textId="77777777" w:rsidR="007D1EA6" w:rsidRDefault="007D1EA6" w:rsidP="007D1EA6">
      <w:pPr>
        <w:pStyle w:val="Heading3"/>
        <w:numPr>
          <w:ilvl w:val="2"/>
          <w:numId w:val="17"/>
        </w:numPr>
        <w:tabs>
          <w:tab w:val="num" w:pos="360"/>
        </w:tabs>
        <w:ind w:left="0" w:firstLine="0"/>
      </w:pPr>
      <w:bookmarkStart w:id="19" w:name="_Toc197680234"/>
      <w:r w:rsidRPr="0058165E">
        <w:t xml:space="preserve">CCQI </w:t>
      </w:r>
      <w:r>
        <w:t>Benchmarking</w:t>
      </w:r>
      <w:r w:rsidRPr="0058165E">
        <w:t xml:space="preserve"> for Performance Years 2-5</w:t>
      </w:r>
      <w:bookmarkEnd w:id="19"/>
    </w:p>
    <w:p w14:paraId="687F9A24" w14:textId="147CFC2A" w:rsidR="479BFECF" w:rsidRDefault="006D50F5" w:rsidP="0005280A">
      <w:pPr>
        <w:spacing w:before="0" w:after="0" w:line="240" w:lineRule="auto"/>
      </w:pPr>
      <w:r w:rsidRPr="0078368F">
        <w:t xml:space="preserve">Benchmarks for each clinical quality measure will be determined by identifying attainment targets which </w:t>
      </w:r>
      <w:r w:rsidR="54B5D76F" w:rsidRPr="0078368F">
        <w:t>are</w:t>
      </w:r>
      <w:r w:rsidRPr="0078368F">
        <w:t xml:space="preserve"> comprised of the attainment threshold and goal benchmark based on CBHC performance during each performance year.  To determine a quality score for each measure, CBHCs can earn </w:t>
      </w:r>
      <w:r w:rsidR="71D7EF8D" w:rsidRPr="0078368F">
        <w:t>attainment</w:t>
      </w:r>
      <w:r w:rsidRPr="0078368F">
        <w:t xml:space="preserve"> points if attainment targets are met.  </w:t>
      </w:r>
      <w:r w:rsidR="0B85B3E7" w:rsidRPr="0078368F">
        <w:t>In PY2</w:t>
      </w:r>
      <w:r w:rsidR="00930C8A" w:rsidRPr="00C94EEE">
        <w:t xml:space="preserve">, </w:t>
      </w:r>
      <w:r w:rsidR="0B85B3E7" w:rsidRPr="0078368F">
        <w:t xml:space="preserve">EOHHS will </w:t>
      </w:r>
      <w:r w:rsidR="1950071F" w:rsidRPr="0078368F">
        <w:t>determine</w:t>
      </w:r>
      <w:r w:rsidR="0B85B3E7" w:rsidRPr="0078368F">
        <w:t xml:space="preserve"> the attainment threshold, goal benchmark,</w:t>
      </w:r>
      <w:r w:rsidR="6EC89A88" w:rsidRPr="0078368F">
        <w:t xml:space="preserve"> </w:t>
      </w:r>
      <w:r w:rsidR="0B85B3E7" w:rsidRPr="0078368F">
        <w:t>improvement target</w:t>
      </w:r>
      <w:r w:rsidR="5B7FE1EF" w:rsidRPr="0078368F">
        <w:t xml:space="preserve"> and </w:t>
      </w:r>
      <w:r w:rsidR="0B85B3E7" w:rsidRPr="0078368F">
        <w:t>other performance indicator</w:t>
      </w:r>
      <w:r w:rsidR="038A7999" w:rsidRPr="0078368F">
        <w:t>s</w:t>
      </w:r>
      <w:r w:rsidR="0078368F">
        <w:t xml:space="preserve"> where applicable</w:t>
      </w:r>
      <w:r w:rsidR="0B85B3E7" w:rsidRPr="0078368F">
        <w:t xml:space="preserve"> </w:t>
      </w:r>
      <w:r w:rsidR="3879A97E" w:rsidRPr="0078368F">
        <w:t>based on performance in PY1 2024</w:t>
      </w:r>
      <w:r w:rsidR="08FDB907" w:rsidRPr="0078368F">
        <w:t xml:space="preserve">.  </w:t>
      </w:r>
      <w:r w:rsidR="734FD96C" w:rsidRPr="0078368F">
        <w:t xml:space="preserve">EOHHS will </w:t>
      </w:r>
      <w:r w:rsidR="01509C87" w:rsidRPr="0078368F">
        <w:t>establish these performance indicators for the</w:t>
      </w:r>
      <w:r w:rsidR="734FD96C" w:rsidRPr="0078368F">
        <w:t xml:space="preserve"> CCQI-1</w:t>
      </w:r>
      <w:r w:rsidR="007D2831" w:rsidRPr="00C94EEE">
        <w:t>:</w:t>
      </w:r>
      <w:r w:rsidR="734FD96C" w:rsidRPr="0078368F">
        <w:t xml:space="preserve"> Access Standards </w:t>
      </w:r>
      <w:r w:rsidR="2ADF0DBB" w:rsidRPr="0078368F">
        <w:t xml:space="preserve">measure </w:t>
      </w:r>
      <w:r w:rsidR="404735E9" w:rsidRPr="0078368F">
        <w:t>based on performance in PY2 2025.</w:t>
      </w:r>
      <w:r w:rsidR="404735E9">
        <w:t xml:space="preserve">  </w:t>
      </w:r>
    </w:p>
    <w:p w14:paraId="58755482" w14:textId="00B047F8" w:rsidR="006D50F5" w:rsidRDefault="006D50F5" w:rsidP="002F3D77">
      <w:pPr>
        <w:spacing w:line="240" w:lineRule="auto"/>
      </w:pPr>
      <w:r>
        <w:t xml:space="preserve">Please note that the benchmarking methodology may be subject to change under special circumstances </w:t>
      </w:r>
      <w:r w:rsidRPr="00C94EEE">
        <w:t xml:space="preserve">(e.g. all CBHCs exceed the set goal benchmark </w:t>
      </w:r>
      <w:r w:rsidR="3DF89DFD" w:rsidRPr="00C94EEE">
        <w:t>or fall below the attainment threshold</w:t>
      </w:r>
      <w:r w:rsidR="00956172" w:rsidRPr="00C94EEE">
        <w:t xml:space="preserve"> </w:t>
      </w:r>
      <w:r w:rsidRPr="00C94EEE">
        <w:t>in a given performance year.)</w:t>
      </w:r>
      <w:r w:rsidRPr="0058165E">
        <w:t>3.4.</w:t>
      </w:r>
      <w:r>
        <w:t>3</w:t>
      </w:r>
      <w:r w:rsidRPr="0058165E">
        <w:t xml:space="preserve"> CCQI </w:t>
      </w:r>
      <w:r>
        <w:t>Improvement Targets</w:t>
      </w:r>
      <w:r w:rsidRPr="0058165E">
        <w:t xml:space="preserve"> for Performance Years 2-5</w:t>
      </w:r>
    </w:p>
    <w:p w14:paraId="2837D612" w14:textId="292C9FE3" w:rsidR="006D50F5" w:rsidRDefault="006D50F5" w:rsidP="0005280A">
      <w:pPr>
        <w:spacing w:before="0" w:after="0" w:line="240" w:lineRule="auto"/>
      </w:pPr>
      <w:r>
        <w:t xml:space="preserve">In addition to attainment </w:t>
      </w:r>
      <w:r w:rsidR="277BE22F">
        <w:t>points</w:t>
      </w:r>
      <w:r>
        <w:t xml:space="preserve">, CBHCs </w:t>
      </w:r>
      <w:r w:rsidR="009449BE">
        <w:t xml:space="preserve">can </w:t>
      </w:r>
      <w:r>
        <w:t>also meet improvement targets</w:t>
      </w:r>
      <w:r w:rsidR="1E65E8D0">
        <w:t>,</w:t>
      </w:r>
      <w:r>
        <w:t xml:space="preserve"> </w:t>
      </w:r>
      <w:r w:rsidR="0B387F35">
        <w:t>there</w:t>
      </w:r>
      <w:r>
        <w:t xml:space="preserve">by earning improvement points.  </w:t>
      </w:r>
      <w:r w:rsidR="454853E0">
        <w:t>Unless otherwise noted, t</w:t>
      </w:r>
      <w:r>
        <w:t>he improvement target is based on the gap between the goal benchmark and the attainment threshold out of the total number of</w:t>
      </w:r>
      <w:r w:rsidR="4F7CD37F">
        <w:t xml:space="preserve"> years of </w:t>
      </w:r>
      <w:r w:rsidR="2F8AA197">
        <w:t xml:space="preserve">performance in </w:t>
      </w:r>
      <w:r w:rsidR="4F7CD37F">
        <w:t>the current CBHC program (i.e., (Goal Benchmark – Attainment Threshold</w:t>
      </w:r>
      <w:r w:rsidR="1178D7FF">
        <w:t>)/5 Years).</w:t>
      </w:r>
      <w:r w:rsidR="4F7CD37F">
        <w:t xml:space="preserve"> </w:t>
      </w:r>
      <w:r w:rsidDel="006D50F5">
        <w:t xml:space="preserve"> </w:t>
      </w:r>
      <w:r>
        <w:t xml:space="preserve">CBHCs can earn improvement points </w:t>
      </w:r>
      <w:r w:rsidR="0414EDC7">
        <w:t xml:space="preserve">when </w:t>
      </w:r>
      <w:proofErr w:type="gramStart"/>
      <w:r w:rsidR="0414EDC7">
        <w:t>current</w:t>
      </w:r>
      <w:proofErr w:type="gramEnd"/>
      <w:r w:rsidR="0414EDC7">
        <w:t xml:space="preserve"> performance year rates (at the measure level) meet or ex</w:t>
      </w:r>
      <w:r w:rsidR="6B263EF0">
        <w:t>c</w:t>
      </w:r>
      <w:r w:rsidR="0414EDC7">
        <w:t xml:space="preserve">eed that </w:t>
      </w:r>
      <w:r w:rsidR="003B6B4F">
        <w:t>measure’s improvement target as compared to the previous highest performing year</w:t>
      </w:r>
      <w:r w:rsidR="12B24144">
        <w:t xml:space="preserve">. Improvement points may still be earned in such cases where a CBHC fails to meet the </w:t>
      </w:r>
      <w:r w:rsidR="3FF8126E">
        <w:t xml:space="preserve">attainment threshold or surpasses the goal </w:t>
      </w:r>
      <w:r w:rsidR="75C41A96">
        <w:t>benchmark</w:t>
      </w:r>
      <w:r w:rsidR="4C5C2616">
        <w:t xml:space="preserve">. </w:t>
      </w:r>
      <w:r>
        <w:t xml:space="preserve">Improvement point calculation may vary across each measure based on the measure type.  </w:t>
      </w:r>
      <w:r w:rsidR="31ABFE03">
        <w:t>I</w:t>
      </w:r>
      <w:r w:rsidR="4E15A4DA">
        <w:t>mprovement</w:t>
      </w:r>
      <w:r>
        <w:t xml:space="preserve"> points are added </w:t>
      </w:r>
      <w:r w:rsidR="779C044F">
        <w:t>to</w:t>
      </w:r>
      <w:r>
        <w:t xml:space="preserve"> attainment points to determine a quality score for each measure.  </w:t>
      </w:r>
    </w:p>
    <w:p w14:paraId="1B11A116" w14:textId="77777777" w:rsidR="0005280A" w:rsidRPr="008B7E7F" w:rsidRDefault="0005280A" w:rsidP="0005280A">
      <w:pPr>
        <w:spacing w:before="0" w:after="0" w:line="240" w:lineRule="auto"/>
      </w:pPr>
    </w:p>
    <w:p w14:paraId="011C3806" w14:textId="79E5E7E1" w:rsidR="006D50F5" w:rsidRDefault="15384CAA" w:rsidP="00C94EEE">
      <w:pPr>
        <w:pStyle w:val="Heading3"/>
        <w:tabs>
          <w:tab w:val="num" w:pos="360"/>
        </w:tabs>
        <w:spacing w:before="0" w:after="0"/>
      </w:pPr>
      <w:bookmarkStart w:id="20" w:name="_Toc197680235"/>
      <w:r>
        <w:lastRenderedPageBreak/>
        <w:t xml:space="preserve">3.4.4 </w:t>
      </w:r>
      <w:r w:rsidR="006D50F5">
        <w:t>CCQI Pay-for-Performance Quality Score Calculation for Performance Years 2-5</w:t>
      </w:r>
      <w:bookmarkEnd w:id="20"/>
    </w:p>
    <w:p w14:paraId="329DFC99" w14:textId="68425EEE" w:rsidR="006D50F5" w:rsidRDefault="006D50F5" w:rsidP="0005280A">
      <w:pPr>
        <w:spacing w:before="0" w:after="0" w:line="240" w:lineRule="auto"/>
      </w:pPr>
      <w:r w:rsidRPr="5BCC78FB">
        <w:rPr>
          <w:color w:val="000000" w:themeColor="text1"/>
        </w:rPr>
        <w:t xml:space="preserve">For CBHC performance measures, </w:t>
      </w:r>
      <w:r>
        <w:t xml:space="preserve">EOHHS will utilize a quality scoring calculation methodology consistent with other MassHealth quality incentive programs.  EOHHS may modify the quality scoring calculation methodology as needed under special circumstances.  The sum of attainment points with  improvement points earned multiplied by the measure weight is calculated to determine a weighted quality score for each measure.  The quality score calculation methodology for each CCQI performance measure will be detailed in the </w:t>
      </w:r>
      <w:r w:rsidRPr="5BCC78FB">
        <w:rPr>
          <w:i/>
          <w:iCs/>
        </w:rPr>
        <w:t xml:space="preserve">CBHC </w:t>
      </w:r>
      <w:r w:rsidR="00956172" w:rsidRPr="5BCC78FB">
        <w:rPr>
          <w:i/>
          <w:iCs/>
        </w:rPr>
        <w:t>C</w:t>
      </w:r>
      <w:r w:rsidR="2D9BCC67" w:rsidRPr="5BCC78FB">
        <w:rPr>
          <w:i/>
          <w:iCs/>
        </w:rPr>
        <w:t xml:space="preserve">linical </w:t>
      </w:r>
      <w:r w:rsidR="00956172" w:rsidRPr="5BCC78FB">
        <w:rPr>
          <w:i/>
          <w:iCs/>
        </w:rPr>
        <w:t>Q</w:t>
      </w:r>
      <w:r w:rsidR="5D0E9077" w:rsidRPr="5BCC78FB">
        <w:rPr>
          <w:i/>
          <w:iCs/>
        </w:rPr>
        <w:t xml:space="preserve">uality </w:t>
      </w:r>
      <w:r w:rsidR="00956172" w:rsidRPr="5BCC78FB">
        <w:rPr>
          <w:i/>
          <w:iCs/>
        </w:rPr>
        <w:t>I</w:t>
      </w:r>
      <w:r w:rsidR="5A286BA5" w:rsidRPr="5BCC78FB">
        <w:rPr>
          <w:i/>
          <w:iCs/>
        </w:rPr>
        <w:t>ncentive (CCQI) Performance Assessment Methodology</w:t>
      </w:r>
      <w:r w:rsidR="00956172" w:rsidRPr="5BCC78FB">
        <w:rPr>
          <w:i/>
          <w:iCs/>
        </w:rPr>
        <w:t xml:space="preserve"> </w:t>
      </w:r>
      <w:r w:rsidR="3CFBEDF7" w:rsidRPr="5BCC78FB">
        <w:rPr>
          <w:i/>
          <w:iCs/>
        </w:rPr>
        <w:t>(</w:t>
      </w:r>
      <w:r w:rsidRPr="5BCC78FB">
        <w:rPr>
          <w:i/>
          <w:iCs/>
        </w:rPr>
        <w:t>PAM</w:t>
      </w:r>
      <w:r w:rsidR="7F84AD5F" w:rsidRPr="5BCC78FB">
        <w:rPr>
          <w:i/>
          <w:iCs/>
        </w:rPr>
        <w:t>)</w:t>
      </w:r>
      <w:r w:rsidRPr="5BCC78FB">
        <w:rPr>
          <w:i/>
          <w:iCs/>
        </w:rPr>
        <w:t xml:space="preserve"> Manual</w:t>
      </w:r>
      <w:r>
        <w:t xml:space="preserve">.  An overview of the quality score calculation </w:t>
      </w:r>
      <w:r w:rsidR="357817C3">
        <w:t xml:space="preserve">for performance measures </w:t>
      </w:r>
      <w:r>
        <w:t>is provided below.</w:t>
      </w:r>
    </w:p>
    <w:p w14:paraId="15A821BE" w14:textId="77777777" w:rsidR="00F52E20" w:rsidRPr="00E72878" w:rsidRDefault="00F52E20" w:rsidP="00C94EEE">
      <w:pPr>
        <w:spacing w:before="0" w:after="0" w:line="240" w:lineRule="auto"/>
      </w:pPr>
    </w:p>
    <w:tbl>
      <w:tblPr>
        <w:tblStyle w:val="TableGrid"/>
        <w:tblW w:w="10520" w:type="dxa"/>
        <w:jc w:val="center"/>
        <w:tblLayout w:type="fixed"/>
        <w:tblLook w:val="04A0" w:firstRow="1" w:lastRow="0" w:firstColumn="1" w:lastColumn="0" w:noHBand="0" w:noVBand="1"/>
      </w:tblPr>
      <w:tblGrid>
        <w:gridCol w:w="2340"/>
        <w:gridCol w:w="2250"/>
        <w:gridCol w:w="2965"/>
        <w:gridCol w:w="2965"/>
      </w:tblGrid>
      <w:tr w:rsidR="006D50F5" w:rsidRPr="00E72878" w14:paraId="2D688B22" w14:textId="77777777">
        <w:trPr>
          <w:trHeight w:val="359"/>
          <w:jc w:val="center"/>
        </w:trPr>
        <w:tc>
          <w:tcPr>
            <w:tcW w:w="2340" w:type="dxa"/>
            <w:shd w:val="clear" w:color="auto" w:fill="E7EDF3" w:themeFill="accent3" w:themeFillTint="33"/>
          </w:tcPr>
          <w:p w14:paraId="306F12FB" w14:textId="5699479C" w:rsidR="006D50F5" w:rsidRPr="00E72878" w:rsidRDefault="006D50F5" w:rsidP="00C94EEE">
            <w:pPr>
              <w:spacing w:before="0" w:after="0" w:line="240" w:lineRule="auto"/>
              <w:jc w:val="center"/>
              <w:rPr>
                <w:rFonts w:cstheme="minorHAnsi"/>
                <w:sz w:val="20"/>
                <w:szCs w:val="20"/>
              </w:rPr>
            </w:pPr>
            <w:r w:rsidRPr="00E72878">
              <w:rPr>
                <w:rFonts w:cstheme="minorHAnsi"/>
                <w:b/>
                <w:bCs/>
                <w:sz w:val="20"/>
                <w:szCs w:val="20"/>
              </w:rPr>
              <w:t>Attainment Points (AP)</w:t>
            </w:r>
          </w:p>
        </w:tc>
        <w:tc>
          <w:tcPr>
            <w:tcW w:w="2250" w:type="dxa"/>
            <w:shd w:val="clear" w:color="auto" w:fill="E7EDF3" w:themeFill="accent3" w:themeFillTint="33"/>
          </w:tcPr>
          <w:p w14:paraId="30380538" w14:textId="77777777" w:rsidR="006D50F5" w:rsidRPr="00E72878" w:rsidRDefault="006D50F5" w:rsidP="00C94EEE">
            <w:pPr>
              <w:spacing w:before="0" w:after="0" w:line="240" w:lineRule="auto"/>
              <w:jc w:val="center"/>
              <w:rPr>
                <w:rFonts w:cstheme="minorHAnsi"/>
                <w:sz w:val="20"/>
                <w:szCs w:val="20"/>
              </w:rPr>
            </w:pPr>
            <w:r w:rsidRPr="00E72878">
              <w:rPr>
                <w:rFonts w:cstheme="minorHAnsi"/>
                <w:b/>
                <w:bCs/>
                <w:sz w:val="20"/>
                <w:szCs w:val="20"/>
              </w:rPr>
              <w:t>Improvement Points (IP)</w:t>
            </w:r>
          </w:p>
        </w:tc>
        <w:tc>
          <w:tcPr>
            <w:tcW w:w="2965" w:type="dxa"/>
            <w:shd w:val="clear" w:color="auto" w:fill="E7EDF3" w:themeFill="accent3" w:themeFillTint="33"/>
          </w:tcPr>
          <w:p w14:paraId="702D0D9B" w14:textId="77777777" w:rsidR="006D50F5" w:rsidRPr="00E72878" w:rsidRDefault="006D50F5" w:rsidP="00C94EEE">
            <w:pPr>
              <w:spacing w:before="0" w:after="0" w:line="240" w:lineRule="auto"/>
              <w:jc w:val="center"/>
              <w:rPr>
                <w:rFonts w:cstheme="minorHAnsi"/>
                <w:b/>
                <w:bCs/>
                <w:sz w:val="20"/>
                <w:szCs w:val="20"/>
              </w:rPr>
            </w:pPr>
            <w:r w:rsidRPr="00E72878">
              <w:rPr>
                <w:rFonts w:cstheme="minorHAnsi"/>
                <w:b/>
                <w:bCs/>
                <w:sz w:val="20"/>
                <w:szCs w:val="20"/>
              </w:rPr>
              <w:t>Measure Weight Percentage</w:t>
            </w:r>
          </w:p>
          <w:p w14:paraId="0B6FF277" w14:textId="77777777" w:rsidR="006D50F5" w:rsidRPr="00E72878" w:rsidRDefault="006D50F5" w:rsidP="00C94EEE">
            <w:pPr>
              <w:spacing w:before="0" w:after="0" w:line="240" w:lineRule="auto"/>
              <w:rPr>
                <w:rFonts w:cstheme="minorHAnsi"/>
                <w:b/>
                <w:bCs/>
                <w:sz w:val="20"/>
                <w:szCs w:val="20"/>
              </w:rPr>
            </w:pPr>
          </w:p>
        </w:tc>
        <w:tc>
          <w:tcPr>
            <w:tcW w:w="2965" w:type="dxa"/>
            <w:shd w:val="clear" w:color="auto" w:fill="E7EDF3" w:themeFill="accent3" w:themeFillTint="33"/>
          </w:tcPr>
          <w:p w14:paraId="60B57C25" w14:textId="77777777" w:rsidR="006D50F5" w:rsidRPr="00E72878" w:rsidRDefault="006D50F5" w:rsidP="00C94EEE">
            <w:pPr>
              <w:spacing w:before="0" w:after="0" w:line="240" w:lineRule="auto"/>
              <w:jc w:val="center"/>
              <w:rPr>
                <w:rFonts w:cstheme="minorHAnsi"/>
                <w:b/>
                <w:bCs/>
                <w:sz w:val="20"/>
                <w:szCs w:val="20"/>
              </w:rPr>
            </w:pPr>
            <w:r w:rsidRPr="00E72878">
              <w:rPr>
                <w:rFonts w:cstheme="minorHAnsi"/>
                <w:b/>
                <w:bCs/>
                <w:sz w:val="20"/>
                <w:szCs w:val="20"/>
              </w:rPr>
              <w:t>Weighted Quality Score for each Measure (WQS)</w:t>
            </w:r>
          </w:p>
        </w:tc>
      </w:tr>
      <w:tr w:rsidR="006D50F5" w:rsidRPr="00B14D67" w14:paraId="72FDDF62" w14:textId="77777777">
        <w:trPr>
          <w:trHeight w:val="258"/>
          <w:jc w:val="center"/>
        </w:trPr>
        <w:tc>
          <w:tcPr>
            <w:tcW w:w="2340" w:type="dxa"/>
            <w:shd w:val="clear" w:color="auto" w:fill="auto"/>
          </w:tcPr>
          <w:p w14:paraId="1EAE5C37" w14:textId="493D8100" w:rsidR="006D50F5" w:rsidRPr="00E72878" w:rsidRDefault="006D50F5" w:rsidP="00C94EEE">
            <w:pPr>
              <w:spacing w:before="0" w:after="0" w:line="240" w:lineRule="auto"/>
              <w:jc w:val="center"/>
              <w:rPr>
                <w:sz w:val="20"/>
                <w:szCs w:val="20"/>
              </w:rPr>
            </w:pPr>
            <w:r w:rsidRPr="574A7CA2">
              <w:rPr>
                <w:sz w:val="20"/>
                <w:szCs w:val="20"/>
              </w:rPr>
              <w:t>Between 0</w:t>
            </w:r>
            <w:r w:rsidR="7F7B8CEC" w:rsidRPr="574A7CA2">
              <w:rPr>
                <w:sz w:val="20"/>
                <w:szCs w:val="20"/>
              </w:rPr>
              <w:t xml:space="preserve"> to </w:t>
            </w:r>
            <w:r w:rsidRPr="574A7CA2">
              <w:rPr>
                <w:sz w:val="20"/>
                <w:szCs w:val="20"/>
              </w:rPr>
              <w:t>10 points</w:t>
            </w:r>
          </w:p>
        </w:tc>
        <w:tc>
          <w:tcPr>
            <w:tcW w:w="2250" w:type="dxa"/>
            <w:shd w:val="clear" w:color="auto" w:fill="auto"/>
          </w:tcPr>
          <w:p w14:paraId="22145AB0" w14:textId="77777777" w:rsidR="006D50F5" w:rsidRPr="00E72878" w:rsidRDefault="006D50F5" w:rsidP="00C94EEE">
            <w:pPr>
              <w:spacing w:before="0" w:after="0" w:line="240" w:lineRule="auto"/>
              <w:jc w:val="center"/>
              <w:rPr>
                <w:rFonts w:cstheme="minorHAnsi"/>
                <w:sz w:val="20"/>
                <w:szCs w:val="20"/>
              </w:rPr>
            </w:pPr>
            <w:r w:rsidRPr="00E72878">
              <w:rPr>
                <w:rFonts w:cstheme="minorHAnsi"/>
                <w:sz w:val="20"/>
                <w:szCs w:val="20"/>
              </w:rPr>
              <w:t>0 or 5 points total</w:t>
            </w:r>
          </w:p>
        </w:tc>
        <w:tc>
          <w:tcPr>
            <w:tcW w:w="2965" w:type="dxa"/>
          </w:tcPr>
          <w:p w14:paraId="01E7C7F7" w14:textId="77777777" w:rsidR="006D50F5" w:rsidRPr="00E72878" w:rsidRDefault="006D50F5" w:rsidP="00C94EEE">
            <w:pPr>
              <w:spacing w:before="0" w:after="0" w:line="240" w:lineRule="auto"/>
              <w:jc w:val="center"/>
              <w:rPr>
                <w:rFonts w:cstheme="minorHAnsi"/>
                <w:b/>
                <w:bCs/>
                <w:sz w:val="20"/>
                <w:szCs w:val="20"/>
              </w:rPr>
            </w:pPr>
            <w:r w:rsidRPr="00E72878">
              <w:rPr>
                <w:rFonts w:cstheme="minorHAnsi"/>
                <w:b/>
                <w:bCs/>
                <w:sz w:val="20"/>
                <w:szCs w:val="20"/>
              </w:rPr>
              <w:t>33.33%</w:t>
            </w:r>
          </w:p>
        </w:tc>
        <w:tc>
          <w:tcPr>
            <w:tcW w:w="2965" w:type="dxa"/>
            <w:shd w:val="clear" w:color="auto" w:fill="auto"/>
          </w:tcPr>
          <w:p w14:paraId="33EF00C9" w14:textId="77777777" w:rsidR="006D50F5" w:rsidRPr="00CE3E22" w:rsidRDefault="006D50F5" w:rsidP="00C94EEE">
            <w:pPr>
              <w:spacing w:before="0" w:after="0" w:line="240" w:lineRule="auto"/>
              <w:jc w:val="center"/>
              <w:rPr>
                <w:rFonts w:cstheme="minorHAnsi"/>
                <w:b/>
                <w:bCs/>
                <w:sz w:val="20"/>
                <w:szCs w:val="20"/>
              </w:rPr>
            </w:pPr>
            <w:r w:rsidRPr="00E72878">
              <w:rPr>
                <w:rFonts w:cstheme="minorHAnsi"/>
                <w:b/>
                <w:bCs/>
                <w:sz w:val="20"/>
                <w:szCs w:val="20"/>
              </w:rPr>
              <w:t>WQS = (AP+IP) * 33.33%</w:t>
            </w:r>
          </w:p>
        </w:tc>
      </w:tr>
    </w:tbl>
    <w:p w14:paraId="10A5C2D3" w14:textId="77777777" w:rsidR="00F52E20" w:rsidRDefault="00F52E20" w:rsidP="0005280A">
      <w:pPr>
        <w:spacing w:before="0" w:after="0" w:line="240" w:lineRule="auto"/>
        <w:rPr>
          <w:b/>
          <w:bCs/>
          <w:i/>
          <w:iCs/>
        </w:rPr>
      </w:pPr>
    </w:p>
    <w:p w14:paraId="106FA492" w14:textId="646BA4FF" w:rsidR="006D50F5" w:rsidRDefault="006D50F5" w:rsidP="00C94EEE">
      <w:pPr>
        <w:spacing w:before="0" w:after="0" w:line="240" w:lineRule="auto"/>
        <w:rPr>
          <w:i/>
          <w:iCs/>
        </w:rPr>
      </w:pPr>
      <w:r w:rsidRPr="2C44332D">
        <w:rPr>
          <w:b/>
          <w:bCs/>
          <w:i/>
          <w:iCs/>
        </w:rPr>
        <w:t>Weighted Quality Score</w:t>
      </w:r>
      <w:r w:rsidRPr="2C44332D">
        <w:rPr>
          <w:i/>
          <w:iCs/>
        </w:rPr>
        <w:t xml:space="preserve"> = (Attainment Points + Improvement Points) * Measure Weight</w:t>
      </w:r>
    </w:p>
    <w:p w14:paraId="6660CB4F" w14:textId="682FD18F" w:rsidR="00D63DF2" w:rsidRPr="00254E34" w:rsidRDefault="00D63DF2" w:rsidP="00705A90">
      <w:pPr>
        <w:pStyle w:val="Heading1"/>
      </w:pPr>
      <w:bookmarkStart w:id="21" w:name="_Toc197680236"/>
      <w:r w:rsidRPr="00254E34">
        <w:t xml:space="preserve">Section </w:t>
      </w:r>
      <w:r w:rsidR="0045375F" w:rsidRPr="00254E34">
        <w:t>4.</w:t>
      </w:r>
      <w:r w:rsidRPr="00254E34">
        <w:t xml:space="preserve"> Incentive </w:t>
      </w:r>
      <w:r w:rsidR="009114E1" w:rsidRPr="00254E34">
        <w:t>2. CBHC Quality and Equity Incentive Program (CQEIP)</w:t>
      </w:r>
      <w:bookmarkEnd w:id="21"/>
    </w:p>
    <w:p w14:paraId="451FB6C6" w14:textId="64C75F51" w:rsidR="0045375F" w:rsidRDefault="0045375F" w:rsidP="00705A90">
      <w:pPr>
        <w:pStyle w:val="Heading2"/>
      </w:pPr>
      <w:bookmarkStart w:id="22" w:name="_Toc197680237"/>
      <w:r w:rsidRPr="00254E34">
        <w:t xml:space="preserve">4.1. Overview of </w:t>
      </w:r>
      <w:r w:rsidR="0099424A">
        <w:t xml:space="preserve">the </w:t>
      </w:r>
      <w:r w:rsidRPr="00254E34">
        <w:t xml:space="preserve">Domains </w:t>
      </w:r>
      <w:r w:rsidR="0099424A">
        <w:t xml:space="preserve">and Measures </w:t>
      </w:r>
      <w:r w:rsidRPr="00254E34">
        <w:t>in the CQEIP</w:t>
      </w:r>
      <w:bookmarkEnd w:id="22"/>
    </w:p>
    <w:p w14:paraId="7699BC77" w14:textId="3C9BAAEB" w:rsidR="0099424A" w:rsidRPr="00085D25" w:rsidRDefault="0099424A" w:rsidP="0099424A">
      <w:r w:rsidRPr="00254E34">
        <w:rPr>
          <w:rFonts w:cstheme="minorHAnsi"/>
        </w:rPr>
        <w:t>The CQEIP measure slate consists of eight measures across three targeted domains</w:t>
      </w:r>
      <w:r>
        <w:t>.</w:t>
      </w:r>
      <w:r w:rsidR="00090ADD">
        <w:t xml:space="preserve"> </w:t>
      </w:r>
      <w:r w:rsidR="00085D25">
        <w:t xml:space="preserve">The following </w:t>
      </w:r>
      <w:r w:rsidR="00D9500B" w:rsidRPr="00D9500B">
        <w:rPr>
          <w:i/>
          <w:iCs/>
        </w:rPr>
        <w:t xml:space="preserve">Table </w:t>
      </w:r>
      <w:r w:rsidR="007456D0">
        <w:rPr>
          <w:i/>
          <w:iCs/>
        </w:rPr>
        <w:t>5</w:t>
      </w:r>
      <w:r w:rsidR="00D9500B" w:rsidRPr="00D9500B">
        <w:rPr>
          <w:i/>
          <w:iCs/>
        </w:rPr>
        <w:t>. Overview of Domains and Measures in the CQEIP</w:t>
      </w:r>
      <w:r w:rsidR="00085D25">
        <w:t xml:space="preserve"> provides an overview of the </w:t>
      </w:r>
      <w:r w:rsidR="00D275E8">
        <w:t>targeted domains</w:t>
      </w:r>
      <w:r>
        <w:t xml:space="preserve"> and its measures</w:t>
      </w:r>
      <w:r w:rsidR="00085D25">
        <w:t xml:space="preserve"> for CBHCs to pursue improvement</w:t>
      </w:r>
      <w:r w:rsidR="00D275E8">
        <w:t xml:space="preserve"> in the CBHC Quality and Equity Incentive Program (CQEIP).</w:t>
      </w:r>
      <w:r w:rsidR="00090ADD">
        <w:t xml:space="preserve">  Further detail on the measures is provided in the </w:t>
      </w:r>
      <w:r w:rsidR="00090ADD" w:rsidRPr="006540A2">
        <w:rPr>
          <w:i/>
          <w:iCs/>
        </w:rPr>
        <w:t>PY2-5 C</w:t>
      </w:r>
      <w:r w:rsidR="006540A2">
        <w:rPr>
          <w:i/>
          <w:iCs/>
        </w:rPr>
        <w:t xml:space="preserve">BHC </w:t>
      </w:r>
      <w:r w:rsidR="00090ADD" w:rsidRPr="006540A2">
        <w:rPr>
          <w:i/>
          <w:iCs/>
        </w:rPr>
        <w:t>QEIP Technical Specifications</w:t>
      </w:r>
      <w:r w:rsidR="00090ADD">
        <w:t xml:space="preserve"> document.</w:t>
      </w:r>
    </w:p>
    <w:p w14:paraId="558F682D" w14:textId="75C5FC0E" w:rsidR="0099424A" w:rsidRPr="0099424A" w:rsidRDefault="0099424A" w:rsidP="00D269A5">
      <w:pPr>
        <w:pStyle w:val="Heading3"/>
      </w:pPr>
      <w:bookmarkStart w:id="23" w:name="_Toc197680238"/>
      <w:r w:rsidRPr="00254E34">
        <w:t xml:space="preserve">Table </w:t>
      </w:r>
      <w:r w:rsidR="007456D0">
        <w:t>5</w:t>
      </w:r>
      <w:r w:rsidRPr="00254E34">
        <w:t xml:space="preserve">. Overview of </w:t>
      </w:r>
      <w:r>
        <w:t>Domains and Measures in the CQEIP</w:t>
      </w:r>
      <w:bookmarkEnd w:id="23"/>
    </w:p>
    <w:tbl>
      <w:tblPr>
        <w:tblStyle w:val="TableGrid"/>
        <w:tblW w:w="0" w:type="auto"/>
        <w:tblLayout w:type="fixed"/>
        <w:tblLook w:val="04A0" w:firstRow="1" w:lastRow="0" w:firstColumn="1" w:lastColumn="0" w:noHBand="0" w:noVBand="1"/>
      </w:tblPr>
      <w:tblGrid>
        <w:gridCol w:w="3775"/>
        <w:gridCol w:w="6120"/>
      </w:tblGrid>
      <w:tr w:rsidR="0099424A" w:rsidRPr="0099424A" w14:paraId="523E62C8" w14:textId="77777777" w:rsidTr="00030339">
        <w:trPr>
          <w:tblHeader/>
        </w:trPr>
        <w:tc>
          <w:tcPr>
            <w:tcW w:w="3775" w:type="dxa"/>
            <w:shd w:val="clear" w:color="auto" w:fill="E7EDF3" w:themeFill="accent3" w:themeFillTint="33"/>
          </w:tcPr>
          <w:p w14:paraId="52D60099" w14:textId="77777777" w:rsidR="0099424A" w:rsidRPr="0099424A" w:rsidRDefault="0099424A">
            <w:pPr>
              <w:spacing w:before="0" w:after="0"/>
              <w:rPr>
                <w:rFonts w:cstheme="minorHAnsi"/>
                <w:b/>
                <w:bCs/>
              </w:rPr>
            </w:pPr>
            <w:r w:rsidRPr="0099424A">
              <w:rPr>
                <w:rFonts w:cstheme="minorHAnsi"/>
                <w:b/>
                <w:bCs/>
              </w:rPr>
              <w:t>Domains and Measure Name</w:t>
            </w:r>
          </w:p>
        </w:tc>
        <w:tc>
          <w:tcPr>
            <w:tcW w:w="6120" w:type="dxa"/>
            <w:shd w:val="clear" w:color="auto" w:fill="E7EDF3" w:themeFill="accent3" w:themeFillTint="33"/>
          </w:tcPr>
          <w:p w14:paraId="76E1DF3F" w14:textId="58C32A32" w:rsidR="0099424A" w:rsidRPr="0099424A" w:rsidRDefault="00422780">
            <w:pPr>
              <w:spacing w:before="0" w:after="0"/>
              <w:rPr>
                <w:rFonts w:cstheme="minorHAnsi"/>
                <w:b/>
                <w:bCs/>
              </w:rPr>
            </w:pPr>
            <w:r>
              <w:rPr>
                <w:rFonts w:cstheme="minorHAnsi"/>
                <w:b/>
                <w:bCs/>
              </w:rPr>
              <w:t xml:space="preserve">Domain and Measure </w:t>
            </w:r>
            <w:r w:rsidR="0099424A">
              <w:rPr>
                <w:rFonts w:cstheme="minorHAnsi"/>
                <w:b/>
                <w:bCs/>
              </w:rPr>
              <w:t>Description</w:t>
            </w:r>
          </w:p>
        </w:tc>
      </w:tr>
      <w:tr w:rsidR="0099424A" w:rsidRPr="0099424A" w14:paraId="05301937" w14:textId="77777777" w:rsidTr="0099424A">
        <w:tc>
          <w:tcPr>
            <w:tcW w:w="3775" w:type="dxa"/>
            <w:shd w:val="clear" w:color="auto" w:fill="E7EDF3" w:themeFill="accent3" w:themeFillTint="33"/>
          </w:tcPr>
          <w:p w14:paraId="3E6065E7" w14:textId="77777777" w:rsidR="0099424A" w:rsidRPr="0099424A" w:rsidRDefault="0099424A">
            <w:pPr>
              <w:spacing w:before="0" w:after="0"/>
              <w:rPr>
                <w:rFonts w:cstheme="minorHAnsi"/>
                <w:b/>
                <w:bCs/>
              </w:rPr>
            </w:pPr>
            <w:r w:rsidRPr="0099424A">
              <w:rPr>
                <w:rFonts w:cstheme="minorHAnsi"/>
                <w:b/>
                <w:bCs/>
              </w:rPr>
              <w:t>Domain 1. Demographic and Health-Related Social Needs Data</w:t>
            </w:r>
          </w:p>
        </w:tc>
        <w:tc>
          <w:tcPr>
            <w:tcW w:w="6120" w:type="dxa"/>
            <w:shd w:val="clear" w:color="auto" w:fill="E7EDF3" w:themeFill="accent3" w:themeFillTint="33"/>
          </w:tcPr>
          <w:p w14:paraId="13322131" w14:textId="2B70C64B" w:rsidR="0099424A" w:rsidRPr="0099424A" w:rsidRDefault="0099424A">
            <w:pPr>
              <w:spacing w:before="0" w:after="0"/>
              <w:rPr>
                <w:rFonts w:cstheme="minorHAnsi"/>
              </w:rPr>
            </w:pPr>
            <w:r w:rsidRPr="006031EA">
              <w:rPr>
                <w:rFonts w:cstheme="minorHAnsi"/>
                <w:iCs/>
              </w:rPr>
              <w:t xml:space="preserve">CBHCs will be assessed on the </w:t>
            </w:r>
            <w:r w:rsidR="00407DEF" w:rsidRPr="006031EA">
              <w:rPr>
                <w:rFonts w:cstheme="minorHAnsi"/>
                <w:iCs/>
              </w:rPr>
              <w:t>collection of</w:t>
            </w:r>
            <w:r w:rsidRPr="006031EA">
              <w:rPr>
                <w:rFonts w:cstheme="minorHAnsi"/>
                <w:iCs/>
              </w:rPr>
              <w:t> beneficiary</w:t>
            </w:r>
            <w:r w:rsidRPr="00254E34">
              <w:rPr>
                <w:rFonts w:cstheme="minorHAnsi"/>
                <w:iCs/>
              </w:rPr>
              <w:t>-reported demographic and health-related social needs data submitted in accordance with EOHHS specifications</w:t>
            </w:r>
            <w:r w:rsidRPr="00254E34">
              <w:rPr>
                <w:rFonts w:cstheme="minorHAnsi"/>
              </w:rPr>
              <w:t xml:space="preserve">. Demographic and health-related social needs data will include at least the following categories: race, ethnicity, language, disability status, sexual orientation, gender identity, and health-related social needs. Data completeness will be </w:t>
            </w:r>
            <w:r w:rsidR="00407DEF">
              <w:rPr>
                <w:rFonts w:cstheme="minorHAnsi"/>
              </w:rPr>
              <w:t>calculated</w:t>
            </w:r>
            <w:r w:rsidR="00407DEF" w:rsidRPr="00254E34">
              <w:rPr>
                <w:rFonts w:cstheme="minorHAnsi"/>
              </w:rPr>
              <w:t xml:space="preserve"> </w:t>
            </w:r>
            <w:r w:rsidRPr="00254E34">
              <w:rPr>
                <w:rFonts w:cstheme="minorHAnsi"/>
              </w:rPr>
              <w:t>separately for each data element. ​</w:t>
            </w:r>
          </w:p>
        </w:tc>
      </w:tr>
      <w:tr w:rsidR="0099424A" w:rsidRPr="0099424A" w14:paraId="0678AAD1" w14:textId="77777777" w:rsidTr="0099424A">
        <w:tc>
          <w:tcPr>
            <w:tcW w:w="3775" w:type="dxa"/>
          </w:tcPr>
          <w:p w14:paraId="2144003D" w14:textId="77777777" w:rsidR="0099424A" w:rsidRPr="0099424A" w:rsidRDefault="0099424A">
            <w:pPr>
              <w:spacing w:before="0" w:after="0"/>
              <w:rPr>
                <w:rFonts w:cstheme="minorHAnsi"/>
              </w:rPr>
            </w:pPr>
            <w:r w:rsidRPr="0099424A">
              <w:rPr>
                <w:rFonts w:cstheme="minorHAnsi"/>
              </w:rPr>
              <w:t>Race, Ethnicity, Language, Disability, Sexual Orientation, and Gender Identity (RELDSOGI) Data Completeness</w:t>
            </w:r>
          </w:p>
        </w:tc>
        <w:tc>
          <w:tcPr>
            <w:tcW w:w="6120" w:type="dxa"/>
          </w:tcPr>
          <w:p w14:paraId="48C9F2E9" w14:textId="15B00F22" w:rsidR="0099424A" w:rsidRPr="0099424A" w:rsidRDefault="00372D96">
            <w:pPr>
              <w:spacing w:before="0" w:after="0"/>
              <w:rPr>
                <w:rFonts w:cstheme="minorHAnsi"/>
              </w:rPr>
            </w:pPr>
            <w:r>
              <w:rPr>
                <w:rFonts w:cstheme="minorHAnsi"/>
              </w:rPr>
              <w:t>T</w:t>
            </w:r>
            <w:r w:rsidR="007B54B2">
              <w:rPr>
                <w:rFonts w:cstheme="minorHAnsi"/>
              </w:rPr>
              <w:t>his measure promotes increasing the</w:t>
            </w:r>
            <w:r>
              <w:rPr>
                <w:rFonts w:cstheme="minorHAnsi"/>
              </w:rPr>
              <w:t xml:space="preserve"> </w:t>
            </w:r>
            <w:proofErr w:type="gramStart"/>
            <w:r>
              <w:rPr>
                <w:rFonts w:cstheme="minorHAnsi"/>
              </w:rPr>
              <w:t>percent</w:t>
            </w:r>
            <w:proofErr w:type="gramEnd"/>
            <w:r>
              <w:rPr>
                <w:rFonts w:cstheme="minorHAnsi"/>
              </w:rPr>
              <w:t xml:space="preserve"> of MassHealth members with self-reported demographic data (RELDSOGI) that was collected by a CBHC in the measurement year.</w:t>
            </w:r>
          </w:p>
        </w:tc>
      </w:tr>
      <w:tr w:rsidR="0099424A" w:rsidRPr="0099424A" w14:paraId="3D722A16" w14:textId="77777777" w:rsidTr="0099424A">
        <w:tc>
          <w:tcPr>
            <w:tcW w:w="3775" w:type="dxa"/>
          </w:tcPr>
          <w:p w14:paraId="5E3DC30E" w14:textId="77777777" w:rsidR="0099424A" w:rsidRPr="0099424A" w:rsidRDefault="0099424A">
            <w:pPr>
              <w:spacing w:before="0" w:after="0"/>
              <w:rPr>
                <w:rFonts w:cstheme="minorHAnsi"/>
              </w:rPr>
            </w:pPr>
            <w:r w:rsidRPr="0099424A">
              <w:rPr>
                <w:rFonts w:cstheme="minorHAnsi"/>
              </w:rPr>
              <w:lastRenderedPageBreak/>
              <w:t>Health-Related Social Needs Screening</w:t>
            </w:r>
          </w:p>
        </w:tc>
        <w:tc>
          <w:tcPr>
            <w:tcW w:w="6120" w:type="dxa"/>
          </w:tcPr>
          <w:p w14:paraId="0270D398" w14:textId="7282BB84" w:rsidR="0099424A" w:rsidRPr="0099424A" w:rsidRDefault="007759E1">
            <w:pPr>
              <w:spacing w:before="0" w:after="0"/>
              <w:rPr>
                <w:rFonts w:cstheme="minorHAnsi"/>
              </w:rPr>
            </w:pPr>
            <w:r>
              <w:rPr>
                <w:rFonts w:cstheme="minorHAnsi"/>
              </w:rPr>
              <w:t>Th</w:t>
            </w:r>
            <w:r w:rsidR="007B54B2">
              <w:rPr>
                <w:rFonts w:cstheme="minorHAnsi"/>
              </w:rPr>
              <w:t>is measure assesses the</w:t>
            </w:r>
            <w:r>
              <w:rPr>
                <w:rFonts w:cstheme="minorHAnsi"/>
              </w:rPr>
              <w:t xml:space="preserve"> percent</w:t>
            </w:r>
            <w:r w:rsidR="007B54B2">
              <w:rPr>
                <w:rFonts w:cstheme="minorHAnsi"/>
              </w:rPr>
              <w:t>age</w:t>
            </w:r>
            <w:r>
              <w:rPr>
                <w:rFonts w:cstheme="minorHAnsi"/>
              </w:rPr>
              <w:t xml:space="preserve"> of encounters during the measurement period where patients were screened for health-related social needs (HRSNs)</w:t>
            </w:r>
            <w:r w:rsidR="00090ADD">
              <w:rPr>
                <w:rFonts w:cstheme="minorHAnsi"/>
              </w:rPr>
              <w:t>.</w:t>
            </w:r>
            <w:r w:rsidR="00EC6EDF">
              <w:rPr>
                <w:rFonts w:cstheme="minorHAnsi"/>
              </w:rPr>
              <w:t xml:space="preserve"> Two rates are reported: HRSN Screening Rate and HRSN Screen Positive Rate.</w:t>
            </w:r>
          </w:p>
        </w:tc>
      </w:tr>
      <w:tr w:rsidR="0099424A" w:rsidRPr="0099424A" w14:paraId="46468315" w14:textId="77777777" w:rsidTr="0099424A">
        <w:trPr>
          <w:trHeight w:val="70"/>
        </w:trPr>
        <w:tc>
          <w:tcPr>
            <w:tcW w:w="3775" w:type="dxa"/>
            <w:shd w:val="clear" w:color="auto" w:fill="E7EDF3" w:themeFill="accent3" w:themeFillTint="33"/>
          </w:tcPr>
          <w:p w14:paraId="5FC56CDA" w14:textId="77777777" w:rsidR="0099424A" w:rsidRPr="0099424A" w:rsidRDefault="0099424A">
            <w:pPr>
              <w:spacing w:before="0" w:after="0"/>
              <w:rPr>
                <w:rFonts w:cstheme="minorHAnsi"/>
              </w:rPr>
            </w:pPr>
            <w:r w:rsidRPr="0099424A">
              <w:rPr>
                <w:rFonts w:cstheme="minorHAnsi"/>
                <w:b/>
              </w:rPr>
              <w:t>Domain 2: Equitable Quality and Access</w:t>
            </w:r>
          </w:p>
        </w:tc>
        <w:tc>
          <w:tcPr>
            <w:tcW w:w="6120" w:type="dxa"/>
            <w:shd w:val="clear" w:color="auto" w:fill="E7EDF3" w:themeFill="accent3" w:themeFillTint="33"/>
          </w:tcPr>
          <w:p w14:paraId="33EDD664" w14:textId="6D3DD7E3" w:rsidR="0099424A" w:rsidRPr="0099424A" w:rsidRDefault="0099424A">
            <w:pPr>
              <w:spacing w:before="0" w:after="0"/>
            </w:pPr>
            <w:r w:rsidRPr="167D4A27">
              <w:rPr>
                <w:rStyle w:val="normaltextrun"/>
              </w:rPr>
              <w:t>CBHCs will be assessed on performance and </w:t>
            </w:r>
            <w:proofErr w:type="gramStart"/>
            <w:r w:rsidRPr="167D4A27">
              <w:rPr>
                <w:rStyle w:val="normaltextrun"/>
              </w:rPr>
              <w:t>demonstrated</w:t>
            </w:r>
            <w:proofErr w:type="gramEnd"/>
            <w:r w:rsidRPr="167D4A27">
              <w:rPr>
                <w:rStyle w:val="normaltextrun"/>
              </w:rPr>
              <w:t xml:space="preserve"> improvements on access and quality metrics,</w:t>
            </w:r>
            <w:r w:rsidRPr="167D4A27">
              <w:rPr>
                <w:rStyle w:val="normaltextrun"/>
                <w:color w:val="FF0000"/>
              </w:rPr>
              <w:t xml:space="preserve"> </w:t>
            </w:r>
            <w:r w:rsidRPr="167D4A27">
              <w:rPr>
                <w:rStyle w:val="normaltextrun"/>
              </w:rPr>
              <w:t xml:space="preserve">including associated reductions in disparities. Metrics will focus on overall access, access for individuals with disabilities, </w:t>
            </w:r>
            <w:r w:rsidR="76C77C59" w:rsidRPr="167D4A27">
              <w:rPr>
                <w:rStyle w:val="normaltextrun"/>
              </w:rPr>
              <w:t>and</w:t>
            </w:r>
            <w:r w:rsidRPr="167D4A27">
              <w:rPr>
                <w:rStyle w:val="normaltextrun"/>
              </w:rPr>
              <w:t xml:space="preserve"> access for individuals with a preferred language other than English.</w:t>
            </w:r>
          </w:p>
        </w:tc>
      </w:tr>
      <w:tr w:rsidR="0099424A" w:rsidRPr="0099424A" w14:paraId="0CC94A36" w14:textId="77777777" w:rsidTr="0099424A">
        <w:trPr>
          <w:trHeight w:val="70"/>
        </w:trPr>
        <w:tc>
          <w:tcPr>
            <w:tcW w:w="3775" w:type="dxa"/>
          </w:tcPr>
          <w:p w14:paraId="1A1FA4C8" w14:textId="6B609EE9" w:rsidR="0099424A" w:rsidRPr="0099424A" w:rsidRDefault="0072341C">
            <w:pPr>
              <w:spacing w:before="0" w:after="0"/>
              <w:rPr>
                <w:rFonts w:cstheme="minorHAnsi"/>
              </w:rPr>
            </w:pPr>
            <w:r>
              <w:rPr>
                <w:rFonts w:cstheme="minorHAnsi"/>
              </w:rPr>
              <w:t>Quality Performance Disparities Reduction</w:t>
            </w:r>
          </w:p>
        </w:tc>
        <w:tc>
          <w:tcPr>
            <w:tcW w:w="6120" w:type="dxa"/>
          </w:tcPr>
          <w:p w14:paraId="4B015290" w14:textId="50AED7F0" w:rsidR="0099424A" w:rsidRPr="00D56276" w:rsidRDefault="00D56276">
            <w:pPr>
              <w:spacing w:before="0" w:after="0"/>
            </w:pPr>
            <w:r w:rsidRPr="167D4A27">
              <w:t>This measure assesses stratification of performance data by race, ethnicity, language and</w:t>
            </w:r>
            <w:r w:rsidR="0022508B" w:rsidRPr="167D4A27">
              <w:t xml:space="preserve"> other social risk factors, and</w:t>
            </w:r>
            <w:r w:rsidRPr="167D4A27">
              <w:t xml:space="preserve"> whether a CBHC reduces identified disparities in performance data between subgroups.</w:t>
            </w:r>
          </w:p>
        </w:tc>
      </w:tr>
      <w:tr w:rsidR="0099424A" w:rsidRPr="0099424A" w14:paraId="00F64D3C" w14:textId="77777777" w:rsidTr="0099424A">
        <w:trPr>
          <w:trHeight w:val="70"/>
        </w:trPr>
        <w:tc>
          <w:tcPr>
            <w:tcW w:w="3775" w:type="dxa"/>
          </w:tcPr>
          <w:p w14:paraId="2130C2AD" w14:textId="77777777" w:rsidR="0099424A" w:rsidRPr="0099424A" w:rsidRDefault="0099424A">
            <w:pPr>
              <w:spacing w:before="0" w:after="0"/>
              <w:rPr>
                <w:rFonts w:cstheme="minorHAnsi"/>
              </w:rPr>
            </w:pPr>
            <w:r w:rsidRPr="0099424A">
              <w:rPr>
                <w:rFonts w:cstheme="minorHAnsi"/>
              </w:rPr>
              <w:t>Equity Improvement Interventions</w:t>
            </w:r>
          </w:p>
        </w:tc>
        <w:tc>
          <w:tcPr>
            <w:tcW w:w="6120" w:type="dxa"/>
          </w:tcPr>
          <w:p w14:paraId="66A91E25" w14:textId="4F4F3FE3" w:rsidR="0099424A" w:rsidRPr="00611188" w:rsidRDefault="00611188">
            <w:pPr>
              <w:spacing w:before="0" w:after="0"/>
              <w:rPr>
                <w:rFonts w:cstheme="minorHAnsi"/>
                <w:highlight w:val="yellow"/>
              </w:rPr>
            </w:pPr>
            <w:r w:rsidRPr="00611188">
              <w:rPr>
                <w:rFonts w:cstheme="minorHAnsi"/>
              </w:rPr>
              <w:t xml:space="preserve">This measure </w:t>
            </w:r>
            <w:r w:rsidR="0022508B">
              <w:rPr>
                <w:rFonts w:cstheme="minorHAnsi"/>
              </w:rPr>
              <w:t xml:space="preserve">promotes </w:t>
            </w:r>
            <w:r w:rsidRPr="00611188">
              <w:rPr>
                <w:rFonts w:cstheme="minorHAnsi"/>
              </w:rPr>
              <w:t>project design and implementation of a health equity-focused performance improvement project (PIP).</w:t>
            </w:r>
          </w:p>
        </w:tc>
      </w:tr>
      <w:tr w:rsidR="0099424A" w:rsidRPr="0099424A" w14:paraId="07E524C7" w14:textId="77777777" w:rsidTr="0099424A">
        <w:trPr>
          <w:trHeight w:val="70"/>
        </w:trPr>
        <w:tc>
          <w:tcPr>
            <w:tcW w:w="3775" w:type="dxa"/>
          </w:tcPr>
          <w:p w14:paraId="03FD9778" w14:textId="77777777" w:rsidR="0099424A" w:rsidRPr="0099424A" w:rsidRDefault="0099424A">
            <w:pPr>
              <w:spacing w:before="0" w:after="0"/>
              <w:rPr>
                <w:rFonts w:cstheme="minorHAnsi"/>
              </w:rPr>
            </w:pPr>
            <w:r w:rsidRPr="0099424A">
              <w:rPr>
                <w:rFonts w:cstheme="minorHAnsi"/>
              </w:rPr>
              <w:t>Meaningful Access to Healthcare Services for Individuals with a Preferred Language Other than English</w:t>
            </w:r>
          </w:p>
        </w:tc>
        <w:tc>
          <w:tcPr>
            <w:tcW w:w="6120" w:type="dxa"/>
          </w:tcPr>
          <w:p w14:paraId="32A89191" w14:textId="514DE0B8" w:rsidR="0099424A" w:rsidRPr="0099424A" w:rsidRDefault="007B54B2">
            <w:pPr>
              <w:spacing w:before="0" w:after="0"/>
              <w:rPr>
                <w:rFonts w:cstheme="minorHAnsi"/>
              </w:rPr>
            </w:pPr>
            <w:r>
              <w:rPr>
                <w:rFonts w:cstheme="minorHAnsi"/>
              </w:rPr>
              <w:t>This measure promotes increasing t</w:t>
            </w:r>
            <w:r w:rsidR="00CC2DF4">
              <w:rPr>
                <w:rFonts w:cstheme="minorHAnsi"/>
              </w:rPr>
              <w:t>he p</w:t>
            </w:r>
            <w:r w:rsidR="009F7E9C">
              <w:rPr>
                <w:rFonts w:cstheme="minorHAnsi"/>
              </w:rPr>
              <w:t>ercent</w:t>
            </w:r>
            <w:r>
              <w:rPr>
                <w:rFonts w:cstheme="minorHAnsi"/>
              </w:rPr>
              <w:t xml:space="preserve">age </w:t>
            </w:r>
            <w:r w:rsidR="009F7E9C">
              <w:rPr>
                <w:rFonts w:cstheme="minorHAnsi"/>
              </w:rPr>
              <w:t>of encounters for patients who report a preferred spoken language other than English during which</w:t>
            </w:r>
            <w:r w:rsidR="006031EA">
              <w:rPr>
                <w:rFonts w:cstheme="minorHAnsi"/>
              </w:rPr>
              <w:t xml:space="preserve"> </w:t>
            </w:r>
            <w:r w:rsidR="000C25FB">
              <w:rPr>
                <w:rFonts w:cstheme="minorHAnsi"/>
              </w:rPr>
              <w:t xml:space="preserve">language assistance services </w:t>
            </w:r>
            <w:r w:rsidR="009F7E9C">
              <w:rPr>
                <w:rFonts w:cstheme="minorHAnsi"/>
              </w:rPr>
              <w:t>were utilized.</w:t>
            </w:r>
          </w:p>
        </w:tc>
      </w:tr>
      <w:tr w:rsidR="0099424A" w:rsidRPr="0099424A" w14:paraId="1AEE8497" w14:textId="77777777" w:rsidTr="0099424A">
        <w:trPr>
          <w:trHeight w:val="70"/>
        </w:trPr>
        <w:tc>
          <w:tcPr>
            <w:tcW w:w="3775" w:type="dxa"/>
          </w:tcPr>
          <w:p w14:paraId="7CC0AA36" w14:textId="77777777" w:rsidR="0099424A" w:rsidRPr="0099424A" w:rsidRDefault="0099424A">
            <w:pPr>
              <w:spacing w:before="0" w:after="0"/>
              <w:rPr>
                <w:rFonts w:cstheme="minorHAnsi"/>
              </w:rPr>
            </w:pPr>
            <w:r w:rsidRPr="0099424A">
              <w:rPr>
                <w:rFonts w:cstheme="minorHAnsi"/>
              </w:rPr>
              <w:t>Disability Competent Care</w:t>
            </w:r>
          </w:p>
        </w:tc>
        <w:tc>
          <w:tcPr>
            <w:tcW w:w="6120" w:type="dxa"/>
          </w:tcPr>
          <w:p w14:paraId="064EDFDB" w14:textId="2B025664" w:rsidR="0099424A" w:rsidRPr="0099424A" w:rsidRDefault="007B54B2">
            <w:pPr>
              <w:spacing w:before="0" w:after="0"/>
            </w:pPr>
            <w:r>
              <w:t>This measure promotes increasing t</w:t>
            </w:r>
            <w:r w:rsidR="001B310E" w:rsidRPr="178B4E3A">
              <w:t xml:space="preserve">he </w:t>
            </w:r>
            <w:proofErr w:type="gramStart"/>
            <w:r w:rsidR="001B310E" w:rsidRPr="178B4E3A">
              <w:t>percent</w:t>
            </w:r>
            <w:proofErr w:type="gramEnd"/>
            <w:r w:rsidR="001B310E" w:rsidRPr="178B4E3A">
              <w:t xml:space="preserve"> of applicable patient-facing staff who, in the past 24 months, completed disability competency training to address Disability Competent Care (DCC) pillars selected by the CBHC in its DCC Training Plan Report and demonstrated competency in the relevant disability competency training area(s).</w:t>
            </w:r>
          </w:p>
        </w:tc>
      </w:tr>
      <w:tr w:rsidR="0099424A" w:rsidRPr="0099424A" w14:paraId="2AD18273" w14:textId="77777777" w:rsidTr="0099424A">
        <w:trPr>
          <w:trHeight w:val="70"/>
        </w:trPr>
        <w:tc>
          <w:tcPr>
            <w:tcW w:w="3775" w:type="dxa"/>
          </w:tcPr>
          <w:p w14:paraId="4B6158E4" w14:textId="77777777" w:rsidR="0099424A" w:rsidRPr="0099424A" w:rsidRDefault="0099424A">
            <w:pPr>
              <w:spacing w:before="0" w:after="0"/>
              <w:rPr>
                <w:rFonts w:cstheme="minorHAnsi"/>
              </w:rPr>
            </w:pPr>
            <w:r w:rsidRPr="0099424A">
              <w:rPr>
                <w:rFonts w:cstheme="minorHAnsi"/>
              </w:rPr>
              <w:t>Disability Accommodation Needs</w:t>
            </w:r>
          </w:p>
        </w:tc>
        <w:tc>
          <w:tcPr>
            <w:tcW w:w="6120" w:type="dxa"/>
          </w:tcPr>
          <w:p w14:paraId="709BF9F8" w14:textId="7D0DC247" w:rsidR="0099424A" w:rsidRPr="0099424A" w:rsidRDefault="008918C2">
            <w:pPr>
              <w:spacing w:before="0" w:after="0"/>
              <w:rPr>
                <w:rFonts w:cstheme="minorHAnsi"/>
              </w:rPr>
            </w:pPr>
            <w:r w:rsidRPr="008918C2">
              <w:rPr>
                <w:rFonts w:cstheme="minorHAnsi"/>
              </w:rPr>
              <w:t>T</w:t>
            </w:r>
            <w:r w:rsidR="00A006DD">
              <w:rPr>
                <w:rFonts w:cstheme="minorHAnsi"/>
              </w:rPr>
              <w:t>his measure assesses the</w:t>
            </w:r>
            <w:r w:rsidRPr="008918C2">
              <w:rPr>
                <w:rFonts w:cstheme="minorHAnsi"/>
              </w:rPr>
              <w:t xml:space="preserve"> </w:t>
            </w:r>
            <w:r w:rsidR="007B54B2" w:rsidRPr="008918C2">
              <w:rPr>
                <w:rFonts w:cstheme="minorHAnsi"/>
              </w:rPr>
              <w:t>percentage</w:t>
            </w:r>
            <w:r w:rsidRPr="008918C2">
              <w:rPr>
                <w:rFonts w:cstheme="minorHAnsi"/>
              </w:rPr>
              <w:t xml:space="preserve"> of encounters where 1) patients were screened for accommodation needs related to </w:t>
            </w:r>
            <w:proofErr w:type="gramStart"/>
            <w:r w:rsidRPr="008918C2">
              <w:rPr>
                <w:rFonts w:cstheme="minorHAnsi"/>
              </w:rPr>
              <w:t>a disability</w:t>
            </w:r>
            <w:proofErr w:type="gramEnd"/>
            <w:r w:rsidRPr="008918C2">
              <w:rPr>
                <w:rFonts w:cstheme="minorHAnsi"/>
              </w:rPr>
              <w:t xml:space="preserve"> and 2) for those patients screening positive for accommodation needs related to a disability, a corresponding patient-reported accommodation need was documented. </w:t>
            </w:r>
          </w:p>
        </w:tc>
      </w:tr>
      <w:tr w:rsidR="0099424A" w:rsidRPr="0099424A" w14:paraId="3324EDCD" w14:textId="77777777" w:rsidTr="0099424A">
        <w:trPr>
          <w:trHeight w:val="70"/>
        </w:trPr>
        <w:tc>
          <w:tcPr>
            <w:tcW w:w="3775" w:type="dxa"/>
            <w:shd w:val="clear" w:color="auto" w:fill="E7EDF3" w:themeFill="accent3" w:themeFillTint="33"/>
          </w:tcPr>
          <w:p w14:paraId="42864A39" w14:textId="77777777" w:rsidR="0099424A" w:rsidRPr="0099424A" w:rsidRDefault="0099424A">
            <w:pPr>
              <w:spacing w:before="0" w:after="0"/>
              <w:rPr>
                <w:rFonts w:cstheme="minorHAnsi"/>
              </w:rPr>
            </w:pPr>
            <w:r w:rsidRPr="0099424A">
              <w:rPr>
                <w:rFonts w:cstheme="minorHAnsi"/>
                <w:b/>
              </w:rPr>
              <w:t xml:space="preserve">Domain 3: Capacity and Collaboration </w:t>
            </w:r>
          </w:p>
        </w:tc>
        <w:tc>
          <w:tcPr>
            <w:tcW w:w="6120" w:type="dxa"/>
            <w:shd w:val="clear" w:color="auto" w:fill="E7EDF3" w:themeFill="accent3" w:themeFillTint="33"/>
          </w:tcPr>
          <w:p w14:paraId="34DA3B62" w14:textId="4814CC10" w:rsidR="0099424A" w:rsidRPr="0099424A" w:rsidRDefault="0099424A">
            <w:pPr>
              <w:spacing w:before="0" w:after="0"/>
              <w:rPr>
                <w:rFonts w:cstheme="minorHAnsi"/>
              </w:rPr>
            </w:pPr>
            <w:r w:rsidRPr="00254E34">
              <w:rPr>
                <w:rFonts w:cstheme="minorHAnsi"/>
                <w:iCs/>
              </w:rPr>
              <w:t xml:space="preserve">CBHCs will </w:t>
            </w:r>
            <w:r>
              <w:rPr>
                <w:rFonts w:cstheme="minorHAnsi"/>
                <w:iCs/>
              </w:rPr>
              <w:t>be engaged in assessing and improving</w:t>
            </w:r>
            <w:r w:rsidRPr="00254E34">
              <w:rPr>
                <w:rFonts w:cstheme="minorHAnsi"/>
                <w:iCs/>
              </w:rPr>
              <w:t xml:space="preserve"> provider cultural competence as evidenced by patient experience of courtesy, communication, and respect.</w:t>
            </w:r>
          </w:p>
        </w:tc>
      </w:tr>
      <w:tr w:rsidR="0099424A" w:rsidRPr="0099424A" w14:paraId="74CCE103" w14:textId="77777777" w:rsidTr="0099424A">
        <w:trPr>
          <w:trHeight w:val="70"/>
        </w:trPr>
        <w:tc>
          <w:tcPr>
            <w:tcW w:w="3775" w:type="dxa"/>
          </w:tcPr>
          <w:p w14:paraId="2AC3AB17" w14:textId="77777777" w:rsidR="0099424A" w:rsidRPr="0099424A" w:rsidRDefault="0099424A">
            <w:pPr>
              <w:spacing w:before="0" w:after="0"/>
              <w:rPr>
                <w:rFonts w:cstheme="minorHAnsi"/>
                <w:b/>
              </w:rPr>
            </w:pPr>
            <w:r w:rsidRPr="0099424A">
              <w:rPr>
                <w:rFonts w:cstheme="minorHAnsi"/>
              </w:rPr>
              <w:t>Patient Experience: Communication, Courtesy, and Respect</w:t>
            </w:r>
          </w:p>
        </w:tc>
        <w:tc>
          <w:tcPr>
            <w:tcW w:w="6120" w:type="dxa"/>
          </w:tcPr>
          <w:p w14:paraId="2F874E20" w14:textId="60E562B1" w:rsidR="0099424A" w:rsidRPr="00E82832" w:rsidRDefault="00E82832">
            <w:pPr>
              <w:spacing w:before="0" w:after="0"/>
              <w:rPr>
                <w:rFonts w:cstheme="minorHAnsi"/>
              </w:rPr>
            </w:pPr>
            <w:r w:rsidRPr="00E82832">
              <w:rPr>
                <w:rFonts w:cstheme="minorHAnsi"/>
              </w:rPr>
              <w:t xml:space="preserve">This measure </w:t>
            </w:r>
            <w:r w:rsidR="000C25FB">
              <w:rPr>
                <w:rFonts w:cstheme="minorHAnsi"/>
              </w:rPr>
              <w:t>promotes</w:t>
            </w:r>
            <w:r w:rsidR="000C25FB" w:rsidRPr="00E82832">
              <w:rPr>
                <w:rFonts w:cstheme="minorHAnsi"/>
              </w:rPr>
              <w:t xml:space="preserve"> </w:t>
            </w:r>
            <w:r w:rsidRPr="00E82832">
              <w:rPr>
                <w:rFonts w:cstheme="minorHAnsi"/>
              </w:rPr>
              <w:t>and builds on CBHC’s patient experience survey practices.</w:t>
            </w:r>
          </w:p>
        </w:tc>
      </w:tr>
    </w:tbl>
    <w:p w14:paraId="3CC061E0" w14:textId="0A62669B" w:rsidR="0099424A" w:rsidRPr="0099424A" w:rsidRDefault="00EC66B6" w:rsidP="0099424A">
      <w:pPr>
        <w:pStyle w:val="Heading2"/>
      </w:pPr>
      <w:bookmarkStart w:id="24" w:name="_Toc197680239"/>
      <w:r>
        <w:lastRenderedPageBreak/>
        <w:t>4.2. CQEIP Measures and</w:t>
      </w:r>
      <w:r w:rsidR="00183804">
        <w:t xml:space="preserve"> Their</w:t>
      </w:r>
      <w:r>
        <w:t xml:space="preserve"> Performance Status</w:t>
      </w:r>
      <w:r w:rsidR="0099424A">
        <w:t xml:space="preserve"> for PY2-5</w:t>
      </w:r>
      <w:bookmarkEnd w:id="24"/>
    </w:p>
    <w:p w14:paraId="067FCF2C" w14:textId="2F2E69BF" w:rsidR="00720E37" w:rsidRPr="00254E34" w:rsidRDefault="00720E37" w:rsidP="00720E37">
      <w:pPr>
        <w:rPr>
          <w:rFonts w:cstheme="minorHAnsi"/>
        </w:rPr>
      </w:pPr>
      <w:r w:rsidRPr="00254E34">
        <w:rPr>
          <w:rFonts w:cstheme="minorHAnsi"/>
        </w:rPr>
        <w:t>The status of the</w:t>
      </w:r>
      <w:r w:rsidR="00415226">
        <w:rPr>
          <w:rFonts w:cstheme="minorHAnsi"/>
        </w:rPr>
        <w:t xml:space="preserve"> CQEIP</w:t>
      </w:r>
      <w:r w:rsidRPr="00254E34">
        <w:rPr>
          <w:rFonts w:cstheme="minorHAnsi"/>
        </w:rPr>
        <w:t xml:space="preserve"> measures may be:</w:t>
      </w:r>
    </w:p>
    <w:p w14:paraId="7B7B02EE" w14:textId="5B443027" w:rsidR="00720E37" w:rsidRPr="00254E34" w:rsidRDefault="00720E37" w:rsidP="00761AF7">
      <w:pPr>
        <w:pStyle w:val="ListParagraph"/>
        <w:numPr>
          <w:ilvl w:val="0"/>
          <w:numId w:val="4"/>
        </w:numPr>
        <w:rPr>
          <w:rFonts w:asciiTheme="minorHAnsi" w:hAnsiTheme="minorHAnsi" w:cstheme="minorHAnsi"/>
          <w:sz w:val="22"/>
          <w:szCs w:val="22"/>
        </w:rPr>
      </w:pPr>
      <w:r w:rsidRPr="00254E34">
        <w:rPr>
          <w:rFonts w:asciiTheme="minorHAnsi" w:hAnsiTheme="minorHAnsi" w:cstheme="minorHAnsi"/>
          <w:b/>
          <w:bCs/>
          <w:sz w:val="22"/>
          <w:szCs w:val="22"/>
        </w:rPr>
        <w:t>Pay-for-performance:</w:t>
      </w:r>
      <w:r w:rsidRPr="00254E34">
        <w:rPr>
          <w:rFonts w:asciiTheme="minorHAnsi" w:hAnsiTheme="minorHAnsi" w:cstheme="minorHAnsi"/>
          <w:sz w:val="22"/>
          <w:szCs w:val="22"/>
        </w:rPr>
        <w:t xml:space="preserve"> CBHCs may earn an incentive on their performance for the measure, based on the scoring of the measure and applying a performance assessment methodology</w:t>
      </w:r>
      <w:r w:rsidR="000F2617">
        <w:rPr>
          <w:rFonts w:asciiTheme="minorHAnsi" w:hAnsiTheme="minorHAnsi" w:cstheme="minorHAnsi"/>
          <w:sz w:val="22"/>
          <w:szCs w:val="22"/>
        </w:rPr>
        <w:t>.</w:t>
      </w:r>
    </w:p>
    <w:p w14:paraId="292DFF23" w14:textId="7003F699" w:rsidR="00720E37" w:rsidRPr="00254E34" w:rsidRDefault="00720E37" w:rsidP="00761AF7">
      <w:pPr>
        <w:pStyle w:val="ListParagraph"/>
        <w:numPr>
          <w:ilvl w:val="0"/>
          <w:numId w:val="4"/>
        </w:numPr>
        <w:rPr>
          <w:rFonts w:asciiTheme="minorHAnsi" w:hAnsiTheme="minorHAnsi" w:cstheme="minorBidi"/>
          <w:sz w:val="22"/>
          <w:szCs w:val="22"/>
        </w:rPr>
      </w:pPr>
      <w:r w:rsidRPr="178B4E3A">
        <w:rPr>
          <w:rFonts w:asciiTheme="minorHAnsi" w:hAnsiTheme="minorHAnsi" w:cstheme="minorBidi"/>
          <w:b/>
          <w:sz w:val="22"/>
          <w:szCs w:val="22"/>
        </w:rPr>
        <w:t xml:space="preserve">Condition of </w:t>
      </w:r>
      <w:r w:rsidR="00254E34" w:rsidRPr="178B4E3A">
        <w:rPr>
          <w:rFonts w:asciiTheme="minorHAnsi" w:hAnsiTheme="minorHAnsi" w:cstheme="minorBidi"/>
          <w:b/>
          <w:sz w:val="22"/>
          <w:szCs w:val="22"/>
        </w:rPr>
        <w:t>Participation</w:t>
      </w:r>
      <w:r w:rsidRPr="178B4E3A">
        <w:rPr>
          <w:rFonts w:asciiTheme="minorHAnsi" w:hAnsiTheme="minorHAnsi" w:cstheme="minorBidi"/>
          <w:b/>
          <w:sz w:val="22"/>
          <w:szCs w:val="22"/>
        </w:rPr>
        <w:t>:</w:t>
      </w:r>
      <w:r w:rsidRPr="178B4E3A">
        <w:rPr>
          <w:rFonts w:asciiTheme="minorHAnsi" w:hAnsiTheme="minorHAnsi" w:cstheme="minorBidi"/>
          <w:sz w:val="22"/>
          <w:szCs w:val="22"/>
        </w:rPr>
        <w:t xml:space="preserve"> CBHCs must report on </w:t>
      </w:r>
      <w:r w:rsidR="009F4737" w:rsidRPr="178B4E3A">
        <w:rPr>
          <w:rFonts w:asciiTheme="minorHAnsi" w:hAnsiTheme="minorHAnsi" w:cstheme="minorBidi"/>
          <w:sz w:val="22"/>
          <w:szCs w:val="22"/>
        </w:rPr>
        <w:t xml:space="preserve">measure </w:t>
      </w:r>
      <w:r w:rsidRPr="178B4E3A">
        <w:rPr>
          <w:rFonts w:asciiTheme="minorHAnsi" w:hAnsiTheme="minorHAnsi" w:cstheme="minorBidi"/>
          <w:sz w:val="22"/>
          <w:szCs w:val="22"/>
        </w:rPr>
        <w:t xml:space="preserve">reporting requirements for the measure in a </w:t>
      </w:r>
      <w:r w:rsidR="00254E34" w:rsidRPr="178B4E3A">
        <w:rPr>
          <w:rFonts w:asciiTheme="minorHAnsi" w:hAnsiTheme="minorHAnsi" w:cstheme="minorBidi"/>
          <w:sz w:val="22"/>
          <w:szCs w:val="22"/>
        </w:rPr>
        <w:t>timely</w:t>
      </w:r>
      <w:r w:rsidRPr="178B4E3A">
        <w:rPr>
          <w:rFonts w:asciiTheme="minorHAnsi" w:hAnsiTheme="minorHAnsi" w:cstheme="minorBidi"/>
          <w:sz w:val="22"/>
          <w:szCs w:val="22"/>
        </w:rPr>
        <w:t xml:space="preserve">, complete, and responsive manner to be eligible </w:t>
      </w:r>
      <w:r w:rsidR="00254E34" w:rsidRPr="178B4E3A">
        <w:rPr>
          <w:rFonts w:asciiTheme="minorHAnsi" w:hAnsiTheme="minorHAnsi" w:cstheme="minorBidi"/>
          <w:sz w:val="22"/>
          <w:szCs w:val="22"/>
        </w:rPr>
        <w:t>to qualify for CQEIP incentive payments.</w:t>
      </w:r>
    </w:p>
    <w:p w14:paraId="4742E23D" w14:textId="190CA8F3" w:rsidR="0045375F" w:rsidRDefault="00050063" w:rsidP="00050063">
      <w:pPr>
        <w:rPr>
          <w:rFonts w:cstheme="minorHAnsi"/>
        </w:rPr>
      </w:pPr>
      <w:r w:rsidRPr="00254E34">
        <w:rPr>
          <w:rFonts w:cstheme="minorHAnsi"/>
        </w:rPr>
        <w:t>Technical specifications for the CQEIP PY2-5 m</w:t>
      </w:r>
      <w:r w:rsidR="006031EA">
        <w:rPr>
          <w:rFonts w:cstheme="minorHAnsi"/>
        </w:rPr>
        <w:t>easure</w:t>
      </w:r>
      <w:r w:rsidRPr="00254E34">
        <w:rPr>
          <w:rFonts w:cstheme="minorHAnsi"/>
        </w:rPr>
        <w:t>s, which may be updated annually or more frequently as necessary, will be made available. A summary of the CQEIP me</w:t>
      </w:r>
      <w:r w:rsidR="006031EA">
        <w:rPr>
          <w:rFonts w:cstheme="minorHAnsi"/>
        </w:rPr>
        <w:t>asures</w:t>
      </w:r>
      <w:r w:rsidRPr="00254E34">
        <w:rPr>
          <w:rFonts w:cstheme="minorHAnsi"/>
        </w:rPr>
        <w:t xml:space="preserve"> and anticipated payment status in PY2-5 are provided in </w:t>
      </w:r>
      <w:r w:rsidRPr="00D9500B">
        <w:rPr>
          <w:rFonts w:cstheme="minorHAnsi"/>
          <w:i/>
          <w:iCs/>
        </w:rPr>
        <w:t xml:space="preserve">Table </w:t>
      </w:r>
      <w:r w:rsidR="007456D0">
        <w:rPr>
          <w:rFonts w:cstheme="minorHAnsi"/>
          <w:i/>
          <w:iCs/>
        </w:rPr>
        <w:t>6.</w:t>
      </w:r>
      <w:r w:rsidR="00D9500B" w:rsidRPr="00D9500B">
        <w:rPr>
          <w:rFonts w:cstheme="minorHAnsi"/>
          <w:i/>
          <w:iCs/>
        </w:rPr>
        <w:t xml:space="preserve"> CQEIP Measures and their Measure Status in PY2-5.</w:t>
      </w:r>
    </w:p>
    <w:p w14:paraId="2CC84882" w14:textId="2301DADF" w:rsidR="004A6DBB" w:rsidRPr="00087EED" w:rsidRDefault="004A6DBB" w:rsidP="00D269A5">
      <w:pPr>
        <w:pStyle w:val="Heading3"/>
      </w:pPr>
      <w:bookmarkStart w:id="25" w:name="_Toc197680240"/>
      <w:r w:rsidRPr="00087EED">
        <w:t xml:space="preserve">Table </w:t>
      </w:r>
      <w:r w:rsidR="007456D0">
        <w:t>6</w:t>
      </w:r>
      <w:r w:rsidRPr="00087EED">
        <w:t>. CQEIP Measures</w:t>
      </w:r>
      <w:r w:rsidR="00183804">
        <w:t xml:space="preserve"> and their </w:t>
      </w:r>
      <w:r w:rsidR="00705E81">
        <w:t>Measure</w:t>
      </w:r>
      <w:r w:rsidR="00183804">
        <w:t xml:space="preserve"> Status in PY2-5</w:t>
      </w:r>
      <w:bookmarkEnd w:id="25"/>
    </w:p>
    <w:tbl>
      <w:tblPr>
        <w:tblStyle w:val="TableGrid"/>
        <w:tblW w:w="5000" w:type="pct"/>
        <w:tblLook w:val="04A0" w:firstRow="1" w:lastRow="0" w:firstColumn="1" w:lastColumn="0" w:noHBand="0" w:noVBand="1"/>
      </w:tblPr>
      <w:tblGrid>
        <w:gridCol w:w="3781"/>
        <w:gridCol w:w="1603"/>
        <w:gridCol w:w="1562"/>
        <w:gridCol w:w="1562"/>
        <w:gridCol w:w="1562"/>
      </w:tblGrid>
      <w:tr w:rsidR="003546EA" w14:paraId="37E5C86C" w14:textId="77777777" w:rsidTr="03C9B8BE">
        <w:tc>
          <w:tcPr>
            <w:tcW w:w="1919" w:type="pct"/>
            <w:shd w:val="clear" w:color="auto" w:fill="E7EDF3" w:themeFill="accent3" w:themeFillTint="33"/>
          </w:tcPr>
          <w:p w14:paraId="139AF7D3" w14:textId="1E22730D" w:rsidR="00332D44" w:rsidRPr="00293843" w:rsidRDefault="00332D44" w:rsidP="002F2FC2">
            <w:pPr>
              <w:spacing w:before="0" w:after="0"/>
              <w:rPr>
                <w:rFonts w:cstheme="minorHAnsi"/>
                <w:b/>
                <w:bCs/>
              </w:rPr>
            </w:pPr>
            <w:r w:rsidRPr="00293843">
              <w:rPr>
                <w:rFonts w:cstheme="minorHAnsi"/>
                <w:b/>
                <w:bCs/>
              </w:rPr>
              <w:t>Domains and Measure Name</w:t>
            </w:r>
          </w:p>
        </w:tc>
        <w:tc>
          <w:tcPr>
            <w:tcW w:w="837" w:type="pct"/>
            <w:shd w:val="clear" w:color="auto" w:fill="E7EDF3" w:themeFill="accent3" w:themeFillTint="33"/>
          </w:tcPr>
          <w:p w14:paraId="3B221B11" w14:textId="643CE63F" w:rsidR="00332D44" w:rsidRPr="00293843" w:rsidRDefault="00EF75AE" w:rsidP="03C9B8BE">
            <w:pPr>
              <w:spacing w:before="0" w:after="0"/>
              <w:jc w:val="center"/>
              <w:rPr>
                <w:b/>
                <w:bCs/>
              </w:rPr>
            </w:pPr>
            <w:r w:rsidRPr="03C9B8BE">
              <w:rPr>
                <w:b/>
                <w:bCs/>
              </w:rPr>
              <w:t>Anticipated Performance Status</w:t>
            </w:r>
            <w:r w:rsidR="00B02B78" w:rsidRPr="03C9B8BE">
              <w:rPr>
                <w:b/>
                <w:bCs/>
              </w:rPr>
              <w:t>: PY2 (2025)</w:t>
            </w:r>
            <w:r w:rsidRPr="03C9B8BE">
              <w:rPr>
                <w:b/>
                <w:bCs/>
              </w:rPr>
              <w:t>*</w:t>
            </w:r>
          </w:p>
        </w:tc>
        <w:tc>
          <w:tcPr>
            <w:tcW w:w="748" w:type="pct"/>
            <w:shd w:val="clear" w:color="auto" w:fill="E7EDF3" w:themeFill="accent3" w:themeFillTint="33"/>
          </w:tcPr>
          <w:p w14:paraId="2675249B" w14:textId="7D219FEF" w:rsidR="00332D44" w:rsidRPr="00293843" w:rsidRDefault="00B02B78" w:rsidP="00B02B78">
            <w:pPr>
              <w:spacing w:before="0" w:after="0"/>
              <w:jc w:val="center"/>
              <w:rPr>
                <w:rFonts w:cstheme="minorHAnsi"/>
                <w:b/>
                <w:bCs/>
              </w:rPr>
            </w:pPr>
            <w:r w:rsidRPr="00293843">
              <w:rPr>
                <w:rFonts w:cstheme="minorHAnsi"/>
                <w:b/>
                <w:bCs/>
              </w:rPr>
              <w:t>Anticipated Performance Status</w:t>
            </w:r>
            <w:r>
              <w:rPr>
                <w:rFonts w:cstheme="minorHAnsi"/>
                <w:b/>
                <w:bCs/>
              </w:rPr>
              <w:t>: PY3 (2026)</w:t>
            </w:r>
            <w:r w:rsidRPr="00293843">
              <w:rPr>
                <w:rFonts w:cstheme="minorHAnsi"/>
                <w:b/>
                <w:bCs/>
              </w:rPr>
              <w:t>*</w:t>
            </w:r>
          </w:p>
        </w:tc>
        <w:tc>
          <w:tcPr>
            <w:tcW w:w="748" w:type="pct"/>
            <w:shd w:val="clear" w:color="auto" w:fill="E7EDF3" w:themeFill="accent3" w:themeFillTint="33"/>
          </w:tcPr>
          <w:p w14:paraId="770A2872" w14:textId="52A35F35" w:rsidR="00332D44" w:rsidRPr="00293843" w:rsidRDefault="00B02B78" w:rsidP="00B02B78">
            <w:pPr>
              <w:spacing w:before="0" w:after="0"/>
              <w:jc w:val="center"/>
              <w:rPr>
                <w:rFonts w:cstheme="minorHAnsi"/>
                <w:b/>
                <w:bCs/>
              </w:rPr>
            </w:pPr>
            <w:r w:rsidRPr="00293843">
              <w:rPr>
                <w:rFonts w:cstheme="minorHAnsi"/>
                <w:b/>
                <w:bCs/>
              </w:rPr>
              <w:t>Anticipated Performance Status</w:t>
            </w:r>
            <w:r>
              <w:rPr>
                <w:rFonts w:cstheme="minorHAnsi"/>
                <w:b/>
                <w:bCs/>
              </w:rPr>
              <w:t>: PY4 (2027)</w:t>
            </w:r>
            <w:r w:rsidRPr="00293843">
              <w:rPr>
                <w:rFonts w:cstheme="minorHAnsi"/>
                <w:b/>
                <w:bCs/>
              </w:rPr>
              <w:t>*</w:t>
            </w:r>
          </w:p>
        </w:tc>
        <w:tc>
          <w:tcPr>
            <w:tcW w:w="748" w:type="pct"/>
            <w:shd w:val="clear" w:color="auto" w:fill="E7EDF3" w:themeFill="accent3" w:themeFillTint="33"/>
          </w:tcPr>
          <w:p w14:paraId="5BBE8AF5" w14:textId="50B9468A" w:rsidR="00332D44" w:rsidRPr="00293843" w:rsidRDefault="00B02B78" w:rsidP="00B02B78">
            <w:pPr>
              <w:spacing w:before="0" w:after="0"/>
              <w:jc w:val="center"/>
              <w:rPr>
                <w:rFonts w:cstheme="minorHAnsi"/>
                <w:b/>
                <w:bCs/>
              </w:rPr>
            </w:pPr>
            <w:r w:rsidRPr="00293843">
              <w:rPr>
                <w:rFonts w:cstheme="minorHAnsi"/>
                <w:b/>
                <w:bCs/>
              </w:rPr>
              <w:t>Anticipated Performance Status</w:t>
            </w:r>
            <w:r>
              <w:rPr>
                <w:rFonts w:cstheme="minorHAnsi"/>
                <w:b/>
                <w:bCs/>
              </w:rPr>
              <w:t>: PY5 (2028)</w:t>
            </w:r>
            <w:r w:rsidRPr="00293843">
              <w:rPr>
                <w:rFonts w:cstheme="minorHAnsi"/>
                <w:b/>
                <w:bCs/>
              </w:rPr>
              <w:t>*</w:t>
            </w:r>
          </w:p>
        </w:tc>
      </w:tr>
      <w:tr w:rsidR="003546EA" w14:paraId="481F9747" w14:textId="77777777" w:rsidTr="03C9B8BE">
        <w:tc>
          <w:tcPr>
            <w:tcW w:w="1919" w:type="pct"/>
            <w:shd w:val="clear" w:color="auto" w:fill="E7EDF3" w:themeFill="accent3" w:themeFillTint="33"/>
          </w:tcPr>
          <w:p w14:paraId="479B0AFA" w14:textId="43D4B1CE" w:rsidR="00EF75AE" w:rsidRPr="003546EA" w:rsidRDefault="002F2FC2" w:rsidP="002F2FC2">
            <w:pPr>
              <w:spacing w:before="0" w:after="0"/>
              <w:rPr>
                <w:rFonts w:cstheme="minorHAnsi"/>
                <w:b/>
                <w:bCs/>
              </w:rPr>
            </w:pPr>
            <w:r w:rsidRPr="003546EA">
              <w:rPr>
                <w:rFonts w:cstheme="minorHAnsi"/>
                <w:b/>
                <w:bCs/>
              </w:rPr>
              <w:t>Domain 1. Demographic and Health-Related Social Needs Data</w:t>
            </w:r>
          </w:p>
        </w:tc>
        <w:tc>
          <w:tcPr>
            <w:tcW w:w="837" w:type="pct"/>
            <w:shd w:val="clear" w:color="auto" w:fill="E7EDF3" w:themeFill="accent3" w:themeFillTint="33"/>
          </w:tcPr>
          <w:p w14:paraId="2201040B" w14:textId="77777777" w:rsidR="00EF75AE" w:rsidRDefault="00EF75AE" w:rsidP="003546EA">
            <w:pPr>
              <w:spacing w:before="0" w:after="0"/>
              <w:jc w:val="center"/>
              <w:rPr>
                <w:rFonts w:cstheme="minorHAnsi"/>
              </w:rPr>
            </w:pPr>
          </w:p>
        </w:tc>
        <w:tc>
          <w:tcPr>
            <w:tcW w:w="748" w:type="pct"/>
            <w:shd w:val="clear" w:color="auto" w:fill="E7EDF3" w:themeFill="accent3" w:themeFillTint="33"/>
          </w:tcPr>
          <w:p w14:paraId="1C04F111" w14:textId="77777777" w:rsidR="00EF75AE" w:rsidRDefault="00EF75AE" w:rsidP="003546EA">
            <w:pPr>
              <w:spacing w:before="0" w:after="0"/>
              <w:jc w:val="center"/>
              <w:rPr>
                <w:rFonts w:cstheme="minorHAnsi"/>
              </w:rPr>
            </w:pPr>
          </w:p>
        </w:tc>
        <w:tc>
          <w:tcPr>
            <w:tcW w:w="748" w:type="pct"/>
            <w:shd w:val="clear" w:color="auto" w:fill="E7EDF3" w:themeFill="accent3" w:themeFillTint="33"/>
          </w:tcPr>
          <w:p w14:paraId="04A0CF34" w14:textId="77777777" w:rsidR="00EF75AE" w:rsidRDefault="00EF75AE" w:rsidP="003546EA">
            <w:pPr>
              <w:spacing w:before="0" w:after="0"/>
              <w:jc w:val="center"/>
              <w:rPr>
                <w:rFonts w:cstheme="minorHAnsi"/>
              </w:rPr>
            </w:pPr>
          </w:p>
        </w:tc>
        <w:tc>
          <w:tcPr>
            <w:tcW w:w="748" w:type="pct"/>
            <w:shd w:val="clear" w:color="auto" w:fill="E7EDF3" w:themeFill="accent3" w:themeFillTint="33"/>
          </w:tcPr>
          <w:p w14:paraId="2839AFF2" w14:textId="77777777" w:rsidR="00EF75AE" w:rsidRDefault="00EF75AE" w:rsidP="003546EA">
            <w:pPr>
              <w:spacing w:before="0" w:after="0"/>
              <w:jc w:val="center"/>
              <w:rPr>
                <w:rFonts w:cstheme="minorHAnsi"/>
              </w:rPr>
            </w:pPr>
          </w:p>
        </w:tc>
      </w:tr>
      <w:tr w:rsidR="003546EA" w14:paraId="228A36C8" w14:textId="77777777" w:rsidTr="03C9B8BE">
        <w:tc>
          <w:tcPr>
            <w:tcW w:w="1919" w:type="pct"/>
          </w:tcPr>
          <w:p w14:paraId="7EFB59C1" w14:textId="07109164" w:rsidR="003546EA" w:rsidRDefault="003546EA" w:rsidP="003546EA">
            <w:pPr>
              <w:spacing w:before="0" w:after="0"/>
              <w:rPr>
                <w:rFonts w:cstheme="minorHAnsi"/>
              </w:rPr>
            </w:pPr>
            <w:r w:rsidRPr="00D62B4F">
              <w:t xml:space="preserve">Race, Ethnicity, Language, Disability, Sexual Orientation, and Gender Identity (RELDSOGI) </w:t>
            </w:r>
            <w:r>
              <w:t xml:space="preserve">Data </w:t>
            </w:r>
            <w:r w:rsidRPr="00D62B4F">
              <w:t>Completeness</w:t>
            </w:r>
          </w:p>
        </w:tc>
        <w:tc>
          <w:tcPr>
            <w:tcW w:w="837" w:type="pct"/>
          </w:tcPr>
          <w:p w14:paraId="0BAF2E96" w14:textId="0AD1BD31" w:rsidR="003546EA" w:rsidRDefault="003546EA" w:rsidP="003546EA">
            <w:pPr>
              <w:spacing w:before="0" w:after="0"/>
              <w:jc w:val="center"/>
              <w:rPr>
                <w:rFonts w:cstheme="minorHAnsi"/>
              </w:rPr>
            </w:pPr>
            <w:r>
              <w:rPr>
                <w:rFonts w:cstheme="minorHAnsi"/>
              </w:rPr>
              <w:t>CoP</w:t>
            </w:r>
          </w:p>
        </w:tc>
        <w:tc>
          <w:tcPr>
            <w:tcW w:w="748" w:type="pct"/>
          </w:tcPr>
          <w:p w14:paraId="5A9AF281" w14:textId="72508619" w:rsidR="003546EA" w:rsidRDefault="003546EA" w:rsidP="003546EA">
            <w:pPr>
              <w:spacing w:before="0" w:after="0"/>
              <w:jc w:val="center"/>
              <w:rPr>
                <w:rFonts w:cstheme="minorHAnsi"/>
              </w:rPr>
            </w:pPr>
            <w:r>
              <w:rPr>
                <w:rFonts w:cstheme="minorHAnsi"/>
              </w:rPr>
              <w:t>CoP</w:t>
            </w:r>
          </w:p>
        </w:tc>
        <w:tc>
          <w:tcPr>
            <w:tcW w:w="748" w:type="pct"/>
          </w:tcPr>
          <w:p w14:paraId="055619AE" w14:textId="734A0BE2" w:rsidR="003546EA" w:rsidRDefault="003546EA" w:rsidP="003546EA">
            <w:pPr>
              <w:spacing w:before="0" w:after="0"/>
              <w:jc w:val="center"/>
              <w:rPr>
                <w:rFonts w:cstheme="minorHAnsi"/>
              </w:rPr>
            </w:pPr>
            <w:r>
              <w:rPr>
                <w:rFonts w:cstheme="minorHAnsi"/>
              </w:rPr>
              <w:t>CoP</w:t>
            </w:r>
          </w:p>
        </w:tc>
        <w:tc>
          <w:tcPr>
            <w:tcW w:w="748" w:type="pct"/>
          </w:tcPr>
          <w:p w14:paraId="5323E161" w14:textId="03D53286" w:rsidR="003546EA" w:rsidRDefault="003546EA" w:rsidP="003546EA">
            <w:pPr>
              <w:spacing w:before="0" w:after="0"/>
              <w:jc w:val="center"/>
              <w:rPr>
                <w:rFonts w:cstheme="minorHAnsi"/>
              </w:rPr>
            </w:pPr>
            <w:r>
              <w:rPr>
                <w:rFonts w:cstheme="minorHAnsi"/>
              </w:rPr>
              <w:t>CoP</w:t>
            </w:r>
          </w:p>
        </w:tc>
      </w:tr>
      <w:tr w:rsidR="003546EA" w14:paraId="0D53D901" w14:textId="77777777" w:rsidTr="03C9B8BE">
        <w:tc>
          <w:tcPr>
            <w:tcW w:w="1919" w:type="pct"/>
          </w:tcPr>
          <w:p w14:paraId="2B6469C1" w14:textId="21A66DE4" w:rsidR="003546EA" w:rsidRDefault="003546EA" w:rsidP="003546EA">
            <w:pPr>
              <w:spacing w:before="0" w:after="0"/>
              <w:rPr>
                <w:rFonts w:cstheme="minorHAnsi"/>
              </w:rPr>
            </w:pPr>
            <w:r w:rsidRPr="00FA59D6">
              <w:t>Health-Related Social Needs Screening</w:t>
            </w:r>
          </w:p>
        </w:tc>
        <w:tc>
          <w:tcPr>
            <w:tcW w:w="837" w:type="pct"/>
          </w:tcPr>
          <w:p w14:paraId="4639D573" w14:textId="7BE14C6A" w:rsidR="003546EA" w:rsidRDefault="003546EA" w:rsidP="003546EA">
            <w:pPr>
              <w:spacing w:before="0" w:after="0"/>
              <w:jc w:val="center"/>
              <w:rPr>
                <w:rFonts w:cstheme="minorHAnsi"/>
              </w:rPr>
            </w:pPr>
            <w:r>
              <w:rPr>
                <w:rFonts w:cstheme="minorHAnsi"/>
              </w:rPr>
              <w:t>P4P</w:t>
            </w:r>
          </w:p>
        </w:tc>
        <w:tc>
          <w:tcPr>
            <w:tcW w:w="748" w:type="pct"/>
          </w:tcPr>
          <w:p w14:paraId="33BE696E" w14:textId="6F00614A" w:rsidR="003546EA" w:rsidRDefault="003546EA" w:rsidP="003546EA">
            <w:pPr>
              <w:spacing w:before="0" w:after="0"/>
              <w:jc w:val="center"/>
              <w:rPr>
                <w:rFonts w:cstheme="minorHAnsi"/>
              </w:rPr>
            </w:pPr>
            <w:r>
              <w:rPr>
                <w:rFonts w:cstheme="minorHAnsi"/>
              </w:rPr>
              <w:t>P4P</w:t>
            </w:r>
          </w:p>
        </w:tc>
        <w:tc>
          <w:tcPr>
            <w:tcW w:w="748" w:type="pct"/>
          </w:tcPr>
          <w:p w14:paraId="2ADF73D5" w14:textId="2597E357" w:rsidR="003546EA" w:rsidRDefault="003546EA" w:rsidP="003546EA">
            <w:pPr>
              <w:spacing w:before="0" w:after="0"/>
              <w:jc w:val="center"/>
              <w:rPr>
                <w:rFonts w:cstheme="minorHAnsi"/>
              </w:rPr>
            </w:pPr>
            <w:r>
              <w:rPr>
                <w:rFonts w:cstheme="minorHAnsi"/>
              </w:rPr>
              <w:t>P4P</w:t>
            </w:r>
          </w:p>
        </w:tc>
        <w:tc>
          <w:tcPr>
            <w:tcW w:w="748" w:type="pct"/>
          </w:tcPr>
          <w:p w14:paraId="596B882C" w14:textId="390A1D69" w:rsidR="003546EA" w:rsidRDefault="003546EA" w:rsidP="003546EA">
            <w:pPr>
              <w:spacing w:before="0" w:after="0"/>
              <w:jc w:val="center"/>
              <w:rPr>
                <w:rFonts w:cstheme="minorHAnsi"/>
              </w:rPr>
            </w:pPr>
            <w:r>
              <w:rPr>
                <w:rFonts w:cstheme="minorHAnsi"/>
              </w:rPr>
              <w:t>P4P</w:t>
            </w:r>
          </w:p>
        </w:tc>
      </w:tr>
      <w:tr w:rsidR="003546EA" w14:paraId="1EB97C28" w14:textId="77777777" w:rsidTr="03C9B8BE">
        <w:trPr>
          <w:trHeight w:val="70"/>
        </w:trPr>
        <w:tc>
          <w:tcPr>
            <w:tcW w:w="1919" w:type="pct"/>
            <w:shd w:val="clear" w:color="auto" w:fill="E7EDF3" w:themeFill="accent3" w:themeFillTint="33"/>
          </w:tcPr>
          <w:p w14:paraId="64B8A6BF" w14:textId="08D27F06" w:rsidR="003546EA" w:rsidRDefault="003546EA" w:rsidP="003546EA">
            <w:pPr>
              <w:spacing w:before="0" w:after="0"/>
              <w:rPr>
                <w:rFonts w:cstheme="minorHAnsi"/>
              </w:rPr>
            </w:pPr>
            <w:r w:rsidRPr="00A81603">
              <w:rPr>
                <w:b/>
              </w:rPr>
              <w:t>Domain 2: Equitable Quality and Access</w:t>
            </w:r>
          </w:p>
        </w:tc>
        <w:tc>
          <w:tcPr>
            <w:tcW w:w="837" w:type="pct"/>
            <w:shd w:val="clear" w:color="auto" w:fill="E7EDF3" w:themeFill="accent3" w:themeFillTint="33"/>
          </w:tcPr>
          <w:p w14:paraId="1AE1CDBF" w14:textId="77777777" w:rsidR="003546EA" w:rsidRDefault="003546EA" w:rsidP="003546EA">
            <w:pPr>
              <w:spacing w:before="0" w:after="0"/>
              <w:jc w:val="center"/>
              <w:rPr>
                <w:rFonts w:cstheme="minorHAnsi"/>
              </w:rPr>
            </w:pPr>
          </w:p>
        </w:tc>
        <w:tc>
          <w:tcPr>
            <w:tcW w:w="748" w:type="pct"/>
            <w:shd w:val="clear" w:color="auto" w:fill="E7EDF3" w:themeFill="accent3" w:themeFillTint="33"/>
          </w:tcPr>
          <w:p w14:paraId="639EE27D" w14:textId="77777777" w:rsidR="003546EA" w:rsidRDefault="003546EA" w:rsidP="003546EA">
            <w:pPr>
              <w:spacing w:before="0" w:after="0"/>
              <w:jc w:val="center"/>
              <w:rPr>
                <w:rFonts w:cstheme="minorHAnsi"/>
              </w:rPr>
            </w:pPr>
          </w:p>
        </w:tc>
        <w:tc>
          <w:tcPr>
            <w:tcW w:w="748" w:type="pct"/>
            <w:shd w:val="clear" w:color="auto" w:fill="E7EDF3" w:themeFill="accent3" w:themeFillTint="33"/>
          </w:tcPr>
          <w:p w14:paraId="6163C7E6" w14:textId="77777777" w:rsidR="003546EA" w:rsidRDefault="003546EA" w:rsidP="003546EA">
            <w:pPr>
              <w:spacing w:before="0" w:after="0"/>
              <w:jc w:val="center"/>
              <w:rPr>
                <w:rFonts w:cstheme="minorHAnsi"/>
              </w:rPr>
            </w:pPr>
          </w:p>
        </w:tc>
        <w:tc>
          <w:tcPr>
            <w:tcW w:w="748" w:type="pct"/>
            <w:shd w:val="clear" w:color="auto" w:fill="E7EDF3" w:themeFill="accent3" w:themeFillTint="33"/>
          </w:tcPr>
          <w:p w14:paraId="4BF8B160" w14:textId="77777777" w:rsidR="003546EA" w:rsidRDefault="003546EA" w:rsidP="003546EA">
            <w:pPr>
              <w:spacing w:before="0" w:after="0"/>
              <w:jc w:val="center"/>
              <w:rPr>
                <w:rFonts w:cstheme="minorHAnsi"/>
              </w:rPr>
            </w:pPr>
          </w:p>
        </w:tc>
      </w:tr>
      <w:tr w:rsidR="00087EED" w14:paraId="4F122E48" w14:textId="77777777" w:rsidTr="03C9B8BE">
        <w:trPr>
          <w:trHeight w:val="70"/>
        </w:trPr>
        <w:tc>
          <w:tcPr>
            <w:tcW w:w="1919" w:type="pct"/>
          </w:tcPr>
          <w:p w14:paraId="05CAC0EC" w14:textId="4451A072" w:rsidR="003546EA" w:rsidRDefault="00E82832" w:rsidP="003546EA">
            <w:pPr>
              <w:spacing w:before="0" w:after="0"/>
              <w:rPr>
                <w:rFonts w:cstheme="minorHAnsi"/>
              </w:rPr>
            </w:pPr>
            <w:r>
              <w:t>Quality Performance Disparities Reduction</w:t>
            </w:r>
          </w:p>
        </w:tc>
        <w:tc>
          <w:tcPr>
            <w:tcW w:w="837" w:type="pct"/>
          </w:tcPr>
          <w:p w14:paraId="4E57C00D" w14:textId="52242057" w:rsidR="003546EA" w:rsidRDefault="00293843" w:rsidP="003546EA">
            <w:pPr>
              <w:spacing w:before="0" w:after="0"/>
              <w:jc w:val="center"/>
              <w:rPr>
                <w:rFonts w:cstheme="minorHAnsi"/>
              </w:rPr>
            </w:pPr>
            <w:r>
              <w:rPr>
                <w:rFonts w:cstheme="minorHAnsi"/>
              </w:rPr>
              <w:t>CoP</w:t>
            </w:r>
          </w:p>
        </w:tc>
        <w:tc>
          <w:tcPr>
            <w:tcW w:w="748" w:type="pct"/>
          </w:tcPr>
          <w:p w14:paraId="176F93E8" w14:textId="793D1541" w:rsidR="003546EA" w:rsidRDefault="00293843" w:rsidP="003546EA">
            <w:pPr>
              <w:spacing w:before="0" w:after="0"/>
              <w:jc w:val="center"/>
              <w:rPr>
                <w:rFonts w:cstheme="minorHAnsi"/>
              </w:rPr>
            </w:pPr>
            <w:r>
              <w:rPr>
                <w:rFonts w:cstheme="minorHAnsi"/>
              </w:rPr>
              <w:t>CoP</w:t>
            </w:r>
          </w:p>
        </w:tc>
        <w:tc>
          <w:tcPr>
            <w:tcW w:w="748" w:type="pct"/>
          </w:tcPr>
          <w:p w14:paraId="2E89F550" w14:textId="3A65F774" w:rsidR="003546EA" w:rsidRDefault="00293843" w:rsidP="003546EA">
            <w:pPr>
              <w:spacing w:before="0" w:after="0"/>
              <w:jc w:val="center"/>
              <w:rPr>
                <w:rFonts w:cstheme="minorHAnsi"/>
              </w:rPr>
            </w:pPr>
            <w:r>
              <w:rPr>
                <w:rFonts w:cstheme="minorHAnsi"/>
              </w:rPr>
              <w:t>P4P</w:t>
            </w:r>
          </w:p>
        </w:tc>
        <w:tc>
          <w:tcPr>
            <w:tcW w:w="748" w:type="pct"/>
          </w:tcPr>
          <w:p w14:paraId="7D94C338" w14:textId="028463F0" w:rsidR="003546EA" w:rsidRDefault="00293843" w:rsidP="003546EA">
            <w:pPr>
              <w:spacing w:before="0" w:after="0"/>
              <w:jc w:val="center"/>
              <w:rPr>
                <w:rFonts w:cstheme="minorHAnsi"/>
              </w:rPr>
            </w:pPr>
            <w:r>
              <w:rPr>
                <w:rFonts w:cstheme="minorHAnsi"/>
              </w:rPr>
              <w:t>P4P</w:t>
            </w:r>
          </w:p>
        </w:tc>
      </w:tr>
      <w:tr w:rsidR="00087EED" w14:paraId="79A1DA0C" w14:textId="77777777" w:rsidTr="03C9B8BE">
        <w:trPr>
          <w:trHeight w:val="70"/>
        </w:trPr>
        <w:tc>
          <w:tcPr>
            <w:tcW w:w="1919" w:type="pct"/>
          </w:tcPr>
          <w:p w14:paraId="2C2C4365" w14:textId="0CAF69DC" w:rsidR="003546EA" w:rsidRDefault="003546EA" w:rsidP="003546EA">
            <w:pPr>
              <w:spacing w:before="0" w:after="0"/>
              <w:rPr>
                <w:rFonts w:cstheme="minorHAnsi"/>
              </w:rPr>
            </w:pPr>
            <w:r>
              <w:t>Equity Improvement Interventions</w:t>
            </w:r>
          </w:p>
        </w:tc>
        <w:tc>
          <w:tcPr>
            <w:tcW w:w="837" w:type="pct"/>
          </w:tcPr>
          <w:p w14:paraId="392234F6" w14:textId="295BFF64" w:rsidR="003546EA" w:rsidRDefault="00293843" w:rsidP="003546EA">
            <w:pPr>
              <w:spacing w:before="0" w:after="0"/>
              <w:jc w:val="center"/>
              <w:rPr>
                <w:rFonts w:cstheme="minorHAnsi"/>
              </w:rPr>
            </w:pPr>
            <w:r>
              <w:rPr>
                <w:rFonts w:cstheme="minorHAnsi"/>
              </w:rPr>
              <w:t>CoP</w:t>
            </w:r>
          </w:p>
        </w:tc>
        <w:tc>
          <w:tcPr>
            <w:tcW w:w="748" w:type="pct"/>
          </w:tcPr>
          <w:p w14:paraId="70568ED7" w14:textId="53EE13F7" w:rsidR="003546EA" w:rsidRDefault="00293843" w:rsidP="003546EA">
            <w:pPr>
              <w:spacing w:before="0" w:after="0"/>
              <w:jc w:val="center"/>
              <w:rPr>
                <w:rFonts w:cstheme="minorHAnsi"/>
              </w:rPr>
            </w:pPr>
            <w:r>
              <w:rPr>
                <w:rFonts w:cstheme="minorHAnsi"/>
              </w:rPr>
              <w:t>CoP</w:t>
            </w:r>
          </w:p>
        </w:tc>
        <w:tc>
          <w:tcPr>
            <w:tcW w:w="748" w:type="pct"/>
          </w:tcPr>
          <w:p w14:paraId="43B2C744" w14:textId="40CFEB41" w:rsidR="003546EA" w:rsidRDefault="00293843" w:rsidP="003546EA">
            <w:pPr>
              <w:spacing w:before="0" w:after="0"/>
              <w:jc w:val="center"/>
              <w:rPr>
                <w:rFonts w:cstheme="minorHAnsi"/>
              </w:rPr>
            </w:pPr>
            <w:r>
              <w:rPr>
                <w:rFonts w:cstheme="minorHAnsi"/>
              </w:rPr>
              <w:t>CoP</w:t>
            </w:r>
          </w:p>
        </w:tc>
        <w:tc>
          <w:tcPr>
            <w:tcW w:w="748" w:type="pct"/>
          </w:tcPr>
          <w:p w14:paraId="3C934A9A" w14:textId="31A84118" w:rsidR="003546EA" w:rsidRDefault="00293843" w:rsidP="003546EA">
            <w:pPr>
              <w:spacing w:before="0" w:after="0"/>
              <w:jc w:val="center"/>
              <w:rPr>
                <w:rFonts w:cstheme="minorHAnsi"/>
              </w:rPr>
            </w:pPr>
            <w:r>
              <w:rPr>
                <w:rFonts w:cstheme="minorHAnsi"/>
              </w:rPr>
              <w:t>CoP</w:t>
            </w:r>
          </w:p>
        </w:tc>
      </w:tr>
      <w:tr w:rsidR="00087EED" w14:paraId="5F7DC757" w14:textId="77777777" w:rsidTr="03C9B8BE">
        <w:trPr>
          <w:trHeight w:val="70"/>
        </w:trPr>
        <w:tc>
          <w:tcPr>
            <w:tcW w:w="1919" w:type="pct"/>
          </w:tcPr>
          <w:p w14:paraId="099C4F68" w14:textId="407CC502" w:rsidR="003546EA" w:rsidRDefault="003546EA" w:rsidP="003546EA">
            <w:pPr>
              <w:spacing w:before="0" w:after="0"/>
              <w:rPr>
                <w:rFonts w:cstheme="minorHAnsi"/>
              </w:rPr>
            </w:pPr>
            <w:r w:rsidRPr="0025202B">
              <w:t>Meaningful Access to Healthcare Services for Individuals with a</w:t>
            </w:r>
            <w:r>
              <w:t xml:space="preserve"> </w:t>
            </w:r>
            <w:r w:rsidRPr="0025202B">
              <w:t>Preferred Language Other than English</w:t>
            </w:r>
          </w:p>
        </w:tc>
        <w:tc>
          <w:tcPr>
            <w:tcW w:w="837" w:type="pct"/>
          </w:tcPr>
          <w:p w14:paraId="4C9F0D44" w14:textId="7CCF05CA" w:rsidR="003546EA" w:rsidRDefault="00293843" w:rsidP="003546EA">
            <w:pPr>
              <w:spacing w:before="0" w:after="0"/>
              <w:jc w:val="center"/>
              <w:rPr>
                <w:rFonts w:cstheme="minorHAnsi"/>
              </w:rPr>
            </w:pPr>
            <w:r>
              <w:rPr>
                <w:rFonts w:cstheme="minorHAnsi"/>
              </w:rPr>
              <w:t>P4P</w:t>
            </w:r>
          </w:p>
        </w:tc>
        <w:tc>
          <w:tcPr>
            <w:tcW w:w="748" w:type="pct"/>
          </w:tcPr>
          <w:p w14:paraId="0CCCC44B" w14:textId="3363329F" w:rsidR="003546EA" w:rsidRDefault="00293843" w:rsidP="003546EA">
            <w:pPr>
              <w:spacing w:before="0" w:after="0"/>
              <w:jc w:val="center"/>
              <w:rPr>
                <w:rFonts w:cstheme="minorHAnsi"/>
              </w:rPr>
            </w:pPr>
            <w:r>
              <w:rPr>
                <w:rFonts w:cstheme="minorHAnsi"/>
              </w:rPr>
              <w:t>P4P</w:t>
            </w:r>
          </w:p>
        </w:tc>
        <w:tc>
          <w:tcPr>
            <w:tcW w:w="748" w:type="pct"/>
          </w:tcPr>
          <w:p w14:paraId="26933BE0" w14:textId="75CAA2DF" w:rsidR="003546EA" w:rsidRDefault="00293843" w:rsidP="003546EA">
            <w:pPr>
              <w:spacing w:before="0" w:after="0"/>
              <w:jc w:val="center"/>
              <w:rPr>
                <w:rFonts w:cstheme="minorHAnsi"/>
              </w:rPr>
            </w:pPr>
            <w:r>
              <w:rPr>
                <w:rFonts w:cstheme="minorHAnsi"/>
              </w:rPr>
              <w:t>P4P</w:t>
            </w:r>
          </w:p>
        </w:tc>
        <w:tc>
          <w:tcPr>
            <w:tcW w:w="748" w:type="pct"/>
          </w:tcPr>
          <w:p w14:paraId="796CD6EA" w14:textId="76069E29" w:rsidR="003546EA" w:rsidRDefault="00293843" w:rsidP="003546EA">
            <w:pPr>
              <w:spacing w:before="0" w:after="0"/>
              <w:jc w:val="center"/>
              <w:rPr>
                <w:rFonts w:cstheme="minorHAnsi"/>
              </w:rPr>
            </w:pPr>
            <w:r>
              <w:rPr>
                <w:rFonts w:cstheme="minorHAnsi"/>
              </w:rPr>
              <w:t>P4P</w:t>
            </w:r>
          </w:p>
        </w:tc>
      </w:tr>
      <w:tr w:rsidR="00087EED" w14:paraId="729AB1C6" w14:textId="77777777" w:rsidTr="03C9B8BE">
        <w:trPr>
          <w:trHeight w:val="70"/>
        </w:trPr>
        <w:tc>
          <w:tcPr>
            <w:tcW w:w="1919" w:type="pct"/>
          </w:tcPr>
          <w:p w14:paraId="02687A86" w14:textId="0D9EBE63" w:rsidR="003546EA" w:rsidRDefault="003546EA" w:rsidP="003546EA">
            <w:pPr>
              <w:spacing w:before="0" w:after="0"/>
              <w:rPr>
                <w:rFonts w:cstheme="minorHAnsi"/>
              </w:rPr>
            </w:pPr>
            <w:r>
              <w:t>Disability Competent Care</w:t>
            </w:r>
          </w:p>
        </w:tc>
        <w:tc>
          <w:tcPr>
            <w:tcW w:w="837" w:type="pct"/>
          </w:tcPr>
          <w:p w14:paraId="7D3118F4" w14:textId="6427CCE2" w:rsidR="003546EA" w:rsidRDefault="00E1668D" w:rsidP="003546EA">
            <w:pPr>
              <w:spacing w:before="0" w:after="0"/>
              <w:jc w:val="center"/>
              <w:rPr>
                <w:rFonts w:cstheme="minorHAnsi"/>
              </w:rPr>
            </w:pPr>
            <w:r>
              <w:rPr>
                <w:rFonts w:cstheme="minorHAnsi"/>
              </w:rPr>
              <w:t>CoP</w:t>
            </w:r>
          </w:p>
        </w:tc>
        <w:tc>
          <w:tcPr>
            <w:tcW w:w="748" w:type="pct"/>
          </w:tcPr>
          <w:p w14:paraId="5F974446" w14:textId="62EC5D70" w:rsidR="003546EA" w:rsidRDefault="00E1668D" w:rsidP="003546EA">
            <w:pPr>
              <w:spacing w:before="0" w:after="0"/>
              <w:jc w:val="center"/>
              <w:rPr>
                <w:rFonts w:cstheme="minorHAnsi"/>
              </w:rPr>
            </w:pPr>
            <w:r>
              <w:rPr>
                <w:rFonts w:cstheme="minorHAnsi"/>
              </w:rPr>
              <w:t>CoP</w:t>
            </w:r>
          </w:p>
        </w:tc>
        <w:tc>
          <w:tcPr>
            <w:tcW w:w="748" w:type="pct"/>
          </w:tcPr>
          <w:p w14:paraId="4923171B" w14:textId="5987B88E" w:rsidR="003546EA" w:rsidRDefault="00E1668D" w:rsidP="003546EA">
            <w:pPr>
              <w:spacing w:before="0" w:after="0"/>
              <w:jc w:val="center"/>
              <w:rPr>
                <w:rFonts w:cstheme="minorHAnsi"/>
              </w:rPr>
            </w:pPr>
            <w:r>
              <w:rPr>
                <w:rFonts w:cstheme="minorHAnsi"/>
              </w:rPr>
              <w:t>CoP</w:t>
            </w:r>
          </w:p>
        </w:tc>
        <w:tc>
          <w:tcPr>
            <w:tcW w:w="748" w:type="pct"/>
          </w:tcPr>
          <w:p w14:paraId="623A534E" w14:textId="7224C9C6" w:rsidR="003546EA" w:rsidRDefault="00E1668D" w:rsidP="003546EA">
            <w:pPr>
              <w:spacing w:before="0" w:after="0"/>
              <w:jc w:val="center"/>
              <w:rPr>
                <w:rFonts w:cstheme="minorHAnsi"/>
              </w:rPr>
            </w:pPr>
            <w:r>
              <w:rPr>
                <w:rFonts w:cstheme="minorHAnsi"/>
              </w:rPr>
              <w:t>CoP</w:t>
            </w:r>
          </w:p>
        </w:tc>
      </w:tr>
      <w:tr w:rsidR="00087EED" w14:paraId="2DD81958" w14:textId="77777777" w:rsidTr="03C9B8BE">
        <w:trPr>
          <w:trHeight w:val="70"/>
        </w:trPr>
        <w:tc>
          <w:tcPr>
            <w:tcW w:w="1919" w:type="pct"/>
          </w:tcPr>
          <w:p w14:paraId="5B2B959D" w14:textId="1DFA9B95" w:rsidR="003546EA" w:rsidRDefault="003546EA" w:rsidP="003546EA">
            <w:pPr>
              <w:spacing w:before="0" w:after="0"/>
              <w:rPr>
                <w:rFonts w:cstheme="minorHAnsi"/>
              </w:rPr>
            </w:pPr>
            <w:r>
              <w:t>Disability Accommodation Needs</w:t>
            </w:r>
          </w:p>
        </w:tc>
        <w:tc>
          <w:tcPr>
            <w:tcW w:w="837" w:type="pct"/>
          </w:tcPr>
          <w:p w14:paraId="3217864C" w14:textId="0ECFB017" w:rsidR="003546EA" w:rsidRDefault="00E1668D" w:rsidP="003546EA">
            <w:pPr>
              <w:spacing w:before="0" w:after="0"/>
              <w:jc w:val="center"/>
              <w:rPr>
                <w:rFonts w:cstheme="minorHAnsi"/>
              </w:rPr>
            </w:pPr>
            <w:r>
              <w:rPr>
                <w:rFonts w:cstheme="minorHAnsi"/>
              </w:rPr>
              <w:t>P4P</w:t>
            </w:r>
          </w:p>
        </w:tc>
        <w:tc>
          <w:tcPr>
            <w:tcW w:w="748" w:type="pct"/>
          </w:tcPr>
          <w:p w14:paraId="4B87D86B" w14:textId="09AAA0A6" w:rsidR="003546EA" w:rsidRDefault="00E1668D" w:rsidP="003546EA">
            <w:pPr>
              <w:spacing w:before="0" w:after="0"/>
              <w:jc w:val="center"/>
              <w:rPr>
                <w:rFonts w:cstheme="minorHAnsi"/>
              </w:rPr>
            </w:pPr>
            <w:r>
              <w:rPr>
                <w:rFonts w:cstheme="minorHAnsi"/>
              </w:rPr>
              <w:t>P4P</w:t>
            </w:r>
          </w:p>
        </w:tc>
        <w:tc>
          <w:tcPr>
            <w:tcW w:w="748" w:type="pct"/>
          </w:tcPr>
          <w:p w14:paraId="35864D4D" w14:textId="581EA898" w:rsidR="003546EA" w:rsidRDefault="00E1668D" w:rsidP="003546EA">
            <w:pPr>
              <w:spacing w:before="0" w:after="0"/>
              <w:jc w:val="center"/>
              <w:rPr>
                <w:rFonts w:cstheme="minorHAnsi"/>
              </w:rPr>
            </w:pPr>
            <w:r>
              <w:rPr>
                <w:rFonts w:cstheme="minorHAnsi"/>
              </w:rPr>
              <w:t>P4P</w:t>
            </w:r>
          </w:p>
        </w:tc>
        <w:tc>
          <w:tcPr>
            <w:tcW w:w="748" w:type="pct"/>
          </w:tcPr>
          <w:p w14:paraId="7C5040EF" w14:textId="6DC6EAC8" w:rsidR="003546EA" w:rsidRDefault="00E1668D" w:rsidP="003546EA">
            <w:pPr>
              <w:spacing w:before="0" w:after="0"/>
              <w:jc w:val="center"/>
              <w:rPr>
                <w:rFonts w:cstheme="minorHAnsi"/>
              </w:rPr>
            </w:pPr>
            <w:r>
              <w:rPr>
                <w:rFonts w:cstheme="minorHAnsi"/>
              </w:rPr>
              <w:t>P4P</w:t>
            </w:r>
          </w:p>
        </w:tc>
      </w:tr>
      <w:tr w:rsidR="003546EA" w14:paraId="24DFDE9E" w14:textId="77777777" w:rsidTr="03C9B8BE">
        <w:trPr>
          <w:trHeight w:val="70"/>
        </w:trPr>
        <w:tc>
          <w:tcPr>
            <w:tcW w:w="1919" w:type="pct"/>
            <w:shd w:val="clear" w:color="auto" w:fill="E7EDF3" w:themeFill="accent3" w:themeFillTint="33"/>
          </w:tcPr>
          <w:p w14:paraId="10EA750A" w14:textId="322F5EC6" w:rsidR="003546EA" w:rsidRDefault="003546EA" w:rsidP="003546EA">
            <w:pPr>
              <w:spacing w:before="0" w:after="0"/>
              <w:rPr>
                <w:rFonts w:cstheme="minorHAnsi"/>
              </w:rPr>
            </w:pPr>
            <w:r w:rsidRPr="00DA11BF">
              <w:rPr>
                <w:b/>
              </w:rPr>
              <w:t xml:space="preserve">Domain 3: Capacity and Collaboration </w:t>
            </w:r>
          </w:p>
        </w:tc>
        <w:tc>
          <w:tcPr>
            <w:tcW w:w="837" w:type="pct"/>
            <w:shd w:val="clear" w:color="auto" w:fill="E7EDF3" w:themeFill="accent3" w:themeFillTint="33"/>
          </w:tcPr>
          <w:p w14:paraId="0D98B4F0" w14:textId="77777777" w:rsidR="003546EA" w:rsidRDefault="003546EA" w:rsidP="003546EA">
            <w:pPr>
              <w:spacing w:before="0" w:after="0"/>
              <w:jc w:val="center"/>
              <w:rPr>
                <w:rFonts w:cstheme="minorHAnsi"/>
              </w:rPr>
            </w:pPr>
          </w:p>
        </w:tc>
        <w:tc>
          <w:tcPr>
            <w:tcW w:w="748" w:type="pct"/>
            <w:shd w:val="clear" w:color="auto" w:fill="E7EDF3" w:themeFill="accent3" w:themeFillTint="33"/>
          </w:tcPr>
          <w:p w14:paraId="3662066C" w14:textId="77777777" w:rsidR="003546EA" w:rsidRDefault="003546EA" w:rsidP="003546EA">
            <w:pPr>
              <w:spacing w:before="0" w:after="0"/>
              <w:jc w:val="center"/>
              <w:rPr>
                <w:rFonts w:cstheme="minorHAnsi"/>
              </w:rPr>
            </w:pPr>
          </w:p>
        </w:tc>
        <w:tc>
          <w:tcPr>
            <w:tcW w:w="748" w:type="pct"/>
            <w:shd w:val="clear" w:color="auto" w:fill="E7EDF3" w:themeFill="accent3" w:themeFillTint="33"/>
          </w:tcPr>
          <w:p w14:paraId="699D2FA7" w14:textId="77777777" w:rsidR="003546EA" w:rsidRDefault="003546EA" w:rsidP="003546EA">
            <w:pPr>
              <w:spacing w:before="0" w:after="0"/>
              <w:jc w:val="center"/>
              <w:rPr>
                <w:rFonts w:cstheme="minorHAnsi"/>
              </w:rPr>
            </w:pPr>
          </w:p>
        </w:tc>
        <w:tc>
          <w:tcPr>
            <w:tcW w:w="748" w:type="pct"/>
            <w:shd w:val="clear" w:color="auto" w:fill="E7EDF3" w:themeFill="accent3" w:themeFillTint="33"/>
          </w:tcPr>
          <w:p w14:paraId="4E3A1260" w14:textId="77777777" w:rsidR="003546EA" w:rsidRDefault="003546EA" w:rsidP="003546EA">
            <w:pPr>
              <w:spacing w:before="0" w:after="0"/>
              <w:jc w:val="center"/>
              <w:rPr>
                <w:rFonts w:cstheme="minorHAnsi"/>
              </w:rPr>
            </w:pPr>
          </w:p>
        </w:tc>
      </w:tr>
      <w:tr w:rsidR="00087EED" w14:paraId="55BF5889" w14:textId="77777777" w:rsidTr="03C9B8BE">
        <w:trPr>
          <w:trHeight w:val="70"/>
        </w:trPr>
        <w:tc>
          <w:tcPr>
            <w:tcW w:w="1919" w:type="pct"/>
          </w:tcPr>
          <w:p w14:paraId="732D3E37" w14:textId="28B475EF" w:rsidR="003546EA" w:rsidRPr="00DA11BF" w:rsidRDefault="003546EA" w:rsidP="003546EA">
            <w:pPr>
              <w:spacing w:before="0" w:after="0"/>
              <w:rPr>
                <w:b/>
              </w:rPr>
            </w:pPr>
            <w:r>
              <w:t>Patient Experience: Communication, Courtesy, and Respect</w:t>
            </w:r>
          </w:p>
        </w:tc>
        <w:tc>
          <w:tcPr>
            <w:tcW w:w="837" w:type="pct"/>
          </w:tcPr>
          <w:p w14:paraId="29B8BDBE" w14:textId="421296B7" w:rsidR="003546EA" w:rsidRDefault="00E1668D" w:rsidP="003546EA">
            <w:pPr>
              <w:spacing w:before="0" w:after="0"/>
              <w:jc w:val="center"/>
              <w:rPr>
                <w:rFonts w:cstheme="minorHAnsi"/>
              </w:rPr>
            </w:pPr>
            <w:r>
              <w:rPr>
                <w:rFonts w:cstheme="minorHAnsi"/>
              </w:rPr>
              <w:t>CoP</w:t>
            </w:r>
          </w:p>
        </w:tc>
        <w:tc>
          <w:tcPr>
            <w:tcW w:w="748" w:type="pct"/>
          </w:tcPr>
          <w:p w14:paraId="2F53DBF2" w14:textId="7EC5B7C5" w:rsidR="003546EA" w:rsidRDefault="00E1668D" w:rsidP="003546EA">
            <w:pPr>
              <w:spacing w:before="0" w:after="0"/>
              <w:jc w:val="center"/>
              <w:rPr>
                <w:rFonts w:cstheme="minorHAnsi"/>
              </w:rPr>
            </w:pPr>
            <w:r>
              <w:rPr>
                <w:rFonts w:cstheme="minorHAnsi"/>
              </w:rPr>
              <w:t>CoP</w:t>
            </w:r>
          </w:p>
        </w:tc>
        <w:tc>
          <w:tcPr>
            <w:tcW w:w="748" w:type="pct"/>
          </w:tcPr>
          <w:p w14:paraId="3F29960D" w14:textId="0A159DBB" w:rsidR="003546EA" w:rsidRDefault="00E1668D" w:rsidP="003546EA">
            <w:pPr>
              <w:spacing w:before="0" w:after="0"/>
              <w:jc w:val="center"/>
              <w:rPr>
                <w:rFonts w:cstheme="minorHAnsi"/>
              </w:rPr>
            </w:pPr>
            <w:r>
              <w:rPr>
                <w:rFonts w:cstheme="minorHAnsi"/>
              </w:rPr>
              <w:t>CoP</w:t>
            </w:r>
          </w:p>
        </w:tc>
        <w:tc>
          <w:tcPr>
            <w:tcW w:w="748" w:type="pct"/>
          </w:tcPr>
          <w:p w14:paraId="396E40F9" w14:textId="41DF2056" w:rsidR="003546EA" w:rsidRDefault="00E1668D" w:rsidP="003546EA">
            <w:pPr>
              <w:spacing w:before="0" w:after="0"/>
              <w:jc w:val="center"/>
              <w:rPr>
                <w:rFonts w:cstheme="minorHAnsi"/>
              </w:rPr>
            </w:pPr>
            <w:r>
              <w:rPr>
                <w:rFonts w:cstheme="minorHAnsi"/>
              </w:rPr>
              <w:t>CoP</w:t>
            </w:r>
          </w:p>
        </w:tc>
      </w:tr>
    </w:tbl>
    <w:p w14:paraId="1F4355D2" w14:textId="6DA4734F" w:rsidR="00F352E3" w:rsidRPr="004C03A1" w:rsidRDefault="00087EED" w:rsidP="00F352E3">
      <w:pPr>
        <w:rPr>
          <w:rFonts w:cstheme="minorHAnsi"/>
          <w:i/>
          <w:iCs/>
        </w:rPr>
      </w:pPr>
      <w:r w:rsidRPr="00183804">
        <w:rPr>
          <w:rFonts w:cstheme="minorHAnsi"/>
          <w:i/>
          <w:iCs/>
        </w:rPr>
        <w:lastRenderedPageBreak/>
        <w:t xml:space="preserve">*P4P = Pay for Performance; CoP = Condition of Participation. </w:t>
      </w:r>
      <w:r w:rsidR="00EC66B6" w:rsidRPr="00183804">
        <w:rPr>
          <w:rFonts w:cstheme="minorHAnsi"/>
          <w:i/>
          <w:iCs/>
        </w:rPr>
        <w:t>Specific performance trajectories are subject to change. Reporting/performance requirements for each measure described in forthcoming m</w:t>
      </w:r>
      <w:r w:rsidR="009166F4">
        <w:rPr>
          <w:rFonts w:cstheme="minorHAnsi"/>
          <w:i/>
          <w:iCs/>
        </w:rPr>
        <w:t>easure</w:t>
      </w:r>
      <w:r w:rsidR="00EC66B6" w:rsidRPr="00183804">
        <w:rPr>
          <w:rFonts w:cstheme="minorHAnsi"/>
          <w:i/>
          <w:iCs/>
        </w:rPr>
        <w:t xml:space="preserve"> technical specifications.</w:t>
      </w:r>
    </w:p>
    <w:p w14:paraId="50D65341" w14:textId="6D382EC4" w:rsidR="00FC7F7E" w:rsidRPr="00FC7F7E" w:rsidRDefault="00FC7F7E" w:rsidP="00FC7F7E">
      <w:r w:rsidRPr="00FC7F7E">
        <w:t>If a CBHC TIN-Billing Entity anticipates not being able to meet the technical requirements for a measure during a performance year due to extenuating circumstances, the CBHC must provide a written request for exemption to MassHealth with rationale.</w:t>
      </w:r>
      <w:r w:rsidR="000D37C1" w:rsidRPr="000D37C1">
        <w:t xml:space="preserve"> Exemptions will be considered on a case-by-case basis </w:t>
      </w:r>
      <w:r w:rsidR="000D37C1">
        <w:t xml:space="preserve">at the discretion of MassHealth </w:t>
      </w:r>
      <w:r w:rsidR="000D37C1" w:rsidRPr="000D37C1">
        <w:t>and will only be granted under extenuating circumstances</w:t>
      </w:r>
      <w:r w:rsidR="00564AEA">
        <w:t xml:space="preserve">. </w:t>
      </w:r>
      <w:r w:rsidRPr="00FC7F7E">
        <w:t xml:space="preserve">If a CBHC is approved to be exempted from a Pay for Performance measure, the measure weight would be re-distributed equally across the other P4P measures. If a CBHC is approved to be exempted from a Condition of Participation measure, </w:t>
      </w:r>
      <w:proofErr w:type="gramStart"/>
      <w:r w:rsidRPr="00FC7F7E">
        <w:t>the CBHC</w:t>
      </w:r>
      <w:proofErr w:type="gramEnd"/>
      <w:r w:rsidRPr="00FC7F7E">
        <w:t xml:space="preserve"> is not accountable to the CoP reporting requirements for that measure.</w:t>
      </w:r>
    </w:p>
    <w:p w14:paraId="4944D083" w14:textId="77777777" w:rsidR="00FC7F7E" w:rsidRPr="00FC7F7E" w:rsidRDefault="00FC7F7E" w:rsidP="00FC7F7E">
      <w:r w:rsidRPr="00FC7F7E">
        <w:t>If a CBHC is not able to meet the technical requirements for at least 2 Pay for Performance measures and at least 2 Conditions of Participation measures during a performance year, the CBHC’s participation in the CQEIP will be suspended for that performance period. The CBHC may resume participation when it is able to meet the technical requirements for at least 2 P4P measures and 2 CoP measures, provided that such participation shall begin at the start of the subsequent performance period and provided that the CBHC will be held accountable for the performance year requirements immediately following the last performance year in which the CBHC participated.</w:t>
      </w:r>
    </w:p>
    <w:p w14:paraId="131D2B63" w14:textId="1F66FD95" w:rsidR="00FC7F7E" w:rsidRDefault="00FC7F7E" w:rsidP="00FC7F7E">
      <w:r>
        <w:t xml:space="preserve">For example, if EOHHS </w:t>
      </w:r>
      <w:r w:rsidR="71708C9F">
        <w:t>determine</w:t>
      </w:r>
      <w:r w:rsidR="38B3E4AE">
        <w:t>s</w:t>
      </w:r>
      <w:r>
        <w:t xml:space="preserve"> that a CBHC is unable to meet minimum participation requirements for PY2 in calendar year 2025, the CBHC will not be able to participate in the CQEIP in 2025. If the CBHC </w:t>
      </w:r>
      <w:proofErr w:type="gramStart"/>
      <w:r w:rsidR="3AFAB473">
        <w:t>is</w:t>
      </w:r>
      <w:r>
        <w:t xml:space="preserve"> able to</w:t>
      </w:r>
      <w:proofErr w:type="gramEnd"/>
      <w:r>
        <w:t xml:space="preserve"> meet the minimum participation requirements to participate in calendar year 2026, they will resume participation in the CQEIP and will be held accountable to PY2 requirements in 2026.</w:t>
      </w:r>
    </w:p>
    <w:p w14:paraId="21CB64B3" w14:textId="0B53D37D" w:rsidR="00EC66B6" w:rsidRPr="00FC7F7E" w:rsidRDefault="00EC66B6" w:rsidP="00FC7F7E">
      <w:pPr>
        <w:pStyle w:val="Heading3"/>
      </w:pPr>
      <w:bookmarkStart w:id="26" w:name="_Toc197680241"/>
      <w:r w:rsidRPr="00FC7F7E">
        <w:t>4.</w:t>
      </w:r>
      <w:r w:rsidR="00230146" w:rsidRPr="00FC7F7E">
        <w:t>2</w:t>
      </w:r>
      <w:r w:rsidR="00014AB0" w:rsidRPr="00FC7F7E">
        <w:t>.</w:t>
      </w:r>
      <w:r w:rsidR="009D2FA3">
        <w:t>1</w:t>
      </w:r>
      <w:r w:rsidR="006B10A1" w:rsidRPr="00FC7F7E">
        <w:t>.</w:t>
      </w:r>
      <w:r w:rsidRPr="00FC7F7E">
        <w:t xml:space="preserve"> Anticipated Reporting Expectations for Performance Year 2</w:t>
      </w:r>
      <w:bookmarkEnd w:id="26"/>
    </w:p>
    <w:p w14:paraId="4415C35F" w14:textId="5649FF98" w:rsidR="00EC66B6" w:rsidRPr="00FC7F7E" w:rsidRDefault="00D45574" w:rsidP="00FC7F7E">
      <w:r w:rsidRPr="00FC7F7E">
        <w:t xml:space="preserve">The anticipated reporting expectations for PY2 are summarized in </w:t>
      </w:r>
      <w:r w:rsidRPr="00D9500B">
        <w:rPr>
          <w:i/>
          <w:iCs/>
        </w:rPr>
        <w:t xml:space="preserve">Table </w:t>
      </w:r>
      <w:r w:rsidR="007456D0">
        <w:rPr>
          <w:i/>
          <w:iCs/>
        </w:rPr>
        <w:t>7</w:t>
      </w:r>
      <w:r w:rsidR="00D9500B" w:rsidRPr="00D9500B">
        <w:rPr>
          <w:i/>
          <w:iCs/>
        </w:rPr>
        <w:t>. CQEIP Reporting Expectations for PY2</w:t>
      </w:r>
      <w:r w:rsidRPr="00FC7F7E">
        <w:t xml:space="preserve">; detailed reporting and performance expectations for PY2 are included </w:t>
      </w:r>
      <w:r w:rsidR="00D9500B">
        <w:t xml:space="preserve">in the </w:t>
      </w:r>
      <w:r w:rsidR="00D9500B" w:rsidRPr="006540A2">
        <w:rPr>
          <w:i/>
          <w:iCs/>
        </w:rPr>
        <w:t>PY2-5 C</w:t>
      </w:r>
      <w:r w:rsidR="00D9500B">
        <w:rPr>
          <w:i/>
          <w:iCs/>
        </w:rPr>
        <w:t xml:space="preserve">BHC </w:t>
      </w:r>
      <w:r w:rsidR="00D9500B" w:rsidRPr="006540A2">
        <w:rPr>
          <w:i/>
          <w:iCs/>
        </w:rPr>
        <w:t>QEIP Technical Specifications</w:t>
      </w:r>
      <w:r w:rsidRPr="00FC7F7E">
        <w:t xml:space="preserve">. Each report outlined in Table </w:t>
      </w:r>
      <w:r w:rsidR="00F42D25">
        <w:t>6</w:t>
      </w:r>
      <w:r w:rsidRPr="00FC7F7E">
        <w:t xml:space="preserve"> shall be submitted by the CBHC in a form, format, and frequency to be further specified by EOHHS. Additional and/or revised reporting expectations for PY3-5 will be provided prior to the start of each performance year.</w:t>
      </w:r>
    </w:p>
    <w:p w14:paraId="6F36A3C6" w14:textId="661CE445" w:rsidR="00D45574" w:rsidRPr="0099424A" w:rsidRDefault="00833FD2" w:rsidP="00D269A5">
      <w:pPr>
        <w:pStyle w:val="Heading3"/>
      </w:pPr>
      <w:bookmarkStart w:id="27" w:name="_Toc197680242"/>
      <w:r w:rsidRPr="0099424A">
        <w:t xml:space="preserve">Table </w:t>
      </w:r>
      <w:r w:rsidR="007456D0">
        <w:t>7</w:t>
      </w:r>
      <w:r w:rsidRPr="0099424A">
        <w:t>. CQEIP Reporting Expectations for PY2</w:t>
      </w:r>
      <w:bookmarkEnd w:id="27"/>
    </w:p>
    <w:tbl>
      <w:tblPr>
        <w:tblStyle w:val="TableGrid"/>
        <w:tblW w:w="5000" w:type="pct"/>
        <w:tblLook w:val="04A0" w:firstRow="1" w:lastRow="0" w:firstColumn="1" w:lastColumn="0" w:noHBand="0" w:noVBand="1"/>
      </w:tblPr>
      <w:tblGrid>
        <w:gridCol w:w="3189"/>
        <w:gridCol w:w="4096"/>
        <w:gridCol w:w="2785"/>
      </w:tblGrid>
      <w:tr w:rsidR="00B54587" w14:paraId="2A1CC8F9" w14:textId="77777777" w:rsidTr="0084778E">
        <w:trPr>
          <w:tblHeader/>
        </w:trPr>
        <w:tc>
          <w:tcPr>
            <w:tcW w:w="1583" w:type="pct"/>
            <w:shd w:val="clear" w:color="auto" w:fill="E7EDF3" w:themeFill="accent3" w:themeFillTint="33"/>
          </w:tcPr>
          <w:p w14:paraId="24304841" w14:textId="2AA489D3" w:rsidR="00B54587" w:rsidRPr="005C3E4F" w:rsidRDefault="00B54587" w:rsidP="00B54587">
            <w:pPr>
              <w:spacing w:before="0" w:after="0"/>
              <w:rPr>
                <w:rFonts w:cstheme="minorHAnsi"/>
                <w:b/>
                <w:bCs/>
              </w:rPr>
            </w:pPr>
            <w:r w:rsidRPr="005C3E4F">
              <w:rPr>
                <w:rFonts w:cstheme="minorHAnsi"/>
                <w:b/>
                <w:bCs/>
              </w:rPr>
              <w:t>Domains and Measure Names</w:t>
            </w:r>
          </w:p>
        </w:tc>
        <w:tc>
          <w:tcPr>
            <w:tcW w:w="2034" w:type="pct"/>
            <w:shd w:val="clear" w:color="auto" w:fill="E7EDF3" w:themeFill="accent3" w:themeFillTint="33"/>
          </w:tcPr>
          <w:p w14:paraId="6B50B077" w14:textId="0F2EE3B4" w:rsidR="00B54587" w:rsidRPr="005C3E4F" w:rsidRDefault="00B54587" w:rsidP="00B54587">
            <w:pPr>
              <w:spacing w:before="0" w:after="0"/>
              <w:rPr>
                <w:rFonts w:cstheme="minorHAnsi"/>
                <w:b/>
                <w:bCs/>
              </w:rPr>
            </w:pPr>
            <w:r w:rsidRPr="005C3E4F">
              <w:rPr>
                <w:rFonts w:cstheme="minorHAnsi"/>
                <w:b/>
                <w:bCs/>
              </w:rPr>
              <w:t>Reporting Expectations for PY2 (to be further specified by EOHHS)</w:t>
            </w:r>
          </w:p>
        </w:tc>
        <w:tc>
          <w:tcPr>
            <w:tcW w:w="1383" w:type="pct"/>
            <w:shd w:val="clear" w:color="auto" w:fill="E7EDF3" w:themeFill="accent3" w:themeFillTint="33"/>
          </w:tcPr>
          <w:p w14:paraId="13FB6E67" w14:textId="572A5405" w:rsidR="0084778E" w:rsidRDefault="0084778E" w:rsidP="00B54587">
            <w:pPr>
              <w:spacing w:before="0" w:after="0"/>
              <w:rPr>
                <w:rFonts w:cstheme="minorHAnsi"/>
                <w:b/>
                <w:bCs/>
              </w:rPr>
            </w:pPr>
            <w:r>
              <w:rPr>
                <w:rFonts w:cstheme="minorHAnsi"/>
                <w:b/>
                <w:bCs/>
              </w:rPr>
              <w:t>Anticipated Due Date</w:t>
            </w:r>
          </w:p>
        </w:tc>
      </w:tr>
      <w:tr w:rsidR="00B54587" w14:paraId="0E938A6C" w14:textId="77777777" w:rsidTr="0084778E">
        <w:tc>
          <w:tcPr>
            <w:tcW w:w="1583" w:type="pct"/>
            <w:shd w:val="clear" w:color="auto" w:fill="E7EDF3" w:themeFill="accent3" w:themeFillTint="33"/>
          </w:tcPr>
          <w:p w14:paraId="2D56B00E" w14:textId="65392BB6" w:rsidR="00B54587" w:rsidRPr="009005D0" w:rsidRDefault="00B54587" w:rsidP="009005D0">
            <w:pPr>
              <w:spacing w:before="0" w:after="0"/>
              <w:contextualSpacing/>
              <w:rPr>
                <w:rFonts w:cstheme="minorHAnsi"/>
                <w:b/>
                <w:bCs/>
              </w:rPr>
            </w:pPr>
            <w:r w:rsidRPr="009005D0">
              <w:rPr>
                <w:rFonts w:cstheme="minorHAnsi"/>
                <w:b/>
                <w:bCs/>
              </w:rPr>
              <w:t>Domain 1. Demographic and Health-Related Social Needs Data</w:t>
            </w:r>
          </w:p>
        </w:tc>
        <w:tc>
          <w:tcPr>
            <w:tcW w:w="2034" w:type="pct"/>
            <w:shd w:val="clear" w:color="auto" w:fill="E7EDF3" w:themeFill="accent3" w:themeFillTint="33"/>
          </w:tcPr>
          <w:p w14:paraId="71ACDA61" w14:textId="77777777" w:rsidR="00B54587" w:rsidRPr="009005D0" w:rsidRDefault="00B54587" w:rsidP="009005D0">
            <w:pPr>
              <w:spacing w:before="0" w:after="0"/>
              <w:contextualSpacing/>
              <w:rPr>
                <w:rFonts w:cstheme="minorHAnsi"/>
                <w:b/>
                <w:bCs/>
              </w:rPr>
            </w:pPr>
          </w:p>
        </w:tc>
        <w:tc>
          <w:tcPr>
            <w:tcW w:w="1383" w:type="pct"/>
            <w:shd w:val="clear" w:color="auto" w:fill="E7EDF3" w:themeFill="accent3" w:themeFillTint="33"/>
          </w:tcPr>
          <w:p w14:paraId="40843A10" w14:textId="77777777" w:rsidR="00FD09C8" w:rsidRPr="009005D0" w:rsidRDefault="00FD09C8" w:rsidP="009005D0">
            <w:pPr>
              <w:spacing w:before="0" w:after="0"/>
              <w:contextualSpacing/>
              <w:rPr>
                <w:rFonts w:cstheme="minorHAnsi"/>
                <w:b/>
                <w:bCs/>
              </w:rPr>
            </w:pPr>
          </w:p>
        </w:tc>
      </w:tr>
      <w:tr w:rsidR="00B54587" w14:paraId="2FF92FC9" w14:textId="77777777" w:rsidTr="0084778E">
        <w:tc>
          <w:tcPr>
            <w:tcW w:w="1583" w:type="pct"/>
          </w:tcPr>
          <w:p w14:paraId="4D321B1D" w14:textId="5D4EC0E7" w:rsidR="00B54587" w:rsidRPr="009005D0" w:rsidRDefault="00B54587" w:rsidP="009005D0">
            <w:pPr>
              <w:spacing w:before="0" w:after="0"/>
              <w:contextualSpacing/>
              <w:rPr>
                <w:rFonts w:cstheme="minorHAnsi"/>
              </w:rPr>
            </w:pPr>
            <w:r w:rsidRPr="009005D0">
              <w:rPr>
                <w:rFonts w:cstheme="minorHAnsi"/>
              </w:rPr>
              <w:t xml:space="preserve">Race, Ethnicity, Language, Disability, Sexual Orientation, and Gender Identity </w:t>
            </w:r>
            <w:r w:rsidRPr="009005D0">
              <w:rPr>
                <w:rFonts w:cstheme="minorHAnsi"/>
              </w:rPr>
              <w:lastRenderedPageBreak/>
              <w:t>(RELDSOGI) Data Completeness</w:t>
            </w:r>
          </w:p>
        </w:tc>
        <w:tc>
          <w:tcPr>
            <w:tcW w:w="2034" w:type="pct"/>
          </w:tcPr>
          <w:p w14:paraId="0496CAB8" w14:textId="60EDBF45" w:rsidR="00033074" w:rsidRPr="009005D0" w:rsidRDefault="00193C11" w:rsidP="00761AF7">
            <w:pPr>
              <w:pStyle w:val="ListParagraph"/>
              <w:numPr>
                <w:ilvl w:val="0"/>
                <w:numId w:val="5"/>
              </w:numPr>
              <w:rPr>
                <w:rFonts w:asciiTheme="minorHAnsi" w:hAnsiTheme="minorHAnsi" w:cstheme="minorHAnsi"/>
                <w:sz w:val="22"/>
                <w:szCs w:val="22"/>
              </w:rPr>
            </w:pPr>
            <w:r w:rsidRPr="009005D0">
              <w:rPr>
                <w:rFonts w:asciiTheme="minorHAnsi" w:hAnsiTheme="minorHAnsi" w:cstheme="minorHAnsi"/>
                <w:sz w:val="22"/>
                <w:szCs w:val="22"/>
              </w:rPr>
              <w:lastRenderedPageBreak/>
              <w:t>Quarterly Submission of the Demographic Data File</w:t>
            </w:r>
            <w:r w:rsidR="006D0734">
              <w:rPr>
                <w:rFonts w:asciiTheme="minorHAnsi" w:hAnsiTheme="minorHAnsi" w:cstheme="minorHAnsi"/>
                <w:sz w:val="22"/>
                <w:szCs w:val="22"/>
              </w:rPr>
              <w:t xml:space="preserve"> (DDF)</w:t>
            </w:r>
            <w:r w:rsidRPr="009005D0">
              <w:rPr>
                <w:rFonts w:asciiTheme="minorHAnsi" w:hAnsiTheme="minorHAnsi" w:cstheme="minorHAnsi"/>
                <w:sz w:val="22"/>
                <w:szCs w:val="22"/>
              </w:rPr>
              <w:t xml:space="preserve">, as further specified in the Visit and </w:t>
            </w:r>
            <w:r w:rsidRPr="009005D0">
              <w:rPr>
                <w:rFonts w:asciiTheme="minorHAnsi" w:hAnsiTheme="minorHAnsi" w:cstheme="minorHAnsi"/>
                <w:sz w:val="22"/>
                <w:szCs w:val="22"/>
              </w:rPr>
              <w:lastRenderedPageBreak/>
              <w:t xml:space="preserve">Demographic Data File </w:t>
            </w:r>
            <w:r w:rsidR="006D0734">
              <w:rPr>
                <w:rFonts w:asciiTheme="minorHAnsi" w:hAnsiTheme="minorHAnsi" w:cstheme="minorHAnsi"/>
                <w:sz w:val="22"/>
                <w:szCs w:val="22"/>
              </w:rPr>
              <w:t xml:space="preserve">(VDDF) </w:t>
            </w:r>
            <w:r w:rsidRPr="009005D0">
              <w:rPr>
                <w:rFonts w:asciiTheme="minorHAnsi" w:hAnsiTheme="minorHAnsi" w:cstheme="minorHAnsi"/>
                <w:sz w:val="22"/>
                <w:szCs w:val="22"/>
              </w:rPr>
              <w:t>Submission Guide</w:t>
            </w:r>
          </w:p>
          <w:p w14:paraId="16470520" w14:textId="0C4E73BB" w:rsidR="009F74A8" w:rsidRPr="009005D0" w:rsidRDefault="009F74A8" w:rsidP="00761AF7">
            <w:pPr>
              <w:pStyle w:val="ListParagraph"/>
              <w:numPr>
                <w:ilvl w:val="0"/>
                <w:numId w:val="5"/>
              </w:numPr>
              <w:rPr>
                <w:rFonts w:asciiTheme="minorHAnsi" w:hAnsiTheme="minorHAnsi" w:cstheme="minorHAnsi"/>
                <w:sz w:val="22"/>
                <w:szCs w:val="22"/>
              </w:rPr>
            </w:pPr>
            <w:r w:rsidRPr="009005D0">
              <w:rPr>
                <w:rFonts w:asciiTheme="minorHAnsi" w:hAnsiTheme="minorHAnsi" w:cstheme="minorHAnsi"/>
                <w:sz w:val="22"/>
                <w:szCs w:val="22"/>
              </w:rPr>
              <w:t xml:space="preserve">Mapping and Verification </w:t>
            </w:r>
            <w:r w:rsidR="00033074" w:rsidRPr="009005D0">
              <w:rPr>
                <w:rFonts w:asciiTheme="minorHAnsi" w:hAnsiTheme="minorHAnsi" w:cstheme="minorHAnsi"/>
                <w:sz w:val="22"/>
                <w:szCs w:val="22"/>
              </w:rPr>
              <w:t>Deliverable</w:t>
            </w:r>
          </w:p>
        </w:tc>
        <w:tc>
          <w:tcPr>
            <w:tcW w:w="1383" w:type="pct"/>
          </w:tcPr>
          <w:p w14:paraId="3C482CEC" w14:textId="368C0922" w:rsidR="00FD09C8" w:rsidRDefault="0084778E" w:rsidP="00761AF7">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lastRenderedPageBreak/>
              <w:t>Quarterly Submission of the Demographic Data File</w:t>
            </w:r>
            <w:r w:rsidR="009E5D09">
              <w:rPr>
                <w:rFonts w:asciiTheme="minorHAnsi" w:hAnsiTheme="minorHAnsi" w:cstheme="minorHAnsi"/>
                <w:sz w:val="22"/>
                <w:szCs w:val="22"/>
              </w:rPr>
              <w:t>*</w:t>
            </w:r>
          </w:p>
          <w:p w14:paraId="46C1E328" w14:textId="14AA0933" w:rsidR="009E5D09" w:rsidRDefault="0084778E" w:rsidP="009E5D09">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lastRenderedPageBreak/>
              <w:t>September 30, 2025</w:t>
            </w:r>
          </w:p>
          <w:p w14:paraId="64F6AB20" w14:textId="77777777" w:rsidR="009E5D09" w:rsidRDefault="009E5D09" w:rsidP="009E5D09">
            <w:pPr>
              <w:pStyle w:val="ListParagraph"/>
              <w:ind w:left="360"/>
              <w:rPr>
                <w:rFonts w:asciiTheme="minorHAnsi" w:hAnsiTheme="minorHAnsi" w:cstheme="minorHAnsi"/>
                <w:sz w:val="22"/>
                <w:szCs w:val="22"/>
              </w:rPr>
            </w:pPr>
          </w:p>
          <w:p w14:paraId="30F71333" w14:textId="6E47B052" w:rsidR="009E5D09" w:rsidRPr="009E5D09" w:rsidRDefault="009E5D09" w:rsidP="009E5D09">
            <w:pPr>
              <w:pStyle w:val="ListParagraph"/>
              <w:ind w:left="0"/>
              <w:rPr>
                <w:rFonts w:asciiTheme="minorHAnsi" w:hAnsiTheme="minorHAnsi" w:cstheme="minorHAnsi"/>
                <w:sz w:val="22"/>
                <w:szCs w:val="22"/>
              </w:rPr>
            </w:pPr>
            <w:r>
              <w:rPr>
                <w:rFonts w:asciiTheme="minorHAnsi" w:hAnsiTheme="minorHAnsi" w:cstheme="minorHAnsi"/>
                <w:sz w:val="22"/>
                <w:szCs w:val="22"/>
              </w:rPr>
              <w:t xml:space="preserve">* </w:t>
            </w:r>
            <w:r w:rsidRPr="009E5D09">
              <w:rPr>
                <w:rFonts w:asciiTheme="minorHAnsi" w:hAnsiTheme="minorHAnsi" w:cstheme="minorHAnsi"/>
                <w:i/>
                <w:iCs/>
                <w:sz w:val="22"/>
                <w:szCs w:val="22"/>
              </w:rPr>
              <w:t>Please refer to the VDDF Submission Guide for the Submission and Resubmission Schedule.</w:t>
            </w:r>
          </w:p>
        </w:tc>
      </w:tr>
      <w:tr w:rsidR="00B54587" w14:paraId="4ACDB258" w14:textId="77777777" w:rsidTr="0084778E">
        <w:tc>
          <w:tcPr>
            <w:tcW w:w="1583" w:type="pct"/>
          </w:tcPr>
          <w:p w14:paraId="05AAEC9E" w14:textId="314B4B51" w:rsidR="00B54587" w:rsidRPr="009005D0" w:rsidRDefault="00B54587" w:rsidP="009005D0">
            <w:pPr>
              <w:spacing w:before="0" w:after="0"/>
              <w:contextualSpacing/>
              <w:rPr>
                <w:rFonts w:cstheme="minorHAnsi"/>
              </w:rPr>
            </w:pPr>
            <w:r w:rsidRPr="009005D0">
              <w:rPr>
                <w:rFonts w:cstheme="minorHAnsi"/>
              </w:rPr>
              <w:lastRenderedPageBreak/>
              <w:t>Health-Related Social Needs Screening</w:t>
            </w:r>
          </w:p>
        </w:tc>
        <w:tc>
          <w:tcPr>
            <w:tcW w:w="2034" w:type="pct"/>
          </w:tcPr>
          <w:p w14:paraId="09441E87" w14:textId="6CAC82C1" w:rsidR="00B54587" w:rsidRPr="009005D0" w:rsidRDefault="00102517" w:rsidP="009005D0">
            <w:pPr>
              <w:spacing w:before="0" w:after="0"/>
              <w:contextualSpacing/>
              <w:rPr>
                <w:rFonts w:cstheme="minorHAnsi"/>
              </w:rPr>
            </w:pPr>
            <w:r w:rsidRPr="009005D0">
              <w:rPr>
                <w:rFonts w:cstheme="minorHAnsi"/>
              </w:rPr>
              <w:t xml:space="preserve">Submission of </w:t>
            </w:r>
            <w:r w:rsidR="00FC60A1">
              <w:rPr>
                <w:rFonts w:cstheme="minorHAnsi"/>
              </w:rPr>
              <w:t xml:space="preserve">an HRSN Screening </w:t>
            </w:r>
            <w:r w:rsidR="009166F4">
              <w:rPr>
                <w:rFonts w:cstheme="minorHAnsi"/>
              </w:rPr>
              <w:t xml:space="preserve">Administrative and/or </w:t>
            </w:r>
            <w:r w:rsidR="00FC60A1">
              <w:rPr>
                <w:rFonts w:cstheme="minorHAnsi"/>
              </w:rPr>
              <w:t>Supplemental Data File</w:t>
            </w:r>
          </w:p>
        </w:tc>
        <w:tc>
          <w:tcPr>
            <w:tcW w:w="1383" w:type="pct"/>
          </w:tcPr>
          <w:p w14:paraId="094E7431" w14:textId="21E45FC5" w:rsidR="0084778E" w:rsidRDefault="0084778E" w:rsidP="009005D0">
            <w:pPr>
              <w:spacing w:before="0" w:after="0"/>
              <w:contextualSpacing/>
              <w:rPr>
                <w:rFonts w:cstheme="minorHAnsi"/>
              </w:rPr>
            </w:pPr>
            <w:r>
              <w:rPr>
                <w:rFonts w:cstheme="minorHAnsi"/>
              </w:rPr>
              <w:t>June 30, 2026</w:t>
            </w:r>
          </w:p>
        </w:tc>
      </w:tr>
      <w:tr w:rsidR="00B54587" w14:paraId="7F185D84" w14:textId="77777777" w:rsidTr="0084778E">
        <w:tc>
          <w:tcPr>
            <w:tcW w:w="1583" w:type="pct"/>
            <w:shd w:val="clear" w:color="auto" w:fill="E7EDF3" w:themeFill="accent3" w:themeFillTint="33"/>
          </w:tcPr>
          <w:p w14:paraId="503FB06F" w14:textId="30951D65" w:rsidR="00B54587" w:rsidRPr="009005D0" w:rsidRDefault="00B54587" w:rsidP="009005D0">
            <w:pPr>
              <w:spacing w:before="0" w:after="0"/>
              <w:contextualSpacing/>
              <w:rPr>
                <w:rFonts w:cstheme="minorHAnsi"/>
              </w:rPr>
            </w:pPr>
            <w:r w:rsidRPr="009005D0">
              <w:rPr>
                <w:rFonts w:cstheme="minorHAnsi"/>
                <w:b/>
              </w:rPr>
              <w:t>Domain 2: Equitable Quality and Access</w:t>
            </w:r>
          </w:p>
        </w:tc>
        <w:tc>
          <w:tcPr>
            <w:tcW w:w="2034" w:type="pct"/>
            <w:shd w:val="clear" w:color="auto" w:fill="E7EDF3" w:themeFill="accent3" w:themeFillTint="33"/>
          </w:tcPr>
          <w:p w14:paraId="366083B1" w14:textId="77777777" w:rsidR="00B54587" w:rsidRPr="009005D0" w:rsidRDefault="00B54587" w:rsidP="009005D0">
            <w:pPr>
              <w:spacing w:before="0" w:after="0"/>
              <w:contextualSpacing/>
              <w:rPr>
                <w:rFonts w:cstheme="minorHAnsi"/>
              </w:rPr>
            </w:pPr>
          </w:p>
        </w:tc>
        <w:tc>
          <w:tcPr>
            <w:tcW w:w="1383" w:type="pct"/>
            <w:shd w:val="clear" w:color="auto" w:fill="E7EDF3" w:themeFill="accent3" w:themeFillTint="33"/>
          </w:tcPr>
          <w:p w14:paraId="1209E34A" w14:textId="77777777" w:rsidR="00FD09C8" w:rsidRPr="009005D0" w:rsidRDefault="00FD09C8" w:rsidP="009005D0">
            <w:pPr>
              <w:spacing w:before="0" w:after="0"/>
              <w:contextualSpacing/>
              <w:rPr>
                <w:rFonts w:cstheme="minorHAnsi"/>
              </w:rPr>
            </w:pPr>
          </w:p>
        </w:tc>
      </w:tr>
      <w:tr w:rsidR="00B54587" w14:paraId="50F23CC7" w14:textId="77777777" w:rsidTr="0084778E">
        <w:tc>
          <w:tcPr>
            <w:tcW w:w="1583" w:type="pct"/>
          </w:tcPr>
          <w:p w14:paraId="64C88816" w14:textId="17EFD408" w:rsidR="00B54587" w:rsidRPr="009005D0" w:rsidRDefault="00F91C0A" w:rsidP="00DA08CA">
            <w:pPr>
              <w:spacing w:before="0" w:after="0"/>
              <w:contextualSpacing/>
              <w:rPr>
                <w:rFonts w:cstheme="minorHAnsi"/>
              </w:rPr>
            </w:pPr>
            <w:r>
              <w:rPr>
                <w:rFonts w:cstheme="minorHAnsi"/>
              </w:rPr>
              <w:t>Quality Performance Disparities Reduction</w:t>
            </w:r>
          </w:p>
        </w:tc>
        <w:tc>
          <w:tcPr>
            <w:tcW w:w="2034" w:type="pct"/>
          </w:tcPr>
          <w:p w14:paraId="7C19ACFF" w14:textId="013B0D2F" w:rsidR="00B54587" w:rsidRPr="009005D0" w:rsidRDefault="00D023E1" w:rsidP="009005D0">
            <w:pPr>
              <w:spacing w:before="0" w:after="0"/>
              <w:contextualSpacing/>
              <w:rPr>
                <w:rFonts w:cstheme="minorHAnsi"/>
              </w:rPr>
            </w:pPr>
            <w:r w:rsidRPr="009005D0">
              <w:rPr>
                <w:rFonts w:cstheme="minorHAnsi"/>
              </w:rPr>
              <w:t>Disparities Reduction Narrative Report</w:t>
            </w:r>
          </w:p>
        </w:tc>
        <w:tc>
          <w:tcPr>
            <w:tcW w:w="1383" w:type="pct"/>
          </w:tcPr>
          <w:p w14:paraId="5344DCC6" w14:textId="4E76E55C" w:rsidR="0084778E" w:rsidRDefault="0084778E" w:rsidP="009005D0">
            <w:pPr>
              <w:spacing w:before="0" w:after="0"/>
              <w:contextualSpacing/>
              <w:rPr>
                <w:rFonts w:cstheme="minorHAnsi"/>
              </w:rPr>
            </w:pPr>
            <w:r>
              <w:rPr>
                <w:rFonts w:cstheme="minorHAnsi"/>
              </w:rPr>
              <w:t>October 31, 2025</w:t>
            </w:r>
          </w:p>
        </w:tc>
      </w:tr>
      <w:tr w:rsidR="00B54587" w14:paraId="741E9BB4" w14:textId="77777777" w:rsidTr="0084778E">
        <w:trPr>
          <w:trHeight w:val="143"/>
        </w:trPr>
        <w:tc>
          <w:tcPr>
            <w:tcW w:w="1583" w:type="pct"/>
          </w:tcPr>
          <w:p w14:paraId="63CF653A" w14:textId="79E8A74F" w:rsidR="00B54587" w:rsidRPr="009005D0" w:rsidRDefault="00B54587" w:rsidP="009005D0">
            <w:pPr>
              <w:spacing w:before="0" w:after="0"/>
              <w:contextualSpacing/>
              <w:rPr>
                <w:rFonts w:cstheme="minorHAnsi"/>
              </w:rPr>
            </w:pPr>
            <w:r w:rsidRPr="009005D0">
              <w:rPr>
                <w:rFonts w:cstheme="minorHAnsi"/>
              </w:rPr>
              <w:t>Equity Improvement Interventions</w:t>
            </w:r>
          </w:p>
        </w:tc>
        <w:tc>
          <w:tcPr>
            <w:tcW w:w="2034" w:type="pct"/>
          </w:tcPr>
          <w:p w14:paraId="266B5CE1" w14:textId="7D293526" w:rsidR="00B54587" w:rsidRPr="009005D0" w:rsidRDefault="00B45363" w:rsidP="009005D0">
            <w:pPr>
              <w:spacing w:before="0" w:after="0"/>
              <w:contextualSpacing/>
              <w:rPr>
                <w:rFonts w:cstheme="minorHAnsi"/>
              </w:rPr>
            </w:pPr>
            <w:r>
              <w:rPr>
                <w:rFonts w:cstheme="minorHAnsi"/>
              </w:rPr>
              <w:t>PIP Topic Selection and Planning Report</w:t>
            </w:r>
          </w:p>
        </w:tc>
        <w:tc>
          <w:tcPr>
            <w:tcW w:w="1383" w:type="pct"/>
          </w:tcPr>
          <w:p w14:paraId="36E21AE2" w14:textId="00272F83" w:rsidR="0084778E" w:rsidRDefault="0084778E" w:rsidP="009005D0">
            <w:pPr>
              <w:spacing w:before="0" w:after="0"/>
              <w:contextualSpacing/>
              <w:rPr>
                <w:rFonts w:cstheme="minorHAnsi"/>
              </w:rPr>
            </w:pPr>
            <w:r>
              <w:rPr>
                <w:rFonts w:cstheme="minorHAnsi"/>
              </w:rPr>
              <w:t>October 31, 2025</w:t>
            </w:r>
          </w:p>
        </w:tc>
      </w:tr>
      <w:tr w:rsidR="00B54587" w14:paraId="5258CB94" w14:textId="77777777" w:rsidTr="0084778E">
        <w:tc>
          <w:tcPr>
            <w:tcW w:w="1583" w:type="pct"/>
          </w:tcPr>
          <w:p w14:paraId="5643300E" w14:textId="6D677563" w:rsidR="00B54587" w:rsidRPr="009005D0" w:rsidRDefault="00B54587" w:rsidP="009005D0">
            <w:pPr>
              <w:spacing w:before="0" w:after="0"/>
              <w:contextualSpacing/>
              <w:rPr>
                <w:rFonts w:cstheme="minorHAnsi"/>
              </w:rPr>
            </w:pPr>
            <w:r w:rsidRPr="009005D0">
              <w:rPr>
                <w:rFonts w:cstheme="minorHAnsi"/>
              </w:rPr>
              <w:t>Meaningful Access to Healthcare Services for Individuals with a Preferred Language Other than English</w:t>
            </w:r>
          </w:p>
        </w:tc>
        <w:tc>
          <w:tcPr>
            <w:tcW w:w="2034" w:type="pct"/>
          </w:tcPr>
          <w:p w14:paraId="5CDAEF3F" w14:textId="68EB4ED4" w:rsidR="005C3E4F" w:rsidRPr="009005D0" w:rsidRDefault="00D023E1" w:rsidP="00761AF7">
            <w:pPr>
              <w:pStyle w:val="ListParagraph"/>
              <w:numPr>
                <w:ilvl w:val="0"/>
                <w:numId w:val="6"/>
              </w:numPr>
              <w:rPr>
                <w:rFonts w:asciiTheme="minorHAnsi" w:hAnsiTheme="minorHAnsi" w:cstheme="minorHAnsi"/>
                <w:sz w:val="22"/>
                <w:szCs w:val="22"/>
              </w:rPr>
            </w:pPr>
            <w:r w:rsidRPr="009005D0">
              <w:rPr>
                <w:rFonts w:asciiTheme="minorHAnsi" w:hAnsiTheme="minorHAnsi" w:cstheme="minorHAnsi"/>
                <w:sz w:val="22"/>
                <w:szCs w:val="22"/>
              </w:rPr>
              <w:t>Language Access</w:t>
            </w:r>
            <w:r w:rsidR="009166F4">
              <w:rPr>
                <w:rFonts w:asciiTheme="minorHAnsi" w:hAnsiTheme="minorHAnsi" w:cstheme="minorHAnsi"/>
                <w:sz w:val="22"/>
                <w:szCs w:val="22"/>
              </w:rPr>
              <w:t xml:space="preserve"> Self-Assessment </w:t>
            </w:r>
            <w:r w:rsidRPr="009005D0">
              <w:rPr>
                <w:rFonts w:asciiTheme="minorHAnsi" w:hAnsiTheme="minorHAnsi" w:cstheme="minorHAnsi"/>
                <w:sz w:val="22"/>
                <w:szCs w:val="22"/>
              </w:rPr>
              <w:t>Survey</w:t>
            </w:r>
          </w:p>
          <w:p w14:paraId="6A975C54" w14:textId="2A41BC90" w:rsidR="00D023E1" w:rsidRPr="009005D0" w:rsidRDefault="00FC60A1" w:rsidP="00761AF7">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Submission of a Language Access Services</w:t>
            </w:r>
            <w:r w:rsidR="008D2634">
              <w:rPr>
                <w:rFonts w:asciiTheme="minorHAnsi" w:hAnsiTheme="minorHAnsi" w:cstheme="minorHAnsi"/>
                <w:sz w:val="22"/>
                <w:szCs w:val="22"/>
              </w:rPr>
              <w:t xml:space="preserve"> Provision</w:t>
            </w:r>
            <w:r>
              <w:rPr>
                <w:rFonts w:asciiTheme="minorHAnsi" w:hAnsiTheme="minorHAnsi" w:cstheme="minorHAnsi"/>
                <w:sz w:val="22"/>
                <w:szCs w:val="22"/>
              </w:rPr>
              <w:t xml:space="preserve"> </w:t>
            </w:r>
            <w:r w:rsidR="00D023E1" w:rsidRPr="009005D0">
              <w:rPr>
                <w:rFonts w:asciiTheme="minorHAnsi" w:hAnsiTheme="minorHAnsi" w:cstheme="minorHAnsi"/>
                <w:sz w:val="22"/>
                <w:szCs w:val="22"/>
              </w:rPr>
              <w:t xml:space="preserve">Supplemental </w:t>
            </w:r>
            <w:r>
              <w:rPr>
                <w:rFonts w:asciiTheme="minorHAnsi" w:hAnsiTheme="minorHAnsi" w:cstheme="minorHAnsi"/>
                <w:sz w:val="22"/>
                <w:szCs w:val="22"/>
              </w:rPr>
              <w:t>Data File</w:t>
            </w:r>
          </w:p>
        </w:tc>
        <w:tc>
          <w:tcPr>
            <w:tcW w:w="1383" w:type="pct"/>
          </w:tcPr>
          <w:p w14:paraId="24D59533" w14:textId="77777777" w:rsidR="00FD09C8" w:rsidRDefault="0084778E" w:rsidP="00761AF7">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January 31, 2026</w:t>
            </w:r>
          </w:p>
          <w:p w14:paraId="3C28FCF5" w14:textId="04771FAA" w:rsidR="0084778E" w:rsidRDefault="0084778E" w:rsidP="00761AF7">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June 30, 2026</w:t>
            </w:r>
          </w:p>
        </w:tc>
      </w:tr>
      <w:tr w:rsidR="00B54587" w14:paraId="002710A4" w14:textId="77777777" w:rsidTr="0084778E">
        <w:trPr>
          <w:trHeight w:val="170"/>
        </w:trPr>
        <w:tc>
          <w:tcPr>
            <w:tcW w:w="1583" w:type="pct"/>
          </w:tcPr>
          <w:p w14:paraId="06FB33CD" w14:textId="350F4230" w:rsidR="00B54587" w:rsidRPr="009005D0" w:rsidRDefault="00B54587" w:rsidP="009005D0">
            <w:pPr>
              <w:spacing w:before="0" w:after="0"/>
              <w:contextualSpacing/>
              <w:rPr>
                <w:rFonts w:cstheme="minorHAnsi"/>
              </w:rPr>
            </w:pPr>
            <w:r w:rsidRPr="009005D0">
              <w:rPr>
                <w:rFonts w:cstheme="minorHAnsi"/>
              </w:rPr>
              <w:t>Disability Competent Care</w:t>
            </w:r>
          </w:p>
        </w:tc>
        <w:tc>
          <w:tcPr>
            <w:tcW w:w="2034" w:type="pct"/>
          </w:tcPr>
          <w:p w14:paraId="6DFEFC9D" w14:textId="0B462F21" w:rsidR="00B54587" w:rsidRPr="008D2634" w:rsidRDefault="006A55D1" w:rsidP="008D2634">
            <w:pPr>
              <w:spacing w:before="0" w:after="0"/>
              <w:rPr>
                <w:rFonts w:cstheme="minorHAnsi"/>
              </w:rPr>
            </w:pPr>
            <w:r w:rsidRPr="008D2634">
              <w:rPr>
                <w:rFonts w:cstheme="minorHAnsi"/>
              </w:rPr>
              <w:t>Disability Competent Care Training Report</w:t>
            </w:r>
          </w:p>
        </w:tc>
        <w:tc>
          <w:tcPr>
            <w:tcW w:w="1383" w:type="pct"/>
          </w:tcPr>
          <w:p w14:paraId="0BFB917B" w14:textId="24D1B558" w:rsidR="0084778E" w:rsidRDefault="0084778E" w:rsidP="008D2634">
            <w:pPr>
              <w:spacing w:before="0" w:after="0"/>
              <w:rPr>
                <w:rFonts w:cstheme="minorHAnsi"/>
              </w:rPr>
            </w:pPr>
            <w:r>
              <w:rPr>
                <w:rFonts w:cstheme="minorHAnsi"/>
              </w:rPr>
              <w:t>March 31, 2026</w:t>
            </w:r>
          </w:p>
        </w:tc>
      </w:tr>
      <w:tr w:rsidR="00B54587" w14:paraId="61A331AA" w14:textId="77777777" w:rsidTr="0084778E">
        <w:tc>
          <w:tcPr>
            <w:tcW w:w="1583" w:type="pct"/>
          </w:tcPr>
          <w:p w14:paraId="799DA44F" w14:textId="256B0295" w:rsidR="00B54587" w:rsidRPr="009005D0" w:rsidRDefault="00B54587" w:rsidP="009005D0">
            <w:pPr>
              <w:spacing w:before="0" w:after="0"/>
              <w:contextualSpacing/>
              <w:rPr>
                <w:rFonts w:cstheme="minorHAnsi"/>
              </w:rPr>
            </w:pPr>
            <w:r w:rsidRPr="009005D0">
              <w:rPr>
                <w:rFonts w:cstheme="minorHAnsi"/>
              </w:rPr>
              <w:t>Disability Accommodation Needs</w:t>
            </w:r>
          </w:p>
        </w:tc>
        <w:tc>
          <w:tcPr>
            <w:tcW w:w="2034" w:type="pct"/>
          </w:tcPr>
          <w:p w14:paraId="6A4680A6" w14:textId="4CD3F575" w:rsidR="00561F67" w:rsidRPr="009005D0" w:rsidRDefault="00193C11" w:rsidP="00761AF7">
            <w:pPr>
              <w:pStyle w:val="ListParagraph"/>
              <w:numPr>
                <w:ilvl w:val="0"/>
                <w:numId w:val="7"/>
              </w:numPr>
              <w:ind w:left="360"/>
              <w:rPr>
                <w:rFonts w:asciiTheme="minorHAnsi" w:hAnsiTheme="minorHAnsi" w:cstheme="minorHAnsi"/>
                <w:sz w:val="22"/>
                <w:szCs w:val="22"/>
              </w:rPr>
            </w:pPr>
            <w:r w:rsidRPr="009005D0">
              <w:rPr>
                <w:rFonts w:asciiTheme="minorHAnsi" w:hAnsiTheme="minorHAnsi" w:cstheme="minorHAnsi"/>
                <w:sz w:val="22"/>
                <w:szCs w:val="22"/>
              </w:rPr>
              <w:t>Disability</w:t>
            </w:r>
            <w:r w:rsidR="00561F67" w:rsidRPr="009005D0">
              <w:rPr>
                <w:rFonts w:asciiTheme="minorHAnsi" w:hAnsiTheme="minorHAnsi" w:cstheme="minorHAnsi"/>
                <w:sz w:val="22"/>
                <w:szCs w:val="22"/>
              </w:rPr>
              <w:t xml:space="preserve"> </w:t>
            </w:r>
            <w:r w:rsidRPr="009005D0">
              <w:rPr>
                <w:rFonts w:asciiTheme="minorHAnsi" w:hAnsiTheme="minorHAnsi" w:cstheme="minorHAnsi"/>
                <w:sz w:val="22"/>
                <w:szCs w:val="22"/>
              </w:rPr>
              <w:t>Accommodation</w:t>
            </w:r>
            <w:r w:rsidR="00561F67" w:rsidRPr="009005D0">
              <w:rPr>
                <w:rFonts w:asciiTheme="minorHAnsi" w:hAnsiTheme="minorHAnsi" w:cstheme="minorHAnsi"/>
                <w:sz w:val="22"/>
                <w:szCs w:val="22"/>
              </w:rPr>
              <w:t xml:space="preserve"> Needs Report </w:t>
            </w:r>
          </w:p>
          <w:p w14:paraId="2FB5533A" w14:textId="34D3D5D8" w:rsidR="00561F67" w:rsidRPr="009005D0" w:rsidRDefault="00FC60A1" w:rsidP="00761AF7">
            <w:pPr>
              <w:pStyle w:val="ListParagraph"/>
              <w:numPr>
                <w:ilvl w:val="0"/>
                <w:numId w:val="7"/>
              </w:numPr>
              <w:ind w:left="360"/>
              <w:rPr>
                <w:rFonts w:asciiTheme="minorHAnsi" w:hAnsiTheme="minorHAnsi" w:cstheme="minorHAnsi"/>
                <w:sz w:val="22"/>
                <w:szCs w:val="22"/>
              </w:rPr>
            </w:pPr>
            <w:r>
              <w:rPr>
                <w:rFonts w:asciiTheme="minorHAnsi" w:hAnsiTheme="minorHAnsi" w:cstheme="minorHAnsi"/>
                <w:sz w:val="22"/>
                <w:szCs w:val="22"/>
              </w:rPr>
              <w:t xml:space="preserve">Submission of </w:t>
            </w:r>
            <w:proofErr w:type="gramStart"/>
            <w:r>
              <w:rPr>
                <w:rFonts w:asciiTheme="minorHAnsi" w:hAnsiTheme="minorHAnsi" w:cstheme="minorHAnsi"/>
                <w:sz w:val="22"/>
                <w:szCs w:val="22"/>
              </w:rPr>
              <w:t>a Disability</w:t>
            </w:r>
            <w:proofErr w:type="gramEnd"/>
            <w:r>
              <w:rPr>
                <w:rFonts w:asciiTheme="minorHAnsi" w:hAnsiTheme="minorHAnsi" w:cstheme="minorHAnsi"/>
                <w:sz w:val="22"/>
                <w:szCs w:val="22"/>
              </w:rPr>
              <w:t xml:space="preserve"> Accommodation Needs Screening </w:t>
            </w:r>
            <w:r w:rsidR="00561F67" w:rsidRPr="009005D0">
              <w:rPr>
                <w:rFonts w:asciiTheme="minorHAnsi" w:hAnsiTheme="minorHAnsi" w:cstheme="minorHAnsi"/>
                <w:sz w:val="22"/>
                <w:szCs w:val="22"/>
              </w:rPr>
              <w:t>Supplemental Data File</w:t>
            </w:r>
          </w:p>
        </w:tc>
        <w:tc>
          <w:tcPr>
            <w:tcW w:w="1383" w:type="pct"/>
          </w:tcPr>
          <w:p w14:paraId="5DA524B4" w14:textId="77777777" w:rsidR="00FD09C8" w:rsidRPr="0084778E" w:rsidRDefault="0084778E" w:rsidP="00761AF7">
            <w:pPr>
              <w:pStyle w:val="ListParagraph"/>
              <w:numPr>
                <w:ilvl w:val="0"/>
                <w:numId w:val="14"/>
              </w:numPr>
              <w:rPr>
                <w:rFonts w:asciiTheme="minorHAnsi" w:hAnsiTheme="minorHAnsi" w:cstheme="minorHAnsi"/>
                <w:sz w:val="22"/>
                <w:szCs w:val="22"/>
              </w:rPr>
            </w:pPr>
            <w:r w:rsidRPr="0084778E">
              <w:rPr>
                <w:rFonts w:asciiTheme="minorHAnsi" w:hAnsiTheme="minorHAnsi" w:cstheme="minorHAnsi"/>
                <w:sz w:val="22"/>
                <w:szCs w:val="22"/>
              </w:rPr>
              <w:t>March 31, 2026</w:t>
            </w:r>
          </w:p>
          <w:p w14:paraId="7A47103F" w14:textId="1E39E168" w:rsidR="0084778E" w:rsidRPr="0084778E" w:rsidRDefault="0084778E" w:rsidP="00761AF7">
            <w:pPr>
              <w:pStyle w:val="ListParagraph"/>
              <w:numPr>
                <w:ilvl w:val="0"/>
                <w:numId w:val="14"/>
              </w:numPr>
              <w:rPr>
                <w:rFonts w:asciiTheme="minorHAnsi" w:hAnsiTheme="minorHAnsi" w:cstheme="minorHAnsi"/>
                <w:sz w:val="22"/>
                <w:szCs w:val="22"/>
              </w:rPr>
            </w:pPr>
            <w:r w:rsidRPr="0084778E">
              <w:rPr>
                <w:rFonts w:asciiTheme="minorHAnsi" w:hAnsiTheme="minorHAnsi" w:cstheme="minorHAnsi"/>
                <w:sz w:val="22"/>
                <w:szCs w:val="22"/>
              </w:rPr>
              <w:t>June 30, 2026</w:t>
            </w:r>
          </w:p>
        </w:tc>
      </w:tr>
      <w:tr w:rsidR="00B54587" w14:paraId="3A662F0A" w14:textId="77777777" w:rsidTr="0084778E">
        <w:tc>
          <w:tcPr>
            <w:tcW w:w="1583" w:type="pct"/>
            <w:shd w:val="clear" w:color="auto" w:fill="E7EDF3" w:themeFill="accent3" w:themeFillTint="33"/>
          </w:tcPr>
          <w:p w14:paraId="34323AE7" w14:textId="154ECB20" w:rsidR="00B54587" w:rsidRPr="009005D0" w:rsidRDefault="00B54587" w:rsidP="009005D0">
            <w:pPr>
              <w:spacing w:before="0" w:after="0"/>
              <w:contextualSpacing/>
              <w:rPr>
                <w:rFonts w:cstheme="minorHAnsi"/>
              </w:rPr>
            </w:pPr>
            <w:r w:rsidRPr="009005D0">
              <w:rPr>
                <w:rFonts w:cstheme="minorHAnsi"/>
                <w:b/>
              </w:rPr>
              <w:t xml:space="preserve">Domain 3: Capacity and Collaboration </w:t>
            </w:r>
          </w:p>
        </w:tc>
        <w:tc>
          <w:tcPr>
            <w:tcW w:w="2034" w:type="pct"/>
            <w:shd w:val="clear" w:color="auto" w:fill="E7EDF3" w:themeFill="accent3" w:themeFillTint="33"/>
          </w:tcPr>
          <w:p w14:paraId="060A87D0" w14:textId="77777777" w:rsidR="00B54587" w:rsidRPr="009005D0" w:rsidRDefault="00B54587" w:rsidP="009005D0">
            <w:pPr>
              <w:spacing w:before="0" w:after="0"/>
              <w:contextualSpacing/>
              <w:rPr>
                <w:rFonts w:cstheme="minorHAnsi"/>
              </w:rPr>
            </w:pPr>
          </w:p>
        </w:tc>
        <w:tc>
          <w:tcPr>
            <w:tcW w:w="1383" w:type="pct"/>
            <w:shd w:val="clear" w:color="auto" w:fill="E7EDF3" w:themeFill="accent3" w:themeFillTint="33"/>
          </w:tcPr>
          <w:p w14:paraId="7DE14A9B" w14:textId="77777777" w:rsidR="00FD09C8" w:rsidRPr="009005D0" w:rsidRDefault="00FD09C8" w:rsidP="009005D0">
            <w:pPr>
              <w:spacing w:before="0" w:after="0"/>
              <w:contextualSpacing/>
              <w:rPr>
                <w:rFonts w:cstheme="minorHAnsi"/>
              </w:rPr>
            </w:pPr>
          </w:p>
        </w:tc>
      </w:tr>
      <w:tr w:rsidR="00B54587" w14:paraId="446BAD5B" w14:textId="77777777" w:rsidTr="0084778E">
        <w:tc>
          <w:tcPr>
            <w:tcW w:w="1583" w:type="pct"/>
          </w:tcPr>
          <w:p w14:paraId="0830931B" w14:textId="71E64F3A" w:rsidR="00B54587" w:rsidRPr="00F91C0A" w:rsidRDefault="00B54587" w:rsidP="009005D0">
            <w:pPr>
              <w:spacing w:before="0" w:after="0"/>
              <w:contextualSpacing/>
              <w:rPr>
                <w:rFonts w:cstheme="minorHAnsi"/>
                <w:b/>
              </w:rPr>
            </w:pPr>
            <w:r w:rsidRPr="00F91C0A">
              <w:rPr>
                <w:rFonts w:cstheme="minorHAnsi"/>
              </w:rPr>
              <w:t>Patient Experience: Communication, Courtesy, and Respect</w:t>
            </w:r>
          </w:p>
        </w:tc>
        <w:tc>
          <w:tcPr>
            <w:tcW w:w="2034" w:type="pct"/>
          </w:tcPr>
          <w:p w14:paraId="1DADE90F" w14:textId="6D637791" w:rsidR="00193C11" w:rsidRPr="00F91C0A" w:rsidRDefault="00193C11" w:rsidP="00761AF7">
            <w:pPr>
              <w:pStyle w:val="ListParagraph"/>
              <w:numPr>
                <w:ilvl w:val="0"/>
                <w:numId w:val="8"/>
              </w:numPr>
              <w:ind w:left="360"/>
              <w:rPr>
                <w:rFonts w:asciiTheme="minorHAnsi" w:hAnsiTheme="minorHAnsi" w:cstheme="minorHAnsi"/>
                <w:sz w:val="22"/>
                <w:szCs w:val="22"/>
              </w:rPr>
            </w:pPr>
            <w:r w:rsidRPr="00F91C0A">
              <w:rPr>
                <w:rFonts w:asciiTheme="minorHAnsi" w:hAnsiTheme="minorHAnsi" w:cstheme="minorHAnsi"/>
                <w:sz w:val="22"/>
                <w:szCs w:val="22"/>
              </w:rPr>
              <w:t>Patient Experience Survey Practices Questionnaire</w:t>
            </w:r>
          </w:p>
          <w:p w14:paraId="4A88369E" w14:textId="1AC4728C" w:rsidR="00193C11" w:rsidRPr="00F91C0A" w:rsidRDefault="00F91C0A" w:rsidP="00761AF7">
            <w:pPr>
              <w:pStyle w:val="ListParagraph"/>
              <w:numPr>
                <w:ilvl w:val="0"/>
                <w:numId w:val="8"/>
              </w:numPr>
              <w:ind w:left="360"/>
              <w:rPr>
                <w:rFonts w:asciiTheme="minorHAnsi" w:hAnsiTheme="minorHAnsi" w:cstheme="minorHAnsi"/>
                <w:sz w:val="22"/>
                <w:szCs w:val="22"/>
              </w:rPr>
            </w:pPr>
            <w:r w:rsidRPr="00F91C0A">
              <w:rPr>
                <w:rFonts w:asciiTheme="minorHAnsi" w:hAnsiTheme="minorHAnsi" w:cstheme="minorHAnsi"/>
                <w:sz w:val="22"/>
                <w:szCs w:val="22"/>
              </w:rPr>
              <w:t>Patient Experience</w:t>
            </w:r>
            <w:r w:rsidR="00193C11" w:rsidRPr="00F91C0A">
              <w:rPr>
                <w:rFonts w:asciiTheme="minorHAnsi" w:hAnsiTheme="minorHAnsi" w:cstheme="minorHAnsi"/>
                <w:sz w:val="22"/>
                <w:szCs w:val="22"/>
              </w:rPr>
              <w:t xml:space="preserve"> Shared Learning Event</w:t>
            </w:r>
          </w:p>
        </w:tc>
        <w:tc>
          <w:tcPr>
            <w:tcW w:w="1383" w:type="pct"/>
          </w:tcPr>
          <w:p w14:paraId="5505DE20" w14:textId="597B1370" w:rsidR="00FD09C8" w:rsidRDefault="0084778E" w:rsidP="00761AF7">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January 31, 2026</w:t>
            </w:r>
          </w:p>
          <w:p w14:paraId="721A4EAC" w14:textId="56100BE2" w:rsidR="0084778E" w:rsidRDefault="0084778E" w:rsidP="00761AF7">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Q4 of 2025</w:t>
            </w:r>
          </w:p>
        </w:tc>
      </w:tr>
    </w:tbl>
    <w:p w14:paraId="00C9B7DC" w14:textId="5970B646" w:rsidR="00833FD2" w:rsidRDefault="00267698" w:rsidP="00705A90">
      <w:pPr>
        <w:pStyle w:val="Heading2"/>
      </w:pPr>
      <w:bookmarkStart w:id="28" w:name="_Toc197680243"/>
      <w:r>
        <w:t>4.</w:t>
      </w:r>
      <w:r w:rsidR="00C44C63">
        <w:t>3</w:t>
      </w:r>
      <w:r w:rsidR="00C40CF3">
        <w:t xml:space="preserve">. CQEIP </w:t>
      </w:r>
      <w:r w:rsidR="000965BC">
        <w:t>PY</w:t>
      </w:r>
      <w:r w:rsidR="00C40CF3">
        <w:t>2-5</w:t>
      </w:r>
      <w:r w:rsidR="000965BC">
        <w:t xml:space="preserve"> Payment Methodology and Schedule</w:t>
      </w:r>
      <w:bookmarkEnd w:id="28"/>
    </w:p>
    <w:p w14:paraId="25FB0509" w14:textId="27779A47" w:rsidR="00C46851" w:rsidRDefault="00D269A5" w:rsidP="00D269A5">
      <w:pPr>
        <w:pStyle w:val="Heading3"/>
      </w:pPr>
      <w:bookmarkStart w:id="29" w:name="_Toc197680244"/>
      <w:r>
        <w:t>4.</w:t>
      </w:r>
      <w:r w:rsidR="00C44C63">
        <w:t>3</w:t>
      </w:r>
      <w:r>
        <w:t>.1</w:t>
      </w:r>
      <w:r w:rsidR="00A01DD6">
        <w:t xml:space="preserve"> </w:t>
      </w:r>
      <w:r w:rsidR="00C46851">
        <w:t>Payment Methodology</w:t>
      </w:r>
      <w:bookmarkEnd w:id="29"/>
    </w:p>
    <w:p w14:paraId="65706FC9" w14:textId="720C79E1" w:rsidR="006E7FBE" w:rsidRDefault="000965BC" w:rsidP="000965BC">
      <w:r w:rsidRPr="000965BC">
        <w:t xml:space="preserve">The </w:t>
      </w:r>
      <w:r w:rsidR="00540BD9">
        <w:t xml:space="preserve">annual </w:t>
      </w:r>
      <w:r w:rsidRPr="000965BC">
        <w:t xml:space="preserve">total maximum eligible incentive payment pool for the CQEIP across all CBHCs </w:t>
      </w:r>
      <w:r w:rsidR="00AA2058">
        <w:t xml:space="preserve">per </w:t>
      </w:r>
      <w:r w:rsidRPr="000965BC">
        <w:t>year is $8.5 million</w:t>
      </w:r>
      <w:r>
        <w:t>.</w:t>
      </w:r>
      <w:r w:rsidR="00977D3A">
        <w:t xml:space="preserve"> </w:t>
      </w:r>
      <w:r w:rsidR="00F040DF">
        <w:t>Of the $8.5 millio</w:t>
      </w:r>
      <w:r w:rsidR="00D76D8A">
        <w:t>n, each CBHC TIN-billing entity’s</w:t>
      </w:r>
      <w:r w:rsidR="00736A2E">
        <w:t xml:space="preserve"> </w:t>
      </w:r>
      <w:r w:rsidR="00736A2E" w:rsidRPr="00736A2E">
        <w:rPr>
          <w:b/>
          <w:bCs/>
        </w:rPr>
        <w:t>individual</w:t>
      </w:r>
      <w:r w:rsidR="00D76D8A" w:rsidRPr="00736A2E">
        <w:rPr>
          <w:b/>
          <w:bCs/>
        </w:rPr>
        <w:t xml:space="preserve"> maximum eligible incentive amount </w:t>
      </w:r>
      <w:r w:rsidR="00D76D8A">
        <w:t>will be based on their relative proportion of unique MassHealth members served in the previous performance year</w:t>
      </w:r>
      <w:r w:rsidR="00933F7F">
        <w:t xml:space="preserve">. </w:t>
      </w:r>
      <w:r w:rsidR="00D76D8A">
        <w:t>For</w:t>
      </w:r>
      <w:r w:rsidR="00933F7F">
        <w:t xml:space="preserve"> example, for</w:t>
      </w:r>
      <w:r w:rsidR="00D76D8A">
        <w:t xml:space="preserve"> PY2 (2025), each CBHC TIN-billing entity’s maximum </w:t>
      </w:r>
      <w:r w:rsidR="00D76D8A">
        <w:lastRenderedPageBreak/>
        <w:t xml:space="preserve">eligible incentive amount will be based on their relative proportion of unique MassHealth members served from </w:t>
      </w:r>
      <w:r w:rsidR="00D45ACA">
        <w:t>01/01/24 to 12/31/24</w:t>
      </w:r>
      <w:r w:rsidR="00D76D8A">
        <w:t xml:space="preserve">. </w:t>
      </w:r>
      <w:r w:rsidR="00EA2848">
        <w:t xml:space="preserve">Each CBHC’s TIN-billing entity may earn their respective maximum eligible incentive amount based on </w:t>
      </w:r>
      <w:r w:rsidR="00D8044B">
        <w:t xml:space="preserve">their </w:t>
      </w:r>
      <w:r w:rsidR="00CA0220">
        <w:t xml:space="preserve">final </w:t>
      </w:r>
      <w:r w:rsidR="00EF0DE7">
        <w:t xml:space="preserve">health equity </w:t>
      </w:r>
      <w:r w:rsidR="00E814FD">
        <w:t xml:space="preserve">score (as described in </w:t>
      </w:r>
      <w:r w:rsidR="00E65F44">
        <w:t>S</w:t>
      </w:r>
      <w:r w:rsidR="00E814FD">
        <w:t xml:space="preserve">ection </w:t>
      </w:r>
      <w:r w:rsidR="00E65F44">
        <w:t>4.</w:t>
      </w:r>
      <w:r w:rsidR="00C44C63">
        <w:t>4</w:t>
      </w:r>
      <w:r w:rsidR="00E814FD">
        <w:t>)</w:t>
      </w:r>
      <w:r w:rsidR="00EF0DE7">
        <w:t xml:space="preserve"> and successfully </w:t>
      </w:r>
      <w:proofErr w:type="gramStart"/>
      <w:r w:rsidR="00EF0DE7">
        <w:t>meeting</w:t>
      </w:r>
      <w:proofErr w:type="gramEnd"/>
      <w:r w:rsidR="00EF0DE7">
        <w:t xml:space="preserve"> </w:t>
      </w:r>
      <w:r w:rsidR="008D1344">
        <w:t>Conditions of Participation reporting requirements</w:t>
      </w:r>
      <w:r w:rsidR="00AD1C86">
        <w:t xml:space="preserve">. If the reporting requirements for any Condition of Participation requirement are not met, </w:t>
      </w:r>
      <w:proofErr w:type="gramStart"/>
      <w:r w:rsidR="00AD1C86">
        <w:t>the CBHC</w:t>
      </w:r>
      <w:proofErr w:type="gramEnd"/>
      <w:r w:rsidR="00AD1C86">
        <w:t xml:space="preserve"> is ineligible to earn their </w:t>
      </w:r>
      <w:r w:rsidR="0054491A">
        <w:t>total</w:t>
      </w:r>
      <w:r w:rsidR="00AD1C86">
        <w:t xml:space="preserve"> CQEIP incentive payment.</w:t>
      </w:r>
    </w:p>
    <w:p w14:paraId="6574B2D0" w14:textId="1C54685E" w:rsidR="00C46851" w:rsidRDefault="00D269A5" w:rsidP="00D269A5">
      <w:pPr>
        <w:pStyle w:val="Heading3"/>
      </w:pPr>
      <w:bookmarkStart w:id="30" w:name="_Toc197680245"/>
      <w:r>
        <w:t>4.</w:t>
      </w:r>
      <w:r w:rsidR="00C44C63">
        <w:t>3</w:t>
      </w:r>
      <w:r>
        <w:t>.2.</w:t>
      </w:r>
      <w:r w:rsidR="00A01DD6">
        <w:t xml:space="preserve"> </w:t>
      </w:r>
      <w:r w:rsidR="00C46851">
        <w:t>Payment Schedule</w:t>
      </w:r>
      <w:bookmarkEnd w:id="30"/>
    </w:p>
    <w:p w14:paraId="6BE1905F" w14:textId="77777777" w:rsidR="00021ABD" w:rsidRDefault="00021ABD" w:rsidP="00577C07">
      <w:pPr>
        <w:pStyle w:val="Heading4"/>
      </w:pPr>
      <w:r>
        <w:t>CQEIP Performance Year 2 Payment Schedule</w:t>
      </w:r>
    </w:p>
    <w:p w14:paraId="441CDC0E" w14:textId="664B2544" w:rsidR="004A3ED6" w:rsidRDefault="00021ABD" w:rsidP="00300291">
      <w:pPr>
        <w:rPr>
          <w:rFonts w:cstheme="minorHAnsi"/>
        </w:rPr>
      </w:pPr>
      <w:r>
        <w:rPr>
          <w:rFonts w:cstheme="minorHAnsi"/>
        </w:rPr>
        <w:t xml:space="preserve">In PY2 for the CQEIP, CBHCs will receive both an interim payment and a final reconciliation payment or recoupment payment. </w:t>
      </w:r>
    </w:p>
    <w:p w14:paraId="0967B270" w14:textId="35D0639A" w:rsidR="00021ABD" w:rsidRPr="00A10B4D" w:rsidRDefault="00021ABD" w:rsidP="00761AF7">
      <w:pPr>
        <w:pStyle w:val="ListParagraph"/>
        <w:numPr>
          <w:ilvl w:val="0"/>
          <w:numId w:val="9"/>
        </w:numPr>
        <w:rPr>
          <w:rFonts w:asciiTheme="minorHAnsi" w:hAnsiTheme="minorHAnsi" w:cstheme="minorHAnsi"/>
          <w:sz w:val="22"/>
          <w:szCs w:val="22"/>
        </w:rPr>
      </w:pPr>
      <w:r w:rsidRPr="00A10B4D">
        <w:rPr>
          <w:rFonts w:asciiTheme="minorHAnsi" w:hAnsiTheme="minorHAnsi" w:cstheme="minorHAnsi"/>
          <w:sz w:val="22"/>
          <w:szCs w:val="22"/>
          <w:u w:val="single"/>
        </w:rPr>
        <w:t>Interim Payment:</w:t>
      </w:r>
      <w:r w:rsidRPr="00A10B4D">
        <w:rPr>
          <w:rFonts w:asciiTheme="minorHAnsi" w:hAnsiTheme="minorHAnsi" w:cstheme="minorHAnsi"/>
          <w:sz w:val="22"/>
          <w:szCs w:val="22"/>
        </w:rPr>
        <w:t xml:space="preserve"> Each CBHC TIN-Billing Entity will receive 50% of their </w:t>
      </w:r>
      <w:r w:rsidRPr="00A10B4D">
        <w:rPr>
          <w:rFonts w:asciiTheme="minorHAnsi" w:hAnsiTheme="minorHAnsi" w:cstheme="minorHAnsi"/>
          <w:b/>
          <w:bCs/>
          <w:sz w:val="22"/>
          <w:szCs w:val="22"/>
        </w:rPr>
        <w:t xml:space="preserve">individual maximum eligible incentive amount </w:t>
      </w:r>
      <w:r w:rsidRPr="00A10B4D">
        <w:rPr>
          <w:rFonts w:asciiTheme="minorHAnsi" w:hAnsiTheme="minorHAnsi" w:cstheme="minorHAnsi"/>
          <w:sz w:val="22"/>
          <w:szCs w:val="22"/>
        </w:rPr>
        <w:t xml:space="preserve">as described </w:t>
      </w:r>
      <w:r w:rsidR="008B3B48">
        <w:rPr>
          <w:rFonts w:asciiTheme="minorHAnsi" w:hAnsiTheme="minorHAnsi" w:cstheme="minorHAnsi"/>
          <w:sz w:val="22"/>
          <w:szCs w:val="22"/>
        </w:rPr>
        <w:t>in section 4.3.1 above</w:t>
      </w:r>
      <w:r w:rsidRPr="00A10B4D">
        <w:rPr>
          <w:rFonts w:asciiTheme="minorHAnsi" w:hAnsiTheme="minorHAnsi" w:cstheme="minorHAnsi"/>
          <w:sz w:val="22"/>
          <w:szCs w:val="22"/>
        </w:rPr>
        <w:t>. This amount will be paid out to each CBHC by the Managed Care Entity (MCE) plans, proportional to the unique MCE MassHealth members served by each CBHC during the previous performance year</w:t>
      </w:r>
      <w:r w:rsidR="00577C07">
        <w:rPr>
          <w:rFonts w:asciiTheme="minorHAnsi" w:hAnsiTheme="minorHAnsi" w:cstheme="minorHAnsi"/>
          <w:sz w:val="22"/>
          <w:szCs w:val="22"/>
        </w:rPr>
        <w:t xml:space="preserve"> (2024)</w:t>
      </w:r>
      <w:r>
        <w:rPr>
          <w:rFonts w:asciiTheme="minorHAnsi" w:hAnsiTheme="minorHAnsi" w:cstheme="minorHAnsi"/>
          <w:sz w:val="22"/>
          <w:szCs w:val="22"/>
        </w:rPr>
        <w:t>.</w:t>
      </w:r>
    </w:p>
    <w:p w14:paraId="6A3533DF" w14:textId="44538D9C" w:rsidR="00021ABD" w:rsidRPr="00A10B4D" w:rsidRDefault="00021ABD" w:rsidP="00761AF7">
      <w:pPr>
        <w:pStyle w:val="ListParagraph"/>
        <w:numPr>
          <w:ilvl w:val="0"/>
          <w:numId w:val="9"/>
        </w:numPr>
        <w:rPr>
          <w:rFonts w:asciiTheme="minorHAnsi" w:hAnsiTheme="minorHAnsi" w:cstheme="minorHAnsi"/>
          <w:sz w:val="22"/>
          <w:szCs w:val="22"/>
        </w:rPr>
      </w:pPr>
      <w:r w:rsidRPr="00A10B4D">
        <w:rPr>
          <w:rFonts w:asciiTheme="minorHAnsi" w:hAnsiTheme="minorHAnsi" w:cstheme="minorHAnsi"/>
          <w:sz w:val="22"/>
          <w:szCs w:val="22"/>
          <w:u w:val="single"/>
        </w:rPr>
        <w:t>Final Reconciliation/Recoupment Payment:</w:t>
      </w:r>
      <w:r w:rsidRPr="00A10B4D">
        <w:rPr>
          <w:rFonts w:asciiTheme="minorHAnsi" w:hAnsiTheme="minorHAnsi" w:cstheme="minorHAnsi"/>
          <w:sz w:val="22"/>
          <w:szCs w:val="22"/>
        </w:rPr>
        <w:t xml:space="preserve"> When the Health Equity performance score is calculated for each CBHC for the performance year, CBHCs will either be paid, or required to return, the difference between the interim payment and the final calculated </w:t>
      </w:r>
      <w:r w:rsidRPr="00A10B4D">
        <w:rPr>
          <w:rFonts w:asciiTheme="minorHAnsi" w:hAnsiTheme="minorHAnsi" w:cstheme="minorHAnsi"/>
          <w:b/>
          <w:bCs/>
          <w:sz w:val="22"/>
          <w:szCs w:val="22"/>
        </w:rPr>
        <w:t>earned incentive amount</w:t>
      </w:r>
      <w:r w:rsidRPr="00A10B4D">
        <w:rPr>
          <w:rFonts w:asciiTheme="minorHAnsi" w:hAnsiTheme="minorHAnsi" w:cstheme="minorHAnsi"/>
          <w:sz w:val="22"/>
          <w:szCs w:val="22"/>
        </w:rPr>
        <w:t>. If CBHCs do not</w:t>
      </w:r>
      <w:r w:rsidRPr="00A10B4D">
        <w:rPr>
          <w:rFonts w:asciiTheme="minorHAnsi" w:hAnsiTheme="minorHAnsi" w:cstheme="minorHAnsi"/>
          <w:spacing w:val="-2"/>
          <w:sz w:val="22"/>
          <w:szCs w:val="22"/>
        </w:rPr>
        <w:t xml:space="preserve"> </w:t>
      </w:r>
      <w:r w:rsidRPr="00A10B4D">
        <w:rPr>
          <w:rFonts w:asciiTheme="minorHAnsi" w:hAnsiTheme="minorHAnsi" w:cstheme="minorHAnsi"/>
          <w:sz w:val="22"/>
          <w:szCs w:val="22"/>
        </w:rPr>
        <w:t>earn an amount</w:t>
      </w:r>
      <w:r w:rsidRPr="00A10B4D">
        <w:rPr>
          <w:rFonts w:asciiTheme="minorHAnsi" w:hAnsiTheme="minorHAnsi" w:cstheme="minorHAnsi"/>
          <w:spacing w:val="-2"/>
          <w:sz w:val="22"/>
          <w:szCs w:val="22"/>
        </w:rPr>
        <w:t xml:space="preserve"> </w:t>
      </w:r>
      <w:r w:rsidRPr="00A10B4D">
        <w:rPr>
          <w:rFonts w:asciiTheme="minorHAnsi" w:hAnsiTheme="minorHAnsi" w:cstheme="minorHAnsi"/>
          <w:sz w:val="22"/>
          <w:szCs w:val="22"/>
        </w:rPr>
        <w:t>equal to or greater than their interim</w:t>
      </w:r>
      <w:r w:rsidRPr="00A10B4D">
        <w:rPr>
          <w:rFonts w:asciiTheme="minorHAnsi" w:hAnsiTheme="minorHAnsi" w:cstheme="minorHAnsi"/>
          <w:spacing w:val="-6"/>
          <w:sz w:val="22"/>
          <w:szCs w:val="22"/>
        </w:rPr>
        <w:t xml:space="preserve"> </w:t>
      </w:r>
      <w:r w:rsidRPr="00A10B4D">
        <w:rPr>
          <w:rFonts w:asciiTheme="minorHAnsi" w:hAnsiTheme="minorHAnsi" w:cstheme="minorHAnsi"/>
          <w:sz w:val="22"/>
          <w:szCs w:val="22"/>
        </w:rPr>
        <w:t>estimated</w:t>
      </w:r>
      <w:r w:rsidRPr="00A10B4D">
        <w:rPr>
          <w:rFonts w:asciiTheme="minorHAnsi" w:hAnsiTheme="minorHAnsi" w:cstheme="minorHAnsi"/>
          <w:spacing w:val="-3"/>
          <w:sz w:val="22"/>
          <w:szCs w:val="22"/>
        </w:rPr>
        <w:t xml:space="preserve"> </w:t>
      </w:r>
      <w:r w:rsidRPr="00A10B4D">
        <w:rPr>
          <w:rFonts w:asciiTheme="minorHAnsi" w:hAnsiTheme="minorHAnsi" w:cstheme="minorHAnsi"/>
          <w:sz w:val="22"/>
          <w:szCs w:val="22"/>
        </w:rPr>
        <w:t>payments,</w:t>
      </w:r>
      <w:r w:rsidRPr="00A10B4D">
        <w:rPr>
          <w:rFonts w:asciiTheme="minorHAnsi" w:hAnsiTheme="minorHAnsi" w:cstheme="minorHAnsi"/>
          <w:spacing w:val="-3"/>
          <w:sz w:val="22"/>
          <w:szCs w:val="22"/>
        </w:rPr>
        <w:t xml:space="preserve"> </w:t>
      </w:r>
      <w:r w:rsidRPr="00A10B4D">
        <w:rPr>
          <w:rFonts w:asciiTheme="minorHAnsi" w:hAnsiTheme="minorHAnsi" w:cstheme="minorHAnsi"/>
          <w:sz w:val="22"/>
          <w:szCs w:val="22"/>
        </w:rPr>
        <w:t>the</w:t>
      </w:r>
      <w:r w:rsidRPr="00A10B4D">
        <w:rPr>
          <w:rFonts w:asciiTheme="minorHAnsi" w:hAnsiTheme="minorHAnsi" w:cstheme="minorHAnsi"/>
          <w:spacing w:val="-6"/>
          <w:sz w:val="22"/>
          <w:szCs w:val="22"/>
        </w:rPr>
        <w:t xml:space="preserve"> </w:t>
      </w:r>
      <w:r w:rsidRPr="00A10B4D">
        <w:rPr>
          <w:rFonts w:asciiTheme="minorHAnsi" w:hAnsiTheme="minorHAnsi" w:cstheme="minorHAnsi"/>
          <w:sz w:val="22"/>
          <w:szCs w:val="22"/>
        </w:rPr>
        <w:t>payment</w:t>
      </w:r>
      <w:r w:rsidRPr="00A10B4D">
        <w:rPr>
          <w:rFonts w:asciiTheme="minorHAnsi" w:hAnsiTheme="minorHAnsi" w:cstheme="minorHAnsi"/>
          <w:spacing w:val="-6"/>
          <w:sz w:val="22"/>
          <w:szCs w:val="22"/>
        </w:rPr>
        <w:t xml:space="preserve"> </w:t>
      </w:r>
      <w:r w:rsidRPr="00A10B4D">
        <w:rPr>
          <w:rFonts w:asciiTheme="minorHAnsi" w:hAnsiTheme="minorHAnsi" w:cstheme="minorHAnsi"/>
          <w:sz w:val="22"/>
          <w:szCs w:val="22"/>
        </w:rPr>
        <w:t>will</w:t>
      </w:r>
      <w:r w:rsidRPr="00A10B4D">
        <w:rPr>
          <w:rFonts w:asciiTheme="minorHAnsi" w:hAnsiTheme="minorHAnsi" w:cstheme="minorHAnsi"/>
          <w:spacing w:val="-6"/>
          <w:sz w:val="22"/>
          <w:szCs w:val="22"/>
        </w:rPr>
        <w:t xml:space="preserve"> </w:t>
      </w:r>
      <w:r w:rsidRPr="00A10B4D">
        <w:rPr>
          <w:rFonts w:asciiTheme="minorHAnsi" w:hAnsiTheme="minorHAnsi" w:cstheme="minorHAnsi"/>
          <w:sz w:val="22"/>
          <w:szCs w:val="22"/>
        </w:rPr>
        <w:t>be</w:t>
      </w:r>
      <w:r w:rsidRPr="00A10B4D">
        <w:rPr>
          <w:rFonts w:asciiTheme="minorHAnsi" w:hAnsiTheme="minorHAnsi" w:cstheme="minorHAnsi"/>
          <w:spacing w:val="-6"/>
          <w:sz w:val="22"/>
          <w:szCs w:val="22"/>
        </w:rPr>
        <w:t xml:space="preserve"> </w:t>
      </w:r>
      <w:r w:rsidRPr="00A10B4D">
        <w:rPr>
          <w:rFonts w:asciiTheme="minorHAnsi" w:hAnsiTheme="minorHAnsi" w:cstheme="minorHAnsi"/>
          <w:sz w:val="22"/>
          <w:szCs w:val="22"/>
        </w:rPr>
        <w:t>recouped</w:t>
      </w:r>
      <w:r w:rsidRPr="00A10B4D">
        <w:rPr>
          <w:rFonts w:asciiTheme="minorHAnsi" w:hAnsiTheme="minorHAnsi" w:cstheme="minorHAnsi"/>
          <w:spacing w:val="-1"/>
          <w:sz w:val="22"/>
          <w:szCs w:val="22"/>
        </w:rPr>
        <w:t xml:space="preserve"> </w:t>
      </w:r>
      <w:r w:rsidRPr="00A10B4D">
        <w:rPr>
          <w:rFonts w:asciiTheme="minorHAnsi" w:hAnsiTheme="minorHAnsi" w:cstheme="minorHAnsi"/>
          <w:sz w:val="22"/>
          <w:szCs w:val="22"/>
        </w:rPr>
        <w:t>based</w:t>
      </w:r>
      <w:r w:rsidRPr="00A10B4D">
        <w:rPr>
          <w:rFonts w:asciiTheme="minorHAnsi" w:hAnsiTheme="minorHAnsi" w:cstheme="minorHAnsi"/>
          <w:spacing w:val="-4"/>
          <w:sz w:val="22"/>
          <w:szCs w:val="22"/>
        </w:rPr>
        <w:t xml:space="preserve"> </w:t>
      </w:r>
      <w:r w:rsidRPr="00A10B4D">
        <w:rPr>
          <w:rFonts w:asciiTheme="minorHAnsi" w:hAnsiTheme="minorHAnsi" w:cstheme="minorHAnsi"/>
          <w:sz w:val="22"/>
          <w:szCs w:val="22"/>
        </w:rPr>
        <w:t>on</w:t>
      </w:r>
      <w:r w:rsidRPr="00A10B4D">
        <w:rPr>
          <w:rFonts w:asciiTheme="minorHAnsi" w:hAnsiTheme="minorHAnsi" w:cstheme="minorHAnsi"/>
          <w:spacing w:val="-4"/>
          <w:sz w:val="22"/>
          <w:szCs w:val="22"/>
        </w:rPr>
        <w:t xml:space="preserve"> </w:t>
      </w:r>
      <w:r w:rsidRPr="00A10B4D">
        <w:rPr>
          <w:rFonts w:asciiTheme="minorHAnsi" w:hAnsiTheme="minorHAnsi" w:cstheme="minorHAnsi"/>
          <w:sz w:val="22"/>
          <w:szCs w:val="22"/>
        </w:rPr>
        <w:t>final</w:t>
      </w:r>
      <w:r w:rsidRPr="00A10B4D">
        <w:rPr>
          <w:rFonts w:asciiTheme="minorHAnsi" w:hAnsiTheme="minorHAnsi" w:cstheme="minorHAnsi"/>
          <w:spacing w:val="-6"/>
          <w:sz w:val="22"/>
          <w:szCs w:val="22"/>
        </w:rPr>
        <w:t xml:space="preserve"> </w:t>
      </w:r>
      <w:r w:rsidRPr="00A10B4D">
        <w:rPr>
          <w:rFonts w:asciiTheme="minorHAnsi" w:hAnsiTheme="minorHAnsi" w:cstheme="minorHAnsi"/>
          <w:sz w:val="22"/>
          <w:szCs w:val="22"/>
        </w:rPr>
        <w:t>performance. The final reconciliation payment or recoupment to each CBHC TIN-Billing Entity will be completed by each of the MCE plans, proportional to the unique MCE MassHealth members served by each CBHC during the previous performance year</w:t>
      </w:r>
      <w:r w:rsidR="00577C07">
        <w:rPr>
          <w:rFonts w:asciiTheme="minorHAnsi" w:hAnsiTheme="minorHAnsi" w:cstheme="minorHAnsi"/>
          <w:sz w:val="22"/>
          <w:szCs w:val="22"/>
        </w:rPr>
        <w:t xml:space="preserve"> (2024)</w:t>
      </w:r>
      <w:r>
        <w:rPr>
          <w:rFonts w:asciiTheme="minorHAnsi" w:hAnsiTheme="minorHAnsi" w:cstheme="minorHAnsi"/>
          <w:sz w:val="22"/>
          <w:szCs w:val="22"/>
        </w:rPr>
        <w:t>.</w:t>
      </w:r>
    </w:p>
    <w:p w14:paraId="419294B7" w14:textId="5ABA1A89" w:rsidR="00021ABD" w:rsidRDefault="00577C07" w:rsidP="00577C07">
      <w:pPr>
        <w:pStyle w:val="Heading4"/>
      </w:pPr>
      <w:r>
        <w:t>CQEIP Performance Years 3-5 Payment Schedule</w:t>
      </w:r>
    </w:p>
    <w:p w14:paraId="0B4E393D" w14:textId="5CE9D0BC" w:rsidR="008929F9" w:rsidRPr="001B0437" w:rsidRDefault="00577C07" w:rsidP="00300291">
      <w:pPr>
        <w:rPr>
          <w:rFonts w:cstheme="minorHAnsi"/>
        </w:rPr>
      </w:pPr>
      <w:r>
        <w:rPr>
          <w:rFonts w:cstheme="minorHAnsi"/>
        </w:rPr>
        <w:t xml:space="preserve">In PY3-5 </w:t>
      </w:r>
      <w:r w:rsidRPr="00A10B4D">
        <w:rPr>
          <w:rFonts w:cstheme="minorHAnsi"/>
        </w:rPr>
        <w:t>for the CQEIP</w:t>
      </w:r>
      <w:r>
        <w:rPr>
          <w:rFonts w:cstheme="minorHAnsi"/>
        </w:rPr>
        <w:t>, e</w:t>
      </w:r>
      <w:r w:rsidR="004C03B5" w:rsidRPr="00A10B4D">
        <w:rPr>
          <w:rFonts w:cstheme="minorHAnsi"/>
        </w:rPr>
        <w:t>ach Performance Year</w:t>
      </w:r>
      <w:r w:rsidR="004D17BB">
        <w:rPr>
          <w:rFonts w:cstheme="minorHAnsi"/>
        </w:rPr>
        <w:t>,</w:t>
      </w:r>
      <w:r w:rsidR="004C03B5" w:rsidRPr="00A10B4D">
        <w:rPr>
          <w:rFonts w:cstheme="minorHAnsi"/>
        </w:rPr>
        <w:t xml:space="preserve"> CBHCs will receive </w:t>
      </w:r>
      <w:r>
        <w:rPr>
          <w:rFonts w:cstheme="minorHAnsi"/>
        </w:rPr>
        <w:t xml:space="preserve">one final earned incentive </w:t>
      </w:r>
      <w:r w:rsidRPr="001B0437">
        <w:rPr>
          <w:rFonts w:cstheme="minorHAnsi"/>
        </w:rPr>
        <w:t>payment based on their Health Equity performance score.</w:t>
      </w:r>
    </w:p>
    <w:p w14:paraId="0F3873C2" w14:textId="61021A01" w:rsidR="007F47F6" w:rsidRPr="00ED1D1F" w:rsidRDefault="000A2D7B" w:rsidP="00761AF7">
      <w:pPr>
        <w:pStyle w:val="ListParagraph"/>
        <w:numPr>
          <w:ilvl w:val="0"/>
          <w:numId w:val="11"/>
        </w:numPr>
        <w:rPr>
          <w:rFonts w:asciiTheme="minorHAnsi" w:hAnsiTheme="minorHAnsi" w:cstheme="minorHAnsi"/>
          <w:sz w:val="22"/>
          <w:szCs w:val="22"/>
        </w:rPr>
      </w:pPr>
      <w:r w:rsidRPr="009A6FEA">
        <w:rPr>
          <w:rFonts w:asciiTheme="minorHAnsi" w:hAnsiTheme="minorHAnsi" w:cstheme="minorHAnsi"/>
          <w:sz w:val="22"/>
          <w:szCs w:val="22"/>
          <w:u w:val="single"/>
        </w:rPr>
        <w:t xml:space="preserve">Final </w:t>
      </w:r>
      <w:r w:rsidR="00577C07" w:rsidRPr="009A6FEA">
        <w:rPr>
          <w:rFonts w:asciiTheme="minorHAnsi" w:hAnsiTheme="minorHAnsi" w:cstheme="minorHAnsi"/>
          <w:sz w:val="22"/>
          <w:szCs w:val="22"/>
          <w:u w:val="single"/>
        </w:rPr>
        <w:t xml:space="preserve">Heath Equity </w:t>
      </w:r>
      <w:r w:rsidRPr="009A6FEA">
        <w:rPr>
          <w:rFonts w:asciiTheme="minorHAnsi" w:hAnsiTheme="minorHAnsi" w:cstheme="minorHAnsi"/>
          <w:sz w:val="22"/>
          <w:szCs w:val="22"/>
          <w:u w:val="single"/>
        </w:rPr>
        <w:t>Payment:</w:t>
      </w:r>
      <w:r w:rsidRPr="009A6FEA">
        <w:rPr>
          <w:rFonts w:asciiTheme="minorHAnsi" w:hAnsiTheme="minorHAnsi" w:cstheme="minorHAnsi"/>
          <w:sz w:val="22"/>
          <w:szCs w:val="22"/>
        </w:rPr>
        <w:t xml:space="preserve"> </w:t>
      </w:r>
      <w:r w:rsidR="00AF768B" w:rsidRPr="009A6FEA">
        <w:rPr>
          <w:rFonts w:asciiTheme="minorHAnsi" w:hAnsiTheme="minorHAnsi" w:cstheme="minorHAnsi"/>
          <w:sz w:val="22"/>
          <w:szCs w:val="22"/>
        </w:rPr>
        <w:t xml:space="preserve">The Health Equity performance score will be calculated and applied to the </w:t>
      </w:r>
      <w:r w:rsidR="00C518B8" w:rsidRPr="009A6FEA">
        <w:rPr>
          <w:rFonts w:asciiTheme="minorHAnsi" w:hAnsiTheme="minorHAnsi" w:cstheme="minorHAnsi"/>
          <w:sz w:val="22"/>
          <w:szCs w:val="22"/>
        </w:rPr>
        <w:t xml:space="preserve">CBHC’s individual </w:t>
      </w:r>
      <w:r w:rsidR="001B0437" w:rsidRPr="009A6FEA">
        <w:rPr>
          <w:rFonts w:asciiTheme="minorHAnsi" w:hAnsiTheme="minorHAnsi" w:cstheme="minorHAnsi"/>
          <w:sz w:val="22"/>
          <w:szCs w:val="22"/>
        </w:rPr>
        <w:t>maximum</w:t>
      </w:r>
      <w:r w:rsidR="00C518B8" w:rsidRPr="009A6FEA">
        <w:rPr>
          <w:rFonts w:asciiTheme="minorHAnsi" w:hAnsiTheme="minorHAnsi" w:cstheme="minorHAnsi"/>
          <w:sz w:val="22"/>
          <w:szCs w:val="22"/>
        </w:rPr>
        <w:t xml:space="preserve"> eligible incentive amount</w:t>
      </w:r>
      <w:r w:rsidR="001B0437" w:rsidRPr="009A6FEA">
        <w:rPr>
          <w:rFonts w:asciiTheme="minorHAnsi" w:hAnsiTheme="minorHAnsi" w:cstheme="minorHAnsi"/>
          <w:sz w:val="22"/>
          <w:szCs w:val="22"/>
        </w:rPr>
        <w:t xml:space="preserve">, as described </w:t>
      </w:r>
      <w:r w:rsidR="008B3B48">
        <w:rPr>
          <w:rFonts w:asciiTheme="minorHAnsi" w:hAnsiTheme="minorHAnsi" w:cstheme="minorHAnsi"/>
          <w:sz w:val="22"/>
          <w:szCs w:val="22"/>
        </w:rPr>
        <w:t xml:space="preserve">in Section 4.3.1 </w:t>
      </w:r>
      <w:r w:rsidR="001B0437" w:rsidRPr="009A6FEA">
        <w:rPr>
          <w:rFonts w:asciiTheme="minorHAnsi" w:hAnsiTheme="minorHAnsi" w:cstheme="minorHAnsi"/>
          <w:sz w:val="22"/>
          <w:szCs w:val="22"/>
        </w:rPr>
        <w:t>above,</w:t>
      </w:r>
      <w:r w:rsidR="00C518B8" w:rsidRPr="009A6FEA">
        <w:rPr>
          <w:rFonts w:asciiTheme="minorHAnsi" w:hAnsiTheme="minorHAnsi" w:cstheme="minorHAnsi"/>
          <w:sz w:val="22"/>
          <w:szCs w:val="22"/>
        </w:rPr>
        <w:t xml:space="preserve"> to determine the final </w:t>
      </w:r>
      <w:r w:rsidR="00C518B8" w:rsidRPr="009A6FEA">
        <w:rPr>
          <w:rFonts w:asciiTheme="minorHAnsi" w:hAnsiTheme="minorHAnsi" w:cstheme="minorHAnsi"/>
          <w:b/>
          <w:bCs/>
          <w:sz w:val="22"/>
          <w:szCs w:val="22"/>
        </w:rPr>
        <w:t xml:space="preserve">earned </w:t>
      </w:r>
      <w:r w:rsidR="001B0437" w:rsidRPr="009A6FEA">
        <w:rPr>
          <w:rFonts w:asciiTheme="minorHAnsi" w:hAnsiTheme="minorHAnsi" w:cstheme="minorHAnsi"/>
          <w:b/>
          <w:bCs/>
          <w:sz w:val="22"/>
          <w:szCs w:val="22"/>
        </w:rPr>
        <w:t>incentive amount</w:t>
      </w:r>
      <w:r w:rsidR="001B0437" w:rsidRPr="009A6FEA">
        <w:rPr>
          <w:rFonts w:asciiTheme="minorHAnsi" w:hAnsiTheme="minorHAnsi" w:cstheme="minorHAnsi"/>
          <w:sz w:val="22"/>
          <w:szCs w:val="22"/>
        </w:rPr>
        <w:t>.</w:t>
      </w:r>
      <w:r w:rsidR="009A6FEA" w:rsidRPr="009A6FEA">
        <w:rPr>
          <w:rFonts w:asciiTheme="minorHAnsi" w:hAnsiTheme="minorHAnsi" w:cstheme="minorHAnsi"/>
          <w:sz w:val="22"/>
          <w:szCs w:val="22"/>
        </w:rPr>
        <w:t xml:space="preserve"> </w:t>
      </w:r>
      <w:r w:rsidR="007D6240" w:rsidRPr="009A6FEA">
        <w:rPr>
          <w:rFonts w:asciiTheme="minorHAnsi" w:hAnsiTheme="minorHAnsi" w:cstheme="minorHAnsi"/>
          <w:sz w:val="22"/>
          <w:szCs w:val="22"/>
        </w:rPr>
        <w:t>The final</w:t>
      </w:r>
      <w:r w:rsidR="00577C07" w:rsidRPr="009A6FEA">
        <w:rPr>
          <w:rFonts w:asciiTheme="minorHAnsi" w:hAnsiTheme="minorHAnsi" w:cstheme="minorHAnsi"/>
          <w:sz w:val="22"/>
          <w:szCs w:val="22"/>
        </w:rPr>
        <w:t xml:space="preserve"> payment</w:t>
      </w:r>
      <w:r w:rsidR="009176E7" w:rsidRPr="009A6FEA">
        <w:rPr>
          <w:rFonts w:asciiTheme="minorHAnsi" w:hAnsiTheme="minorHAnsi" w:cstheme="minorHAnsi"/>
          <w:sz w:val="22"/>
          <w:szCs w:val="22"/>
        </w:rPr>
        <w:t xml:space="preserve"> to each CBHC TIN-Billing Entity</w:t>
      </w:r>
      <w:r w:rsidR="007D6240" w:rsidRPr="009A6FEA">
        <w:rPr>
          <w:rFonts w:asciiTheme="minorHAnsi" w:hAnsiTheme="minorHAnsi" w:cstheme="minorHAnsi"/>
          <w:sz w:val="22"/>
          <w:szCs w:val="22"/>
        </w:rPr>
        <w:t xml:space="preserve"> will be completed by each of the MCE plans, </w:t>
      </w:r>
      <w:r w:rsidR="009176E7" w:rsidRPr="009A6FEA">
        <w:rPr>
          <w:rFonts w:asciiTheme="minorHAnsi" w:hAnsiTheme="minorHAnsi" w:cstheme="minorHAnsi"/>
          <w:sz w:val="22"/>
          <w:szCs w:val="22"/>
        </w:rPr>
        <w:t>proportional to the unique MCE MassHealth members served by each CBHC during the previous performance year</w:t>
      </w:r>
      <w:r w:rsidR="001B0802" w:rsidRPr="009A6FEA">
        <w:rPr>
          <w:rFonts w:asciiTheme="minorHAnsi" w:hAnsiTheme="minorHAnsi" w:cstheme="minorHAnsi"/>
          <w:sz w:val="22"/>
          <w:szCs w:val="22"/>
        </w:rPr>
        <w:t>.</w:t>
      </w:r>
    </w:p>
    <w:p w14:paraId="35B82F34" w14:textId="14701C8D" w:rsidR="00F96533" w:rsidRPr="00F96533" w:rsidRDefault="00267698" w:rsidP="00014AB0">
      <w:pPr>
        <w:pStyle w:val="Heading2"/>
      </w:pPr>
      <w:bookmarkStart w:id="31" w:name="_Toc197680246"/>
      <w:r>
        <w:t>4.</w:t>
      </w:r>
      <w:r w:rsidR="00C44C63">
        <w:t>4</w:t>
      </w:r>
      <w:r w:rsidR="005470BD" w:rsidRPr="00705A90">
        <w:t>. CQEIP Performance Assessment Methodology Framework for PY2-5</w:t>
      </w:r>
      <w:bookmarkEnd w:id="31"/>
    </w:p>
    <w:p w14:paraId="690C4E7D" w14:textId="04C9DB66" w:rsidR="009176E7" w:rsidRPr="0099424A" w:rsidRDefault="009176E7" w:rsidP="00C44C63">
      <w:pPr>
        <w:pStyle w:val="Heading3"/>
      </w:pPr>
      <w:bookmarkStart w:id="32" w:name="_Toc197680247"/>
      <w:r w:rsidRPr="0099424A">
        <w:t xml:space="preserve">Table </w:t>
      </w:r>
      <w:r w:rsidR="007456D0">
        <w:t>8</w:t>
      </w:r>
      <w:r w:rsidRPr="0099424A">
        <w:t>. CQEIP Measure Weights for Performance Years 2-5</w:t>
      </w:r>
      <w:bookmarkEnd w:id="32"/>
    </w:p>
    <w:tbl>
      <w:tblPr>
        <w:tblStyle w:val="TableGrid"/>
        <w:tblW w:w="10255" w:type="dxa"/>
        <w:tblLayout w:type="fixed"/>
        <w:tblLook w:val="04A0" w:firstRow="1" w:lastRow="0" w:firstColumn="1" w:lastColumn="0" w:noHBand="0" w:noVBand="1"/>
      </w:tblPr>
      <w:tblGrid>
        <w:gridCol w:w="3775"/>
        <w:gridCol w:w="1296"/>
        <w:gridCol w:w="1296"/>
        <w:gridCol w:w="1296"/>
        <w:gridCol w:w="1296"/>
        <w:gridCol w:w="1296"/>
      </w:tblGrid>
      <w:tr w:rsidR="009176E7" w14:paraId="19742BE7" w14:textId="77777777">
        <w:tc>
          <w:tcPr>
            <w:tcW w:w="3775" w:type="dxa"/>
            <w:shd w:val="clear" w:color="auto" w:fill="E7EDF3" w:themeFill="accent3" w:themeFillTint="33"/>
          </w:tcPr>
          <w:p w14:paraId="182C08C6" w14:textId="77777777" w:rsidR="009176E7" w:rsidRDefault="009176E7">
            <w:pPr>
              <w:spacing w:before="0" w:after="0"/>
              <w:rPr>
                <w:rFonts w:cstheme="minorHAnsi"/>
              </w:rPr>
            </w:pPr>
            <w:r w:rsidRPr="00293843">
              <w:rPr>
                <w:rFonts w:cstheme="minorHAnsi"/>
                <w:b/>
                <w:bCs/>
              </w:rPr>
              <w:t>Domains and Measure Name</w:t>
            </w:r>
            <w:r>
              <w:rPr>
                <w:rFonts w:cstheme="minorHAnsi"/>
                <w:b/>
                <w:bCs/>
              </w:rPr>
              <w:t>*</w:t>
            </w:r>
          </w:p>
        </w:tc>
        <w:tc>
          <w:tcPr>
            <w:tcW w:w="1296" w:type="dxa"/>
            <w:shd w:val="clear" w:color="auto" w:fill="E7EDF3" w:themeFill="accent3" w:themeFillTint="33"/>
          </w:tcPr>
          <w:p w14:paraId="6C5954F7" w14:textId="0F23AC00" w:rsidR="009176E7" w:rsidRDefault="009176E7">
            <w:pPr>
              <w:spacing w:before="0" w:after="0"/>
              <w:jc w:val="center"/>
              <w:rPr>
                <w:rFonts w:cstheme="minorHAnsi"/>
                <w:b/>
                <w:bCs/>
              </w:rPr>
            </w:pPr>
            <w:r>
              <w:rPr>
                <w:rFonts w:cstheme="minorHAnsi"/>
                <w:b/>
                <w:bCs/>
              </w:rPr>
              <w:t xml:space="preserve">Measure Weight </w:t>
            </w:r>
          </w:p>
          <w:p w14:paraId="3A1D7B0C" w14:textId="77777777" w:rsidR="009176E7" w:rsidRDefault="009176E7">
            <w:pPr>
              <w:spacing w:before="0" w:after="0"/>
              <w:jc w:val="center"/>
              <w:rPr>
                <w:rFonts w:cstheme="minorHAnsi"/>
              </w:rPr>
            </w:pPr>
            <w:r>
              <w:rPr>
                <w:rFonts w:cstheme="minorHAnsi"/>
              </w:rPr>
              <w:t>PY2 (2025)</w:t>
            </w:r>
          </w:p>
        </w:tc>
        <w:tc>
          <w:tcPr>
            <w:tcW w:w="1296" w:type="dxa"/>
            <w:shd w:val="clear" w:color="auto" w:fill="E7EDF3" w:themeFill="accent3" w:themeFillTint="33"/>
          </w:tcPr>
          <w:p w14:paraId="180643D1" w14:textId="668A29A1" w:rsidR="009176E7" w:rsidRDefault="009176E7">
            <w:pPr>
              <w:spacing w:before="0" w:after="0"/>
              <w:jc w:val="center"/>
              <w:rPr>
                <w:rFonts w:cstheme="minorHAnsi"/>
                <w:b/>
                <w:bCs/>
              </w:rPr>
            </w:pPr>
            <w:r>
              <w:rPr>
                <w:rFonts w:cstheme="minorHAnsi"/>
                <w:b/>
                <w:bCs/>
              </w:rPr>
              <w:t xml:space="preserve">Measure Weight </w:t>
            </w:r>
          </w:p>
          <w:p w14:paraId="43647534" w14:textId="77777777" w:rsidR="009176E7" w:rsidRDefault="009176E7">
            <w:pPr>
              <w:spacing w:before="0" w:after="0"/>
              <w:jc w:val="center"/>
              <w:rPr>
                <w:rFonts w:cstheme="minorHAnsi"/>
              </w:rPr>
            </w:pPr>
            <w:r>
              <w:rPr>
                <w:rFonts w:cstheme="minorHAnsi"/>
              </w:rPr>
              <w:t>PY3 (2026)</w:t>
            </w:r>
          </w:p>
        </w:tc>
        <w:tc>
          <w:tcPr>
            <w:tcW w:w="1296" w:type="dxa"/>
            <w:shd w:val="clear" w:color="auto" w:fill="E7EDF3" w:themeFill="accent3" w:themeFillTint="33"/>
          </w:tcPr>
          <w:p w14:paraId="7FF12248" w14:textId="5D6BF714" w:rsidR="009176E7" w:rsidRDefault="009176E7">
            <w:pPr>
              <w:spacing w:before="0" w:after="0"/>
              <w:jc w:val="center"/>
              <w:rPr>
                <w:rFonts w:cstheme="minorHAnsi"/>
                <w:b/>
                <w:bCs/>
              </w:rPr>
            </w:pPr>
            <w:r>
              <w:rPr>
                <w:rFonts w:cstheme="minorHAnsi"/>
                <w:b/>
                <w:bCs/>
              </w:rPr>
              <w:t xml:space="preserve">Measure Weight </w:t>
            </w:r>
          </w:p>
          <w:p w14:paraId="60BD0E8E" w14:textId="77777777" w:rsidR="009176E7" w:rsidRDefault="009176E7">
            <w:pPr>
              <w:spacing w:before="0" w:after="0"/>
              <w:jc w:val="center"/>
              <w:rPr>
                <w:rFonts w:cstheme="minorHAnsi"/>
              </w:rPr>
            </w:pPr>
            <w:r>
              <w:rPr>
                <w:rFonts w:cstheme="minorHAnsi"/>
              </w:rPr>
              <w:t>PY4 (2027)</w:t>
            </w:r>
          </w:p>
        </w:tc>
        <w:tc>
          <w:tcPr>
            <w:tcW w:w="1296" w:type="dxa"/>
            <w:shd w:val="clear" w:color="auto" w:fill="E7EDF3" w:themeFill="accent3" w:themeFillTint="33"/>
          </w:tcPr>
          <w:p w14:paraId="4FE434BA" w14:textId="11F2A232" w:rsidR="009176E7" w:rsidRDefault="009176E7">
            <w:pPr>
              <w:spacing w:before="0" w:after="0"/>
              <w:jc w:val="center"/>
              <w:rPr>
                <w:rFonts w:cstheme="minorHAnsi"/>
                <w:b/>
                <w:bCs/>
              </w:rPr>
            </w:pPr>
            <w:r>
              <w:rPr>
                <w:rFonts w:cstheme="minorHAnsi"/>
                <w:b/>
                <w:bCs/>
              </w:rPr>
              <w:t xml:space="preserve">Measure Weight </w:t>
            </w:r>
          </w:p>
          <w:p w14:paraId="00C7A6EE" w14:textId="77777777" w:rsidR="009176E7" w:rsidRDefault="009176E7">
            <w:pPr>
              <w:spacing w:before="0" w:after="0"/>
              <w:jc w:val="center"/>
              <w:rPr>
                <w:rFonts w:cstheme="minorHAnsi"/>
              </w:rPr>
            </w:pPr>
            <w:r>
              <w:rPr>
                <w:rFonts w:cstheme="minorHAnsi"/>
              </w:rPr>
              <w:t>PY5 (2028)</w:t>
            </w:r>
          </w:p>
        </w:tc>
        <w:tc>
          <w:tcPr>
            <w:tcW w:w="1296" w:type="dxa"/>
            <w:shd w:val="clear" w:color="auto" w:fill="E7EDF3" w:themeFill="accent3" w:themeFillTint="33"/>
          </w:tcPr>
          <w:p w14:paraId="050B316F" w14:textId="57F43F1C" w:rsidR="009176E7" w:rsidRPr="00BB4796" w:rsidRDefault="009176E7" w:rsidP="00BB4796">
            <w:pPr>
              <w:spacing w:before="0" w:after="0"/>
              <w:jc w:val="center"/>
              <w:rPr>
                <w:rFonts w:cstheme="minorHAnsi"/>
                <w:b/>
                <w:bCs/>
              </w:rPr>
            </w:pPr>
            <w:r>
              <w:rPr>
                <w:rFonts w:cstheme="minorHAnsi"/>
                <w:b/>
                <w:bCs/>
              </w:rPr>
              <w:t>Domain Weight</w:t>
            </w:r>
          </w:p>
        </w:tc>
      </w:tr>
      <w:tr w:rsidR="009176E7" w14:paraId="7A7A46C0" w14:textId="77777777">
        <w:tc>
          <w:tcPr>
            <w:tcW w:w="3775" w:type="dxa"/>
            <w:shd w:val="clear" w:color="auto" w:fill="E7EDF3" w:themeFill="accent3" w:themeFillTint="33"/>
          </w:tcPr>
          <w:p w14:paraId="18C4F671" w14:textId="77777777" w:rsidR="009176E7" w:rsidRPr="003546EA" w:rsidRDefault="009176E7">
            <w:pPr>
              <w:spacing w:before="0" w:after="0"/>
              <w:rPr>
                <w:rFonts w:cstheme="minorHAnsi"/>
                <w:b/>
                <w:bCs/>
              </w:rPr>
            </w:pPr>
            <w:r w:rsidRPr="003546EA">
              <w:rPr>
                <w:rFonts w:cstheme="minorHAnsi"/>
                <w:b/>
                <w:bCs/>
              </w:rPr>
              <w:lastRenderedPageBreak/>
              <w:t xml:space="preserve">Domain 1. </w:t>
            </w:r>
            <w:r>
              <w:rPr>
                <w:rFonts w:cstheme="minorHAnsi"/>
                <w:b/>
                <w:bCs/>
              </w:rPr>
              <w:t>DHRSN</w:t>
            </w:r>
          </w:p>
        </w:tc>
        <w:tc>
          <w:tcPr>
            <w:tcW w:w="1296" w:type="dxa"/>
            <w:shd w:val="clear" w:color="auto" w:fill="E7EDF3" w:themeFill="accent3" w:themeFillTint="33"/>
          </w:tcPr>
          <w:p w14:paraId="572F13EF" w14:textId="77777777" w:rsidR="009176E7" w:rsidRDefault="009176E7">
            <w:pPr>
              <w:spacing w:before="0" w:after="0"/>
              <w:jc w:val="center"/>
              <w:rPr>
                <w:rFonts w:cstheme="minorHAnsi"/>
              </w:rPr>
            </w:pPr>
          </w:p>
        </w:tc>
        <w:tc>
          <w:tcPr>
            <w:tcW w:w="1296" w:type="dxa"/>
            <w:shd w:val="clear" w:color="auto" w:fill="E7EDF3" w:themeFill="accent3" w:themeFillTint="33"/>
          </w:tcPr>
          <w:p w14:paraId="441C8B38" w14:textId="77777777" w:rsidR="009176E7" w:rsidRDefault="009176E7">
            <w:pPr>
              <w:spacing w:before="0" w:after="0"/>
              <w:jc w:val="center"/>
              <w:rPr>
                <w:rFonts w:cstheme="minorHAnsi"/>
              </w:rPr>
            </w:pPr>
          </w:p>
        </w:tc>
        <w:tc>
          <w:tcPr>
            <w:tcW w:w="1296" w:type="dxa"/>
            <w:shd w:val="clear" w:color="auto" w:fill="E7EDF3" w:themeFill="accent3" w:themeFillTint="33"/>
          </w:tcPr>
          <w:p w14:paraId="1615C38E" w14:textId="77777777" w:rsidR="009176E7" w:rsidRDefault="009176E7">
            <w:pPr>
              <w:spacing w:before="0" w:after="0"/>
              <w:jc w:val="center"/>
              <w:rPr>
                <w:rFonts w:cstheme="minorHAnsi"/>
              </w:rPr>
            </w:pPr>
          </w:p>
        </w:tc>
        <w:tc>
          <w:tcPr>
            <w:tcW w:w="1296" w:type="dxa"/>
            <w:shd w:val="clear" w:color="auto" w:fill="E7EDF3" w:themeFill="accent3" w:themeFillTint="33"/>
          </w:tcPr>
          <w:p w14:paraId="5BFBDAC1" w14:textId="77777777" w:rsidR="009176E7" w:rsidRDefault="009176E7">
            <w:pPr>
              <w:spacing w:before="0" w:after="0"/>
              <w:jc w:val="center"/>
              <w:rPr>
                <w:rFonts w:cstheme="minorHAnsi"/>
              </w:rPr>
            </w:pPr>
          </w:p>
        </w:tc>
        <w:tc>
          <w:tcPr>
            <w:tcW w:w="1296" w:type="dxa"/>
            <w:shd w:val="clear" w:color="auto" w:fill="E7EDF3" w:themeFill="accent3" w:themeFillTint="33"/>
          </w:tcPr>
          <w:p w14:paraId="6803F27B" w14:textId="77777777" w:rsidR="009176E7" w:rsidRDefault="009176E7">
            <w:pPr>
              <w:spacing w:before="0" w:after="0"/>
              <w:jc w:val="center"/>
              <w:rPr>
                <w:rFonts w:cstheme="minorHAnsi"/>
              </w:rPr>
            </w:pPr>
            <w:r>
              <w:rPr>
                <w:rFonts w:cstheme="minorHAnsi"/>
              </w:rPr>
              <w:t>30%</w:t>
            </w:r>
          </w:p>
        </w:tc>
      </w:tr>
      <w:tr w:rsidR="009176E7" w14:paraId="7F160DA2" w14:textId="77777777">
        <w:tc>
          <w:tcPr>
            <w:tcW w:w="3775" w:type="dxa"/>
          </w:tcPr>
          <w:p w14:paraId="3FF92D6F" w14:textId="77777777" w:rsidR="009176E7" w:rsidRDefault="009176E7">
            <w:pPr>
              <w:spacing w:before="0" w:after="0"/>
              <w:rPr>
                <w:rFonts w:cstheme="minorHAnsi"/>
              </w:rPr>
            </w:pPr>
            <w:r w:rsidRPr="00D62B4F">
              <w:t xml:space="preserve">Race, Ethnicity, Language, Disability, Sexual Orientation, and Gender Identity (RELDSOGI) </w:t>
            </w:r>
            <w:r>
              <w:t xml:space="preserve">Data </w:t>
            </w:r>
            <w:r w:rsidRPr="00D62B4F">
              <w:t>Completeness</w:t>
            </w:r>
          </w:p>
        </w:tc>
        <w:tc>
          <w:tcPr>
            <w:tcW w:w="1296" w:type="dxa"/>
          </w:tcPr>
          <w:p w14:paraId="5550D490" w14:textId="77777777" w:rsidR="009176E7" w:rsidRDefault="009176E7">
            <w:pPr>
              <w:spacing w:before="0" w:after="0"/>
              <w:jc w:val="center"/>
              <w:rPr>
                <w:rFonts w:cstheme="minorHAnsi"/>
              </w:rPr>
            </w:pPr>
            <w:r>
              <w:rPr>
                <w:rFonts w:cstheme="minorHAnsi"/>
              </w:rPr>
              <w:t>CoP</w:t>
            </w:r>
          </w:p>
        </w:tc>
        <w:tc>
          <w:tcPr>
            <w:tcW w:w="1296" w:type="dxa"/>
          </w:tcPr>
          <w:p w14:paraId="18F77EF8" w14:textId="77777777" w:rsidR="009176E7" w:rsidRDefault="009176E7">
            <w:pPr>
              <w:spacing w:before="0" w:after="0"/>
              <w:jc w:val="center"/>
              <w:rPr>
                <w:rFonts w:cstheme="minorHAnsi"/>
              </w:rPr>
            </w:pPr>
            <w:r>
              <w:rPr>
                <w:rFonts w:cstheme="minorHAnsi"/>
              </w:rPr>
              <w:t>CoP</w:t>
            </w:r>
          </w:p>
        </w:tc>
        <w:tc>
          <w:tcPr>
            <w:tcW w:w="1296" w:type="dxa"/>
          </w:tcPr>
          <w:p w14:paraId="69CE9DB9" w14:textId="77777777" w:rsidR="009176E7" w:rsidRDefault="009176E7">
            <w:pPr>
              <w:spacing w:before="0" w:after="0"/>
              <w:jc w:val="center"/>
              <w:rPr>
                <w:rFonts w:cstheme="minorHAnsi"/>
              </w:rPr>
            </w:pPr>
            <w:r>
              <w:rPr>
                <w:rFonts w:cstheme="minorHAnsi"/>
              </w:rPr>
              <w:t>CoP</w:t>
            </w:r>
          </w:p>
        </w:tc>
        <w:tc>
          <w:tcPr>
            <w:tcW w:w="1296" w:type="dxa"/>
          </w:tcPr>
          <w:p w14:paraId="3685B3CD" w14:textId="77777777" w:rsidR="009176E7" w:rsidRDefault="009176E7">
            <w:pPr>
              <w:spacing w:before="0" w:after="0"/>
              <w:jc w:val="center"/>
              <w:rPr>
                <w:rFonts w:cstheme="minorHAnsi"/>
              </w:rPr>
            </w:pPr>
            <w:r>
              <w:rPr>
                <w:rFonts w:cstheme="minorHAnsi"/>
              </w:rPr>
              <w:t>CoP</w:t>
            </w:r>
          </w:p>
        </w:tc>
        <w:tc>
          <w:tcPr>
            <w:tcW w:w="1296" w:type="dxa"/>
          </w:tcPr>
          <w:p w14:paraId="424F8109" w14:textId="77777777" w:rsidR="009176E7" w:rsidRDefault="009176E7">
            <w:pPr>
              <w:spacing w:before="0" w:after="0"/>
              <w:jc w:val="center"/>
              <w:rPr>
                <w:rFonts w:cstheme="minorHAnsi"/>
              </w:rPr>
            </w:pPr>
          </w:p>
        </w:tc>
      </w:tr>
      <w:tr w:rsidR="009176E7" w14:paraId="3B191C39" w14:textId="77777777">
        <w:tc>
          <w:tcPr>
            <w:tcW w:w="3775" w:type="dxa"/>
          </w:tcPr>
          <w:p w14:paraId="0C15F81D" w14:textId="77777777" w:rsidR="009176E7" w:rsidRDefault="009176E7">
            <w:pPr>
              <w:spacing w:before="0" w:after="0"/>
              <w:rPr>
                <w:rFonts w:cstheme="minorHAnsi"/>
              </w:rPr>
            </w:pPr>
            <w:r w:rsidRPr="00FA59D6">
              <w:t>Health-Related Social Needs Screening</w:t>
            </w:r>
          </w:p>
        </w:tc>
        <w:tc>
          <w:tcPr>
            <w:tcW w:w="1296" w:type="dxa"/>
          </w:tcPr>
          <w:p w14:paraId="41DC388B" w14:textId="77777777" w:rsidR="009176E7" w:rsidRDefault="009176E7">
            <w:pPr>
              <w:spacing w:before="0" w:after="0"/>
              <w:jc w:val="center"/>
              <w:rPr>
                <w:rFonts w:cstheme="minorHAnsi"/>
              </w:rPr>
            </w:pPr>
            <w:r>
              <w:rPr>
                <w:rFonts w:cstheme="minorHAnsi"/>
              </w:rPr>
              <w:t>30%</w:t>
            </w:r>
          </w:p>
        </w:tc>
        <w:tc>
          <w:tcPr>
            <w:tcW w:w="1296" w:type="dxa"/>
          </w:tcPr>
          <w:p w14:paraId="3871F554" w14:textId="77777777" w:rsidR="009176E7" w:rsidRDefault="009176E7">
            <w:pPr>
              <w:spacing w:before="0" w:after="0"/>
              <w:jc w:val="center"/>
              <w:rPr>
                <w:rFonts w:cstheme="minorHAnsi"/>
              </w:rPr>
            </w:pPr>
            <w:r>
              <w:rPr>
                <w:rFonts w:cstheme="minorHAnsi"/>
              </w:rPr>
              <w:t>30%</w:t>
            </w:r>
          </w:p>
        </w:tc>
        <w:tc>
          <w:tcPr>
            <w:tcW w:w="1296" w:type="dxa"/>
          </w:tcPr>
          <w:p w14:paraId="06DD6046" w14:textId="77777777" w:rsidR="009176E7" w:rsidRDefault="009176E7">
            <w:pPr>
              <w:spacing w:before="0" w:after="0"/>
              <w:jc w:val="center"/>
              <w:rPr>
                <w:rFonts w:cstheme="minorHAnsi"/>
              </w:rPr>
            </w:pPr>
            <w:r>
              <w:rPr>
                <w:rFonts w:cstheme="minorHAnsi"/>
              </w:rPr>
              <w:t>30%</w:t>
            </w:r>
          </w:p>
        </w:tc>
        <w:tc>
          <w:tcPr>
            <w:tcW w:w="1296" w:type="dxa"/>
          </w:tcPr>
          <w:p w14:paraId="75C31F37" w14:textId="77777777" w:rsidR="009176E7" w:rsidRDefault="009176E7">
            <w:pPr>
              <w:spacing w:before="0" w:after="0"/>
              <w:jc w:val="center"/>
              <w:rPr>
                <w:rFonts w:cstheme="minorHAnsi"/>
              </w:rPr>
            </w:pPr>
            <w:r>
              <w:rPr>
                <w:rFonts w:cstheme="minorHAnsi"/>
              </w:rPr>
              <w:t>30%</w:t>
            </w:r>
          </w:p>
        </w:tc>
        <w:tc>
          <w:tcPr>
            <w:tcW w:w="1296" w:type="dxa"/>
          </w:tcPr>
          <w:p w14:paraId="59916D40" w14:textId="77777777" w:rsidR="009176E7" w:rsidRDefault="009176E7">
            <w:pPr>
              <w:spacing w:before="0" w:after="0"/>
              <w:jc w:val="center"/>
              <w:rPr>
                <w:rFonts w:cstheme="minorHAnsi"/>
              </w:rPr>
            </w:pPr>
          </w:p>
        </w:tc>
      </w:tr>
      <w:tr w:rsidR="009176E7" w14:paraId="23053217" w14:textId="77777777">
        <w:trPr>
          <w:trHeight w:val="70"/>
        </w:trPr>
        <w:tc>
          <w:tcPr>
            <w:tcW w:w="3775" w:type="dxa"/>
            <w:shd w:val="clear" w:color="auto" w:fill="E7EDF3" w:themeFill="accent3" w:themeFillTint="33"/>
          </w:tcPr>
          <w:p w14:paraId="4D5C86BB" w14:textId="77777777" w:rsidR="009176E7" w:rsidRDefault="009176E7">
            <w:pPr>
              <w:spacing w:before="0" w:after="0"/>
              <w:rPr>
                <w:rFonts w:cstheme="minorHAnsi"/>
              </w:rPr>
            </w:pPr>
            <w:r w:rsidRPr="00A81603">
              <w:rPr>
                <w:b/>
              </w:rPr>
              <w:t xml:space="preserve">Domain 2: </w:t>
            </w:r>
            <w:r>
              <w:rPr>
                <w:b/>
              </w:rPr>
              <w:t>EQA</w:t>
            </w:r>
          </w:p>
        </w:tc>
        <w:tc>
          <w:tcPr>
            <w:tcW w:w="1296" w:type="dxa"/>
            <w:shd w:val="clear" w:color="auto" w:fill="E7EDF3" w:themeFill="accent3" w:themeFillTint="33"/>
          </w:tcPr>
          <w:p w14:paraId="71A98D78" w14:textId="77777777" w:rsidR="009176E7" w:rsidRDefault="009176E7">
            <w:pPr>
              <w:spacing w:before="0" w:after="0"/>
              <w:jc w:val="center"/>
              <w:rPr>
                <w:rFonts w:cstheme="minorHAnsi"/>
              </w:rPr>
            </w:pPr>
          </w:p>
        </w:tc>
        <w:tc>
          <w:tcPr>
            <w:tcW w:w="1296" w:type="dxa"/>
            <w:shd w:val="clear" w:color="auto" w:fill="E7EDF3" w:themeFill="accent3" w:themeFillTint="33"/>
          </w:tcPr>
          <w:p w14:paraId="10A5371F" w14:textId="77777777" w:rsidR="009176E7" w:rsidRDefault="009176E7">
            <w:pPr>
              <w:spacing w:before="0" w:after="0"/>
              <w:jc w:val="center"/>
              <w:rPr>
                <w:rFonts w:cstheme="minorHAnsi"/>
              </w:rPr>
            </w:pPr>
          </w:p>
        </w:tc>
        <w:tc>
          <w:tcPr>
            <w:tcW w:w="1296" w:type="dxa"/>
            <w:shd w:val="clear" w:color="auto" w:fill="E7EDF3" w:themeFill="accent3" w:themeFillTint="33"/>
          </w:tcPr>
          <w:p w14:paraId="2D4063EC" w14:textId="77777777" w:rsidR="009176E7" w:rsidRDefault="009176E7">
            <w:pPr>
              <w:spacing w:before="0" w:after="0"/>
              <w:jc w:val="center"/>
              <w:rPr>
                <w:rFonts w:cstheme="minorHAnsi"/>
              </w:rPr>
            </w:pPr>
          </w:p>
        </w:tc>
        <w:tc>
          <w:tcPr>
            <w:tcW w:w="1296" w:type="dxa"/>
            <w:shd w:val="clear" w:color="auto" w:fill="E7EDF3" w:themeFill="accent3" w:themeFillTint="33"/>
          </w:tcPr>
          <w:p w14:paraId="1A462F66" w14:textId="77777777" w:rsidR="009176E7" w:rsidRDefault="009176E7">
            <w:pPr>
              <w:spacing w:before="0" w:after="0"/>
              <w:jc w:val="center"/>
              <w:rPr>
                <w:rFonts w:cstheme="minorHAnsi"/>
              </w:rPr>
            </w:pPr>
          </w:p>
        </w:tc>
        <w:tc>
          <w:tcPr>
            <w:tcW w:w="1296" w:type="dxa"/>
            <w:shd w:val="clear" w:color="auto" w:fill="E7EDF3" w:themeFill="accent3" w:themeFillTint="33"/>
          </w:tcPr>
          <w:p w14:paraId="11952DA8" w14:textId="77777777" w:rsidR="009176E7" w:rsidRDefault="009176E7">
            <w:pPr>
              <w:spacing w:before="0" w:after="0"/>
              <w:jc w:val="center"/>
              <w:rPr>
                <w:rFonts w:cstheme="minorHAnsi"/>
              </w:rPr>
            </w:pPr>
            <w:r>
              <w:rPr>
                <w:rFonts w:cstheme="minorHAnsi"/>
              </w:rPr>
              <w:t>70%</w:t>
            </w:r>
          </w:p>
        </w:tc>
      </w:tr>
      <w:tr w:rsidR="009176E7" w14:paraId="655973E2" w14:textId="77777777">
        <w:trPr>
          <w:trHeight w:val="70"/>
        </w:trPr>
        <w:tc>
          <w:tcPr>
            <w:tcW w:w="3775" w:type="dxa"/>
          </w:tcPr>
          <w:p w14:paraId="195F6EB4" w14:textId="77777777" w:rsidR="009176E7" w:rsidRDefault="009176E7">
            <w:pPr>
              <w:spacing w:before="0" w:after="0"/>
              <w:rPr>
                <w:rFonts w:cstheme="minorHAnsi"/>
              </w:rPr>
            </w:pPr>
            <w:r>
              <w:t>Quality Performance Disparities Reduction</w:t>
            </w:r>
          </w:p>
        </w:tc>
        <w:tc>
          <w:tcPr>
            <w:tcW w:w="1296" w:type="dxa"/>
          </w:tcPr>
          <w:p w14:paraId="7D26BAC4" w14:textId="77777777" w:rsidR="009176E7" w:rsidRDefault="009176E7">
            <w:pPr>
              <w:spacing w:before="0" w:after="0"/>
              <w:jc w:val="center"/>
              <w:rPr>
                <w:rFonts w:cstheme="minorHAnsi"/>
              </w:rPr>
            </w:pPr>
            <w:r>
              <w:rPr>
                <w:rFonts w:cstheme="minorHAnsi"/>
              </w:rPr>
              <w:t>CoP</w:t>
            </w:r>
          </w:p>
        </w:tc>
        <w:tc>
          <w:tcPr>
            <w:tcW w:w="1296" w:type="dxa"/>
          </w:tcPr>
          <w:p w14:paraId="51D7E711" w14:textId="77777777" w:rsidR="009176E7" w:rsidRDefault="009176E7">
            <w:pPr>
              <w:spacing w:before="0" w:after="0"/>
              <w:jc w:val="center"/>
              <w:rPr>
                <w:rFonts w:cstheme="minorHAnsi"/>
              </w:rPr>
            </w:pPr>
            <w:r>
              <w:rPr>
                <w:rFonts w:cstheme="minorHAnsi"/>
              </w:rPr>
              <w:t>CoP</w:t>
            </w:r>
          </w:p>
        </w:tc>
        <w:tc>
          <w:tcPr>
            <w:tcW w:w="1296" w:type="dxa"/>
          </w:tcPr>
          <w:p w14:paraId="62C84660" w14:textId="77777777" w:rsidR="009176E7" w:rsidRDefault="009176E7">
            <w:pPr>
              <w:spacing w:before="0" w:after="0"/>
              <w:jc w:val="center"/>
              <w:rPr>
                <w:rFonts w:cstheme="minorHAnsi"/>
              </w:rPr>
            </w:pPr>
            <w:r>
              <w:rPr>
                <w:rFonts w:cstheme="minorHAnsi"/>
              </w:rPr>
              <w:t>20%</w:t>
            </w:r>
          </w:p>
        </w:tc>
        <w:tc>
          <w:tcPr>
            <w:tcW w:w="1296" w:type="dxa"/>
          </w:tcPr>
          <w:p w14:paraId="3840AA7D" w14:textId="77777777" w:rsidR="009176E7" w:rsidRDefault="009176E7">
            <w:pPr>
              <w:spacing w:before="0" w:after="0"/>
              <w:jc w:val="center"/>
              <w:rPr>
                <w:rFonts w:cstheme="minorHAnsi"/>
              </w:rPr>
            </w:pPr>
            <w:r>
              <w:rPr>
                <w:rFonts w:cstheme="minorHAnsi"/>
              </w:rPr>
              <w:t>20%</w:t>
            </w:r>
          </w:p>
        </w:tc>
        <w:tc>
          <w:tcPr>
            <w:tcW w:w="1296" w:type="dxa"/>
          </w:tcPr>
          <w:p w14:paraId="23D9608B" w14:textId="77777777" w:rsidR="009176E7" w:rsidRDefault="009176E7">
            <w:pPr>
              <w:spacing w:before="0" w:after="0"/>
              <w:jc w:val="center"/>
              <w:rPr>
                <w:rFonts w:cstheme="minorHAnsi"/>
              </w:rPr>
            </w:pPr>
          </w:p>
        </w:tc>
      </w:tr>
      <w:tr w:rsidR="009176E7" w14:paraId="3D97F29B" w14:textId="77777777">
        <w:trPr>
          <w:trHeight w:val="70"/>
        </w:trPr>
        <w:tc>
          <w:tcPr>
            <w:tcW w:w="3775" w:type="dxa"/>
          </w:tcPr>
          <w:p w14:paraId="33BF9891" w14:textId="77777777" w:rsidR="009176E7" w:rsidRDefault="009176E7">
            <w:pPr>
              <w:spacing w:before="0" w:after="0"/>
              <w:rPr>
                <w:rFonts w:cstheme="minorHAnsi"/>
              </w:rPr>
            </w:pPr>
            <w:r>
              <w:t>Equity Improvement Interventions</w:t>
            </w:r>
          </w:p>
        </w:tc>
        <w:tc>
          <w:tcPr>
            <w:tcW w:w="1296" w:type="dxa"/>
          </w:tcPr>
          <w:p w14:paraId="584CC8FE" w14:textId="77777777" w:rsidR="009176E7" w:rsidRDefault="009176E7">
            <w:pPr>
              <w:spacing w:before="0" w:after="0"/>
              <w:jc w:val="center"/>
              <w:rPr>
                <w:rFonts w:cstheme="minorHAnsi"/>
              </w:rPr>
            </w:pPr>
            <w:r>
              <w:rPr>
                <w:rFonts w:cstheme="minorHAnsi"/>
              </w:rPr>
              <w:t>CoP</w:t>
            </w:r>
          </w:p>
        </w:tc>
        <w:tc>
          <w:tcPr>
            <w:tcW w:w="1296" w:type="dxa"/>
          </w:tcPr>
          <w:p w14:paraId="14C79BB5" w14:textId="77777777" w:rsidR="009176E7" w:rsidRDefault="009176E7">
            <w:pPr>
              <w:spacing w:before="0" w:after="0"/>
              <w:jc w:val="center"/>
              <w:rPr>
                <w:rFonts w:cstheme="minorHAnsi"/>
              </w:rPr>
            </w:pPr>
            <w:r>
              <w:rPr>
                <w:rFonts w:cstheme="minorHAnsi"/>
              </w:rPr>
              <w:t>CoP</w:t>
            </w:r>
          </w:p>
        </w:tc>
        <w:tc>
          <w:tcPr>
            <w:tcW w:w="1296" w:type="dxa"/>
          </w:tcPr>
          <w:p w14:paraId="48AD23A7" w14:textId="77777777" w:rsidR="009176E7" w:rsidRDefault="009176E7">
            <w:pPr>
              <w:spacing w:before="0" w:after="0"/>
              <w:jc w:val="center"/>
              <w:rPr>
                <w:rFonts w:cstheme="minorHAnsi"/>
              </w:rPr>
            </w:pPr>
            <w:r>
              <w:rPr>
                <w:rFonts w:cstheme="minorHAnsi"/>
              </w:rPr>
              <w:t>CoP</w:t>
            </w:r>
          </w:p>
        </w:tc>
        <w:tc>
          <w:tcPr>
            <w:tcW w:w="1296" w:type="dxa"/>
          </w:tcPr>
          <w:p w14:paraId="353DA0A6" w14:textId="77777777" w:rsidR="009176E7" w:rsidRDefault="009176E7">
            <w:pPr>
              <w:spacing w:before="0" w:after="0"/>
              <w:jc w:val="center"/>
              <w:rPr>
                <w:rFonts w:cstheme="minorHAnsi"/>
              </w:rPr>
            </w:pPr>
            <w:r>
              <w:rPr>
                <w:rFonts w:cstheme="minorHAnsi"/>
              </w:rPr>
              <w:t>CoP</w:t>
            </w:r>
          </w:p>
        </w:tc>
        <w:tc>
          <w:tcPr>
            <w:tcW w:w="1296" w:type="dxa"/>
          </w:tcPr>
          <w:p w14:paraId="1848D820" w14:textId="77777777" w:rsidR="009176E7" w:rsidRDefault="009176E7">
            <w:pPr>
              <w:spacing w:before="0" w:after="0"/>
              <w:jc w:val="center"/>
              <w:rPr>
                <w:rFonts w:cstheme="minorHAnsi"/>
              </w:rPr>
            </w:pPr>
          </w:p>
        </w:tc>
      </w:tr>
      <w:tr w:rsidR="009176E7" w14:paraId="6BFBF126" w14:textId="77777777">
        <w:trPr>
          <w:trHeight w:val="70"/>
        </w:trPr>
        <w:tc>
          <w:tcPr>
            <w:tcW w:w="3775" w:type="dxa"/>
          </w:tcPr>
          <w:p w14:paraId="0942F9E1" w14:textId="77777777" w:rsidR="009176E7" w:rsidRDefault="009176E7">
            <w:pPr>
              <w:spacing w:before="0" w:after="0"/>
              <w:rPr>
                <w:rFonts w:cstheme="minorHAnsi"/>
              </w:rPr>
            </w:pPr>
            <w:r w:rsidRPr="0025202B">
              <w:t>Meaningful Access to Healthcare Services for Individuals with a</w:t>
            </w:r>
            <w:r>
              <w:t xml:space="preserve"> </w:t>
            </w:r>
            <w:r w:rsidRPr="0025202B">
              <w:t>Preferred Language Other than English</w:t>
            </w:r>
          </w:p>
        </w:tc>
        <w:tc>
          <w:tcPr>
            <w:tcW w:w="1296" w:type="dxa"/>
          </w:tcPr>
          <w:p w14:paraId="6978F0D9" w14:textId="77777777" w:rsidR="009176E7" w:rsidRDefault="009176E7">
            <w:pPr>
              <w:spacing w:before="0" w:after="0"/>
              <w:jc w:val="center"/>
              <w:rPr>
                <w:rFonts w:cstheme="minorHAnsi"/>
              </w:rPr>
            </w:pPr>
            <w:r>
              <w:rPr>
                <w:rFonts w:cstheme="minorHAnsi"/>
              </w:rPr>
              <w:t>35%</w:t>
            </w:r>
          </w:p>
        </w:tc>
        <w:tc>
          <w:tcPr>
            <w:tcW w:w="1296" w:type="dxa"/>
          </w:tcPr>
          <w:p w14:paraId="5FBC92F1" w14:textId="77777777" w:rsidR="009176E7" w:rsidRDefault="009176E7">
            <w:pPr>
              <w:spacing w:before="0" w:after="0"/>
              <w:jc w:val="center"/>
              <w:rPr>
                <w:rFonts w:cstheme="minorHAnsi"/>
              </w:rPr>
            </w:pPr>
            <w:r>
              <w:rPr>
                <w:rFonts w:cstheme="minorHAnsi"/>
              </w:rPr>
              <w:t>35%</w:t>
            </w:r>
          </w:p>
        </w:tc>
        <w:tc>
          <w:tcPr>
            <w:tcW w:w="1296" w:type="dxa"/>
          </w:tcPr>
          <w:p w14:paraId="605E06C8" w14:textId="77777777" w:rsidR="009176E7" w:rsidRDefault="009176E7">
            <w:pPr>
              <w:spacing w:before="0" w:after="0"/>
              <w:jc w:val="center"/>
              <w:rPr>
                <w:rFonts w:cstheme="minorHAnsi"/>
              </w:rPr>
            </w:pPr>
            <w:r>
              <w:rPr>
                <w:rFonts w:cstheme="minorHAnsi"/>
              </w:rPr>
              <w:t>25%</w:t>
            </w:r>
          </w:p>
        </w:tc>
        <w:tc>
          <w:tcPr>
            <w:tcW w:w="1296" w:type="dxa"/>
          </w:tcPr>
          <w:p w14:paraId="123721B1" w14:textId="77777777" w:rsidR="009176E7" w:rsidRDefault="009176E7">
            <w:pPr>
              <w:spacing w:before="0" w:after="0"/>
              <w:jc w:val="center"/>
              <w:rPr>
                <w:rFonts w:cstheme="minorHAnsi"/>
              </w:rPr>
            </w:pPr>
            <w:r>
              <w:rPr>
                <w:rFonts w:cstheme="minorHAnsi"/>
              </w:rPr>
              <w:t>25%</w:t>
            </w:r>
          </w:p>
        </w:tc>
        <w:tc>
          <w:tcPr>
            <w:tcW w:w="1296" w:type="dxa"/>
          </w:tcPr>
          <w:p w14:paraId="68144084" w14:textId="77777777" w:rsidR="009176E7" w:rsidRDefault="009176E7">
            <w:pPr>
              <w:spacing w:before="0" w:after="0"/>
              <w:jc w:val="center"/>
              <w:rPr>
                <w:rFonts w:cstheme="minorHAnsi"/>
              </w:rPr>
            </w:pPr>
          </w:p>
        </w:tc>
      </w:tr>
      <w:tr w:rsidR="009176E7" w14:paraId="2B017E18" w14:textId="77777777">
        <w:trPr>
          <w:trHeight w:val="70"/>
        </w:trPr>
        <w:tc>
          <w:tcPr>
            <w:tcW w:w="3775" w:type="dxa"/>
          </w:tcPr>
          <w:p w14:paraId="3B5F3FE8" w14:textId="77777777" w:rsidR="009176E7" w:rsidRDefault="009176E7">
            <w:pPr>
              <w:spacing w:before="0" w:after="0"/>
              <w:rPr>
                <w:rFonts w:cstheme="minorHAnsi"/>
              </w:rPr>
            </w:pPr>
            <w:r>
              <w:t>Disability Competent Care</w:t>
            </w:r>
          </w:p>
        </w:tc>
        <w:tc>
          <w:tcPr>
            <w:tcW w:w="1296" w:type="dxa"/>
          </w:tcPr>
          <w:p w14:paraId="50237FEC" w14:textId="77777777" w:rsidR="009176E7" w:rsidRDefault="009176E7">
            <w:pPr>
              <w:spacing w:before="0" w:after="0"/>
              <w:jc w:val="center"/>
              <w:rPr>
                <w:rFonts w:cstheme="minorHAnsi"/>
              </w:rPr>
            </w:pPr>
            <w:r>
              <w:rPr>
                <w:rFonts w:cstheme="minorHAnsi"/>
              </w:rPr>
              <w:t>CoP</w:t>
            </w:r>
          </w:p>
        </w:tc>
        <w:tc>
          <w:tcPr>
            <w:tcW w:w="1296" w:type="dxa"/>
          </w:tcPr>
          <w:p w14:paraId="7CEF5600" w14:textId="77777777" w:rsidR="009176E7" w:rsidRDefault="009176E7">
            <w:pPr>
              <w:spacing w:before="0" w:after="0"/>
              <w:jc w:val="center"/>
              <w:rPr>
                <w:rFonts w:cstheme="minorHAnsi"/>
              </w:rPr>
            </w:pPr>
            <w:r>
              <w:rPr>
                <w:rFonts w:cstheme="minorHAnsi"/>
              </w:rPr>
              <w:t>CoP</w:t>
            </w:r>
          </w:p>
        </w:tc>
        <w:tc>
          <w:tcPr>
            <w:tcW w:w="1296" w:type="dxa"/>
          </w:tcPr>
          <w:p w14:paraId="04C332F8" w14:textId="77777777" w:rsidR="009176E7" w:rsidRDefault="009176E7">
            <w:pPr>
              <w:spacing w:before="0" w:after="0"/>
              <w:jc w:val="center"/>
              <w:rPr>
                <w:rFonts w:cstheme="minorHAnsi"/>
              </w:rPr>
            </w:pPr>
            <w:r>
              <w:rPr>
                <w:rFonts w:cstheme="minorHAnsi"/>
              </w:rPr>
              <w:t>CoP</w:t>
            </w:r>
          </w:p>
        </w:tc>
        <w:tc>
          <w:tcPr>
            <w:tcW w:w="1296" w:type="dxa"/>
          </w:tcPr>
          <w:p w14:paraId="4F86F609" w14:textId="77777777" w:rsidR="009176E7" w:rsidRDefault="009176E7">
            <w:pPr>
              <w:spacing w:before="0" w:after="0"/>
              <w:jc w:val="center"/>
              <w:rPr>
                <w:rFonts w:cstheme="minorHAnsi"/>
              </w:rPr>
            </w:pPr>
            <w:r>
              <w:rPr>
                <w:rFonts w:cstheme="minorHAnsi"/>
              </w:rPr>
              <w:t>CoP</w:t>
            </w:r>
          </w:p>
        </w:tc>
        <w:tc>
          <w:tcPr>
            <w:tcW w:w="1296" w:type="dxa"/>
          </w:tcPr>
          <w:p w14:paraId="07999BFA" w14:textId="77777777" w:rsidR="009176E7" w:rsidRDefault="009176E7">
            <w:pPr>
              <w:spacing w:before="0" w:after="0"/>
              <w:jc w:val="center"/>
              <w:rPr>
                <w:rFonts w:cstheme="minorHAnsi"/>
              </w:rPr>
            </w:pPr>
          </w:p>
        </w:tc>
      </w:tr>
      <w:tr w:rsidR="009176E7" w14:paraId="720C86F5" w14:textId="77777777">
        <w:trPr>
          <w:trHeight w:val="70"/>
        </w:trPr>
        <w:tc>
          <w:tcPr>
            <w:tcW w:w="3775" w:type="dxa"/>
          </w:tcPr>
          <w:p w14:paraId="734F2200" w14:textId="77777777" w:rsidR="009176E7" w:rsidRDefault="009176E7">
            <w:pPr>
              <w:spacing w:before="0" w:after="0"/>
              <w:rPr>
                <w:rFonts w:cstheme="minorHAnsi"/>
              </w:rPr>
            </w:pPr>
            <w:r>
              <w:t>Disability Accommodation Needs</w:t>
            </w:r>
          </w:p>
        </w:tc>
        <w:tc>
          <w:tcPr>
            <w:tcW w:w="1296" w:type="dxa"/>
          </w:tcPr>
          <w:p w14:paraId="3DD85E8C" w14:textId="77777777" w:rsidR="009176E7" w:rsidRDefault="009176E7">
            <w:pPr>
              <w:spacing w:before="0" w:after="0"/>
              <w:jc w:val="center"/>
              <w:rPr>
                <w:rFonts w:cstheme="minorHAnsi"/>
              </w:rPr>
            </w:pPr>
            <w:r>
              <w:rPr>
                <w:rFonts w:cstheme="minorHAnsi"/>
              </w:rPr>
              <w:t>35%</w:t>
            </w:r>
          </w:p>
        </w:tc>
        <w:tc>
          <w:tcPr>
            <w:tcW w:w="1296" w:type="dxa"/>
          </w:tcPr>
          <w:p w14:paraId="30B00723" w14:textId="77777777" w:rsidR="009176E7" w:rsidRDefault="009176E7">
            <w:pPr>
              <w:spacing w:before="0" w:after="0"/>
              <w:jc w:val="center"/>
              <w:rPr>
                <w:rFonts w:cstheme="minorHAnsi"/>
              </w:rPr>
            </w:pPr>
            <w:r>
              <w:rPr>
                <w:rFonts w:cstheme="minorHAnsi"/>
              </w:rPr>
              <w:t>35%</w:t>
            </w:r>
          </w:p>
        </w:tc>
        <w:tc>
          <w:tcPr>
            <w:tcW w:w="1296" w:type="dxa"/>
          </w:tcPr>
          <w:p w14:paraId="6C0EA13B" w14:textId="77777777" w:rsidR="009176E7" w:rsidRDefault="009176E7">
            <w:pPr>
              <w:spacing w:before="0" w:after="0"/>
              <w:jc w:val="center"/>
              <w:rPr>
                <w:rFonts w:cstheme="minorHAnsi"/>
              </w:rPr>
            </w:pPr>
            <w:r>
              <w:rPr>
                <w:rFonts w:cstheme="minorHAnsi"/>
              </w:rPr>
              <w:t>25%</w:t>
            </w:r>
          </w:p>
        </w:tc>
        <w:tc>
          <w:tcPr>
            <w:tcW w:w="1296" w:type="dxa"/>
          </w:tcPr>
          <w:p w14:paraId="084C3445" w14:textId="77777777" w:rsidR="009176E7" w:rsidRDefault="009176E7">
            <w:pPr>
              <w:spacing w:before="0" w:after="0"/>
              <w:jc w:val="center"/>
              <w:rPr>
                <w:rFonts w:cstheme="minorHAnsi"/>
              </w:rPr>
            </w:pPr>
            <w:r>
              <w:rPr>
                <w:rFonts w:cstheme="minorHAnsi"/>
              </w:rPr>
              <w:t>25%</w:t>
            </w:r>
          </w:p>
        </w:tc>
        <w:tc>
          <w:tcPr>
            <w:tcW w:w="1296" w:type="dxa"/>
          </w:tcPr>
          <w:p w14:paraId="6E7DFAD4" w14:textId="77777777" w:rsidR="009176E7" w:rsidRDefault="009176E7">
            <w:pPr>
              <w:spacing w:before="0" w:after="0"/>
              <w:jc w:val="center"/>
              <w:rPr>
                <w:rFonts w:cstheme="minorHAnsi"/>
              </w:rPr>
            </w:pPr>
          </w:p>
        </w:tc>
      </w:tr>
      <w:tr w:rsidR="009176E7" w14:paraId="49E90BE7" w14:textId="77777777">
        <w:trPr>
          <w:trHeight w:val="70"/>
        </w:trPr>
        <w:tc>
          <w:tcPr>
            <w:tcW w:w="3775" w:type="dxa"/>
            <w:shd w:val="clear" w:color="auto" w:fill="E7EDF3" w:themeFill="accent3" w:themeFillTint="33"/>
          </w:tcPr>
          <w:p w14:paraId="65A24D3A" w14:textId="77777777" w:rsidR="009176E7" w:rsidRDefault="009176E7">
            <w:pPr>
              <w:spacing w:before="0" w:after="0"/>
              <w:rPr>
                <w:rFonts w:cstheme="minorHAnsi"/>
              </w:rPr>
            </w:pPr>
            <w:r w:rsidRPr="00DA11BF">
              <w:rPr>
                <w:b/>
              </w:rPr>
              <w:t xml:space="preserve">Domain 3: </w:t>
            </w:r>
            <w:r>
              <w:rPr>
                <w:b/>
              </w:rPr>
              <w:t>CC</w:t>
            </w:r>
            <w:r w:rsidRPr="00DA11BF">
              <w:rPr>
                <w:b/>
              </w:rPr>
              <w:t xml:space="preserve"> </w:t>
            </w:r>
          </w:p>
        </w:tc>
        <w:tc>
          <w:tcPr>
            <w:tcW w:w="1296" w:type="dxa"/>
            <w:shd w:val="clear" w:color="auto" w:fill="E7EDF3" w:themeFill="accent3" w:themeFillTint="33"/>
          </w:tcPr>
          <w:p w14:paraId="1E799D63" w14:textId="77777777" w:rsidR="009176E7" w:rsidRDefault="009176E7">
            <w:pPr>
              <w:spacing w:before="0" w:after="0"/>
              <w:jc w:val="center"/>
              <w:rPr>
                <w:rFonts w:cstheme="minorHAnsi"/>
              </w:rPr>
            </w:pPr>
          </w:p>
        </w:tc>
        <w:tc>
          <w:tcPr>
            <w:tcW w:w="1296" w:type="dxa"/>
            <w:shd w:val="clear" w:color="auto" w:fill="E7EDF3" w:themeFill="accent3" w:themeFillTint="33"/>
          </w:tcPr>
          <w:p w14:paraId="3A97A759" w14:textId="77777777" w:rsidR="009176E7" w:rsidRDefault="009176E7">
            <w:pPr>
              <w:spacing w:before="0" w:after="0"/>
              <w:jc w:val="center"/>
              <w:rPr>
                <w:rFonts w:cstheme="minorHAnsi"/>
              </w:rPr>
            </w:pPr>
          </w:p>
        </w:tc>
        <w:tc>
          <w:tcPr>
            <w:tcW w:w="1296" w:type="dxa"/>
            <w:shd w:val="clear" w:color="auto" w:fill="E7EDF3" w:themeFill="accent3" w:themeFillTint="33"/>
          </w:tcPr>
          <w:p w14:paraId="66FBC6A3" w14:textId="77777777" w:rsidR="009176E7" w:rsidRDefault="009176E7">
            <w:pPr>
              <w:spacing w:before="0" w:after="0"/>
              <w:jc w:val="center"/>
              <w:rPr>
                <w:rFonts w:cstheme="minorHAnsi"/>
              </w:rPr>
            </w:pPr>
          </w:p>
        </w:tc>
        <w:tc>
          <w:tcPr>
            <w:tcW w:w="1296" w:type="dxa"/>
            <w:shd w:val="clear" w:color="auto" w:fill="E7EDF3" w:themeFill="accent3" w:themeFillTint="33"/>
          </w:tcPr>
          <w:p w14:paraId="64005C17" w14:textId="77777777" w:rsidR="009176E7" w:rsidRDefault="009176E7">
            <w:pPr>
              <w:spacing w:before="0" w:after="0"/>
              <w:jc w:val="center"/>
              <w:rPr>
                <w:rFonts w:cstheme="minorHAnsi"/>
              </w:rPr>
            </w:pPr>
          </w:p>
        </w:tc>
        <w:tc>
          <w:tcPr>
            <w:tcW w:w="1296" w:type="dxa"/>
            <w:shd w:val="clear" w:color="auto" w:fill="E7EDF3" w:themeFill="accent3" w:themeFillTint="33"/>
          </w:tcPr>
          <w:p w14:paraId="7CD9C860" w14:textId="77777777" w:rsidR="009176E7" w:rsidRDefault="009176E7">
            <w:pPr>
              <w:spacing w:before="0" w:after="0"/>
              <w:jc w:val="center"/>
              <w:rPr>
                <w:rFonts w:cstheme="minorHAnsi"/>
              </w:rPr>
            </w:pPr>
            <w:r>
              <w:rPr>
                <w:rFonts w:cstheme="minorHAnsi"/>
              </w:rPr>
              <w:t>0</w:t>
            </w:r>
          </w:p>
        </w:tc>
      </w:tr>
      <w:tr w:rsidR="009176E7" w14:paraId="424F3082" w14:textId="77777777">
        <w:trPr>
          <w:trHeight w:val="70"/>
        </w:trPr>
        <w:tc>
          <w:tcPr>
            <w:tcW w:w="3775" w:type="dxa"/>
          </w:tcPr>
          <w:p w14:paraId="0C7A6EAB" w14:textId="77777777" w:rsidR="009176E7" w:rsidRPr="00DA11BF" w:rsidRDefault="009176E7">
            <w:pPr>
              <w:spacing w:before="0" w:after="0"/>
              <w:rPr>
                <w:b/>
              </w:rPr>
            </w:pPr>
            <w:r>
              <w:t>Patient Experience: Communication, Courtesy, and Respect</w:t>
            </w:r>
          </w:p>
        </w:tc>
        <w:tc>
          <w:tcPr>
            <w:tcW w:w="1296" w:type="dxa"/>
          </w:tcPr>
          <w:p w14:paraId="4FF4501D" w14:textId="77777777" w:rsidR="009176E7" w:rsidRDefault="009176E7">
            <w:pPr>
              <w:spacing w:before="0" w:after="0"/>
              <w:jc w:val="center"/>
              <w:rPr>
                <w:rFonts w:cstheme="minorHAnsi"/>
              </w:rPr>
            </w:pPr>
            <w:r>
              <w:rPr>
                <w:rFonts w:cstheme="minorHAnsi"/>
              </w:rPr>
              <w:t>CoP</w:t>
            </w:r>
          </w:p>
        </w:tc>
        <w:tc>
          <w:tcPr>
            <w:tcW w:w="1296" w:type="dxa"/>
          </w:tcPr>
          <w:p w14:paraId="6AB25900" w14:textId="77777777" w:rsidR="009176E7" w:rsidRDefault="009176E7">
            <w:pPr>
              <w:spacing w:before="0" w:after="0"/>
              <w:jc w:val="center"/>
              <w:rPr>
                <w:rFonts w:cstheme="minorHAnsi"/>
              </w:rPr>
            </w:pPr>
            <w:r>
              <w:rPr>
                <w:rFonts w:cstheme="minorHAnsi"/>
              </w:rPr>
              <w:t>CoP</w:t>
            </w:r>
          </w:p>
        </w:tc>
        <w:tc>
          <w:tcPr>
            <w:tcW w:w="1296" w:type="dxa"/>
          </w:tcPr>
          <w:p w14:paraId="570D477D" w14:textId="77777777" w:rsidR="009176E7" w:rsidRDefault="009176E7">
            <w:pPr>
              <w:spacing w:before="0" w:after="0"/>
              <w:jc w:val="center"/>
              <w:rPr>
                <w:rFonts w:cstheme="minorHAnsi"/>
              </w:rPr>
            </w:pPr>
            <w:r>
              <w:rPr>
                <w:rFonts w:cstheme="minorHAnsi"/>
              </w:rPr>
              <w:t>CoP</w:t>
            </w:r>
          </w:p>
        </w:tc>
        <w:tc>
          <w:tcPr>
            <w:tcW w:w="1296" w:type="dxa"/>
          </w:tcPr>
          <w:p w14:paraId="337C753B" w14:textId="77777777" w:rsidR="009176E7" w:rsidRDefault="009176E7">
            <w:pPr>
              <w:spacing w:before="0" w:after="0"/>
              <w:jc w:val="center"/>
              <w:rPr>
                <w:rFonts w:cstheme="minorHAnsi"/>
              </w:rPr>
            </w:pPr>
            <w:r>
              <w:rPr>
                <w:rFonts w:cstheme="minorHAnsi"/>
              </w:rPr>
              <w:t>CoP</w:t>
            </w:r>
          </w:p>
        </w:tc>
        <w:tc>
          <w:tcPr>
            <w:tcW w:w="1296" w:type="dxa"/>
          </w:tcPr>
          <w:p w14:paraId="48AA24B6" w14:textId="77777777" w:rsidR="009176E7" w:rsidRDefault="009176E7">
            <w:pPr>
              <w:spacing w:before="0" w:after="0"/>
              <w:jc w:val="center"/>
              <w:rPr>
                <w:rFonts w:cstheme="minorHAnsi"/>
              </w:rPr>
            </w:pPr>
          </w:p>
        </w:tc>
      </w:tr>
      <w:tr w:rsidR="009176E7" w14:paraId="189321B7" w14:textId="77777777">
        <w:trPr>
          <w:trHeight w:val="70"/>
        </w:trPr>
        <w:tc>
          <w:tcPr>
            <w:tcW w:w="3775" w:type="dxa"/>
            <w:shd w:val="clear" w:color="auto" w:fill="E7EDF3" w:themeFill="accent3" w:themeFillTint="33"/>
          </w:tcPr>
          <w:p w14:paraId="7304D59F" w14:textId="77777777" w:rsidR="009176E7" w:rsidRDefault="009176E7">
            <w:pPr>
              <w:spacing w:before="0" w:after="0"/>
            </w:pPr>
            <w:r>
              <w:t>Total</w:t>
            </w:r>
          </w:p>
        </w:tc>
        <w:tc>
          <w:tcPr>
            <w:tcW w:w="1296" w:type="dxa"/>
            <w:shd w:val="clear" w:color="auto" w:fill="E7EDF3" w:themeFill="accent3" w:themeFillTint="33"/>
          </w:tcPr>
          <w:p w14:paraId="1B843245" w14:textId="77777777" w:rsidR="009176E7" w:rsidRDefault="009176E7">
            <w:pPr>
              <w:spacing w:before="0" w:after="0"/>
              <w:jc w:val="center"/>
              <w:rPr>
                <w:rFonts w:cstheme="minorHAnsi"/>
              </w:rPr>
            </w:pPr>
            <w:r>
              <w:rPr>
                <w:rFonts w:cstheme="minorHAnsi"/>
              </w:rPr>
              <w:t>100%</w:t>
            </w:r>
          </w:p>
          <w:p w14:paraId="39893E22" w14:textId="77777777" w:rsidR="009176E7" w:rsidRDefault="009176E7">
            <w:pPr>
              <w:spacing w:before="0" w:after="0"/>
              <w:jc w:val="center"/>
              <w:rPr>
                <w:rFonts w:cstheme="minorHAnsi"/>
              </w:rPr>
            </w:pPr>
          </w:p>
        </w:tc>
        <w:tc>
          <w:tcPr>
            <w:tcW w:w="1296" w:type="dxa"/>
            <w:shd w:val="clear" w:color="auto" w:fill="E7EDF3" w:themeFill="accent3" w:themeFillTint="33"/>
          </w:tcPr>
          <w:p w14:paraId="6121799D" w14:textId="77777777" w:rsidR="009176E7" w:rsidRDefault="009176E7">
            <w:pPr>
              <w:spacing w:before="0" w:after="0"/>
              <w:jc w:val="center"/>
              <w:rPr>
                <w:rFonts w:cstheme="minorHAnsi"/>
              </w:rPr>
            </w:pPr>
            <w:r>
              <w:rPr>
                <w:rFonts w:cstheme="minorHAnsi"/>
              </w:rPr>
              <w:t>100%</w:t>
            </w:r>
          </w:p>
        </w:tc>
        <w:tc>
          <w:tcPr>
            <w:tcW w:w="1296" w:type="dxa"/>
            <w:shd w:val="clear" w:color="auto" w:fill="E7EDF3" w:themeFill="accent3" w:themeFillTint="33"/>
          </w:tcPr>
          <w:p w14:paraId="5C435F04" w14:textId="77777777" w:rsidR="009176E7" w:rsidRDefault="009176E7">
            <w:pPr>
              <w:spacing w:before="0" w:after="0"/>
              <w:jc w:val="center"/>
              <w:rPr>
                <w:rFonts w:cstheme="minorHAnsi"/>
              </w:rPr>
            </w:pPr>
            <w:r>
              <w:rPr>
                <w:rFonts w:cstheme="minorHAnsi"/>
              </w:rPr>
              <w:t>100%</w:t>
            </w:r>
          </w:p>
        </w:tc>
        <w:tc>
          <w:tcPr>
            <w:tcW w:w="1296" w:type="dxa"/>
            <w:shd w:val="clear" w:color="auto" w:fill="E7EDF3" w:themeFill="accent3" w:themeFillTint="33"/>
          </w:tcPr>
          <w:p w14:paraId="1FA0F445" w14:textId="77777777" w:rsidR="009176E7" w:rsidRDefault="009176E7">
            <w:pPr>
              <w:spacing w:before="0" w:after="0"/>
              <w:jc w:val="center"/>
              <w:rPr>
                <w:rFonts w:cstheme="minorHAnsi"/>
              </w:rPr>
            </w:pPr>
            <w:r>
              <w:rPr>
                <w:rFonts w:cstheme="minorHAnsi"/>
              </w:rPr>
              <w:t>100%</w:t>
            </w:r>
          </w:p>
        </w:tc>
        <w:tc>
          <w:tcPr>
            <w:tcW w:w="1296" w:type="dxa"/>
            <w:shd w:val="clear" w:color="auto" w:fill="E7EDF3" w:themeFill="accent3" w:themeFillTint="33"/>
          </w:tcPr>
          <w:p w14:paraId="7CC7D068" w14:textId="77777777" w:rsidR="009176E7" w:rsidRDefault="009176E7">
            <w:pPr>
              <w:spacing w:before="0" w:after="0"/>
              <w:jc w:val="center"/>
              <w:rPr>
                <w:rFonts w:cstheme="minorHAnsi"/>
              </w:rPr>
            </w:pPr>
            <w:r>
              <w:rPr>
                <w:rFonts w:cstheme="minorHAnsi"/>
              </w:rPr>
              <w:t>100%</w:t>
            </w:r>
          </w:p>
        </w:tc>
      </w:tr>
    </w:tbl>
    <w:p w14:paraId="5F812DBD" w14:textId="77777777" w:rsidR="009176E7" w:rsidRPr="00346EA5" w:rsidRDefault="009176E7" w:rsidP="001830AE">
      <w:pPr>
        <w:pStyle w:val="BodyText2"/>
        <w:rPr>
          <w:rFonts w:asciiTheme="minorHAnsi" w:hAnsiTheme="minorHAnsi" w:cstheme="minorHAnsi"/>
          <w:i/>
          <w:iCs/>
          <w:sz w:val="22"/>
          <w:szCs w:val="22"/>
        </w:rPr>
      </w:pPr>
      <w:r w:rsidRPr="00346EA5">
        <w:rPr>
          <w:rFonts w:asciiTheme="minorHAnsi" w:hAnsiTheme="minorHAnsi" w:cstheme="minorHAnsi"/>
          <w:i/>
          <w:iCs/>
          <w:sz w:val="22"/>
          <w:szCs w:val="22"/>
        </w:rPr>
        <w:t>*DHRSN=Demographic and Health-Related Social Needs Data; EQA=Equitable Quality and Access ; CC=Capacity and Collaboration</w:t>
      </w:r>
    </w:p>
    <w:p w14:paraId="79C497B4" w14:textId="77777777" w:rsidR="009176E7" w:rsidRPr="00C53FCE" w:rsidRDefault="009176E7" w:rsidP="001830AE">
      <w:pPr>
        <w:spacing w:before="0" w:after="0"/>
        <w:rPr>
          <w:rFonts w:cstheme="minorHAnsi"/>
          <w:i/>
          <w:iCs/>
        </w:rPr>
      </w:pPr>
      <w:r w:rsidRPr="00C53FCE">
        <w:rPr>
          <w:rFonts w:cstheme="minorHAnsi"/>
          <w:i/>
          <w:iCs/>
        </w:rPr>
        <w:t>**CoP = Condition of Participation</w:t>
      </w:r>
    </w:p>
    <w:p w14:paraId="004D0A49" w14:textId="3791D691" w:rsidR="00C53FCE" w:rsidRPr="00C53FCE" w:rsidRDefault="00C53FCE" w:rsidP="00C53FCE">
      <w:pPr>
        <w:rPr>
          <w:rFonts w:cstheme="minorHAnsi"/>
        </w:rPr>
      </w:pPr>
      <w:r w:rsidRPr="00C53FCE">
        <w:rPr>
          <w:rFonts w:cstheme="minorHAnsi"/>
        </w:rPr>
        <w:t>MassHealth will hold each CBHC individually accountable for its performance on the CQEIP</w:t>
      </w:r>
      <w:r w:rsidR="00EE22DE">
        <w:rPr>
          <w:rFonts w:cstheme="minorHAnsi"/>
        </w:rPr>
        <w:t xml:space="preserve"> pay-for-</w:t>
      </w:r>
      <w:r w:rsidRPr="00C53FCE">
        <w:rPr>
          <w:rFonts w:cstheme="minorHAnsi"/>
        </w:rPr>
        <w:t xml:space="preserve">performance measures. MassHealth’s anticipated framework for the CQEIP Performance Assessment Methodology (PAM), which may be adjusted annually as needed (for example, to transition measures from pay-for-reporting to pay-for-performance, accommodate new contextual inputs, address extenuating circumstances impacting performance, etc.), is described below. Measure-specific PAM, including benchmarks, improvement targets, and measure score calculation approach, will be described in forthcoming measure specifications. </w:t>
      </w:r>
    </w:p>
    <w:p w14:paraId="26904639" w14:textId="691D00D0" w:rsidR="00C53FCE" w:rsidRPr="00C53FCE" w:rsidRDefault="00C53FCE" w:rsidP="00761AF7">
      <w:pPr>
        <w:pStyle w:val="ListParagraph"/>
        <w:numPr>
          <w:ilvl w:val="0"/>
          <w:numId w:val="10"/>
        </w:numPr>
        <w:spacing w:after="160" w:line="259" w:lineRule="auto"/>
        <w:rPr>
          <w:rFonts w:asciiTheme="minorHAnsi" w:hAnsiTheme="minorHAnsi" w:cstheme="minorHAnsi"/>
          <w:sz w:val="22"/>
          <w:szCs w:val="22"/>
        </w:rPr>
      </w:pPr>
      <w:r w:rsidRPr="00C53FCE">
        <w:rPr>
          <w:rFonts w:asciiTheme="minorHAnsi" w:hAnsiTheme="minorHAnsi" w:cstheme="minorHAnsi"/>
          <w:b/>
          <w:bCs/>
          <w:sz w:val="22"/>
          <w:szCs w:val="22"/>
        </w:rPr>
        <w:t>Benchmarking</w:t>
      </w:r>
      <w:r w:rsidRPr="00C53FCE">
        <w:rPr>
          <w:rFonts w:asciiTheme="minorHAnsi" w:hAnsiTheme="minorHAnsi" w:cstheme="minorHAnsi"/>
          <w:sz w:val="22"/>
          <w:szCs w:val="22"/>
        </w:rPr>
        <w:t xml:space="preserve">: </w:t>
      </w:r>
    </w:p>
    <w:p w14:paraId="07E2B8ED" w14:textId="77777777" w:rsidR="00C53FCE" w:rsidRPr="00C53FCE" w:rsidRDefault="00C53FCE" w:rsidP="00761AF7">
      <w:pPr>
        <w:pStyle w:val="ListParagraph"/>
        <w:numPr>
          <w:ilvl w:val="1"/>
          <w:numId w:val="10"/>
        </w:numPr>
        <w:spacing w:after="160" w:line="259" w:lineRule="auto"/>
        <w:rPr>
          <w:rFonts w:asciiTheme="minorHAnsi" w:hAnsiTheme="minorHAnsi" w:cstheme="minorHAnsi"/>
          <w:sz w:val="22"/>
          <w:szCs w:val="22"/>
        </w:rPr>
      </w:pPr>
      <w:r w:rsidRPr="00C53FCE">
        <w:rPr>
          <w:rFonts w:asciiTheme="minorHAnsi" w:hAnsiTheme="minorHAnsi" w:cstheme="minorHAnsi"/>
          <w:sz w:val="22"/>
          <w:szCs w:val="22"/>
        </w:rPr>
        <w:t xml:space="preserve">Benchmarks for quantitative measures will include an attainment threshold and goal benchmark and will be set to apply to the full applicable performance period.  </w:t>
      </w:r>
    </w:p>
    <w:p w14:paraId="1FDD1126" w14:textId="77777777" w:rsidR="00C53FCE" w:rsidRPr="00C53FCE" w:rsidRDefault="00C53FCE" w:rsidP="00761AF7">
      <w:pPr>
        <w:pStyle w:val="ListParagraph"/>
        <w:numPr>
          <w:ilvl w:val="1"/>
          <w:numId w:val="10"/>
        </w:numPr>
        <w:spacing w:after="160" w:line="259" w:lineRule="auto"/>
        <w:rPr>
          <w:rFonts w:asciiTheme="minorHAnsi" w:hAnsiTheme="minorHAnsi" w:cstheme="minorHAnsi"/>
          <w:sz w:val="22"/>
          <w:szCs w:val="22"/>
        </w:rPr>
      </w:pPr>
      <w:r w:rsidRPr="00C53FCE">
        <w:rPr>
          <w:rFonts w:asciiTheme="minorHAnsi" w:hAnsiTheme="minorHAnsi" w:cstheme="minorHAnsi"/>
          <w:sz w:val="22"/>
          <w:szCs w:val="22"/>
        </w:rPr>
        <w:t xml:space="preserve">Establishment of benchmarks will be informed by inputs such as initial CQEIP performance data, historical CBHC data/performance, external data/trends, and/or predetermined performance targets determined by MassHealth. </w:t>
      </w:r>
    </w:p>
    <w:p w14:paraId="7EE7A95B" w14:textId="29A7BD99" w:rsidR="00C53FCE" w:rsidRPr="00C53FCE" w:rsidRDefault="00C53FCE" w:rsidP="00761AF7">
      <w:pPr>
        <w:pStyle w:val="ListParagraph"/>
        <w:numPr>
          <w:ilvl w:val="0"/>
          <w:numId w:val="10"/>
        </w:numPr>
        <w:spacing w:after="160" w:line="259" w:lineRule="auto"/>
        <w:rPr>
          <w:rFonts w:asciiTheme="minorHAnsi" w:hAnsiTheme="minorHAnsi" w:cstheme="minorHAnsi"/>
          <w:sz w:val="22"/>
          <w:szCs w:val="22"/>
        </w:rPr>
      </w:pPr>
      <w:r w:rsidRPr="00C53FCE">
        <w:rPr>
          <w:rFonts w:asciiTheme="minorHAnsi" w:hAnsiTheme="minorHAnsi" w:cstheme="minorHAnsi"/>
          <w:b/>
          <w:bCs/>
          <w:sz w:val="22"/>
          <w:szCs w:val="22"/>
        </w:rPr>
        <w:t>Improvement Targets:</w:t>
      </w:r>
      <w:r w:rsidRPr="00C53FCE">
        <w:rPr>
          <w:rFonts w:asciiTheme="minorHAnsi" w:hAnsiTheme="minorHAnsi" w:cstheme="minorHAnsi"/>
          <w:sz w:val="22"/>
          <w:szCs w:val="22"/>
        </w:rPr>
        <w:t xml:space="preserve"> </w:t>
      </w:r>
    </w:p>
    <w:p w14:paraId="1858FE00" w14:textId="77777777" w:rsidR="00C53FCE" w:rsidRPr="00C53FCE" w:rsidRDefault="00C53FCE" w:rsidP="00761AF7">
      <w:pPr>
        <w:pStyle w:val="ListParagraph"/>
        <w:numPr>
          <w:ilvl w:val="1"/>
          <w:numId w:val="10"/>
        </w:numPr>
        <w:spacing w:after="160" w:line="259" w:lineRule="auto"/>
        <w:rPr>
          <w:rFonts w:asciiTheme="minorHAnsi" w:hAnsiTheme="minorHAnsi" w:cstheme="minorHAnsi"/>
          <w:sz w:val="22"/>
          <w:szCs w:val="22"/>
        </w:rPr>
      </w:pPr>
      <w:r w:rsidRPr="00C53FCE">
        <w:rPr>
          <w:rFonts w:asciiTheme="minorHAnsi" w:hAnsiTheme="minorHAnsi" w:cstheme="minorHAnsi"/>
          <w:sz w:val="22"/>
          <w:szCs w:val="22"/>
        </w:rPr>
        <w:t xml:space="preserve">Specific improvement targets and the approach </w:t>
      </w:r>
      <w:proofErr w:type="gramStart"/>
      <w:r w:rsidRPr="00C53FCE">
        <w:rPr>
          <w:rFonts w:asciiTheme="minorHAnsi" w:hAnsiTheme="minorHAnsi" w:cstheme="minorHAnsi"/>
          <w:sz w:val="22"/>
          <w:szCs w:val="22"/>
        </w:rPr>
        <w:t>for</w:t>
      </w:r>
      <w:proofErr w:type="gramEnd"/>
      <w:r w:rsidRPr="00C53FCE">
        <w:rPr>
          <w:rFonts w:asciiTheme="minorHAnsi" w:hAnsiTheme="minorHAnsi" w:cstheme="minorHAnsi"/>
          <w:sz w:val="22"/>
          <w:szCs w:val="22"/>
        </w:rPr>
        <w:t xml:space="preserve"> each measure will be set to apply to the full applicable performance period.  </w:t>
      </w:r>
    </w:p>
    <w:p w14:paraId="2914F5E2" w14:textId="77777777" w:rsidR="00C53FCE" w:rsidRPr="00C53FCE" w:rsidRDefault="00C53FCE" w:rsidP="00761AF7">
      <w:pPr>
        <w:pStyle w:val="ListParagraph"/>
        <w:numPr>
          <w:ilvl w:val="1"/>
          <w:numId w:val="10"/>
        </w:numPr>
        <w:spacing w:after="160" w:line="259" w:lineRule="auto"/>
        <w:rPr>
          <w:rFonts w:asciiTheme="minorHAnsi" w:hAnsiTheme="minorHAnsi" w:cstheme="minorHAnsi"/>
          <w:sz w:val="22"/>
          <w:szCs w:val="22"/>
        </w:rPr>
      </w:pPr>
      <w:r w:rsidRPr="00C53FCE">
        <w:rPr>
          <w:rFonts w:asciiTheme="minorHAnsi" w:hAnsiTheme="minorHAnsi" w:cstheme="minorHAnsi"/>
          <w:sz w:val="22"/>
          <w:szCs w:val="22"/>
        </w:rPr>
        <w:lastRenderedPageBreak/>
        <w:t>The approaches and actual improvement targets may differ by measure based on factors such as performance trends or type of measure; approaches may include year-over-year self-improvement, gap-to-goal percentage point increase, absolute percentage point increases, set milestones and/or goals for improvement.</w:t>
      </w:r>
    </w:p>
    <w:p w14:paraId="24299534" w14:textId="314BA841" w:rsidR="00C53FCE" w:rsidRPr="00C53FCE" w:rsidRDefault="00EE22DE" w:rsidP="00761AF7">
      <w:pPr>
        <w:pStyle w:val="ListParagraph"/>
        <w:numPr>
          <w:ilvl w:val="0"/>
          <w:numId w:val="10"/>
        </w:numPr>
        <w:spacing w:after="160" w:line="259" w:lineRule="auto"/>
        <w:rPr>
          <w:rFonts w:asciiTheme="minorHAnsi" w:hAnsiTheme="minorHAnsi" w:cstheme="minorHAnsi"/>
          <w:sz w:val="22"/>
          <w:szCs w:val="22"/>
        </w:rPr>
      </w:pPr>
      <w:r>
        <w:rPr>
          <w:rFonts w:asciiTheme="minorHAnsi" w:hAnsiTheme="minorHAnsi" w:cstheme="minorHAnsi"/>
          <w:b/>
          <w:bCs/>
          <w:sz w:val="22"/>
          <w:szCs w:val="22"/>
        </w:rPr>
        <w:t>Pay-for-</w:t>
      </w:r>
      <w:r w:rsidR="00C53FCE" w:rsidRPr="00C53FCE">
        <w:rPr>
          <w:rFonts w:asciiTheme="minorHAnsi" w:hAnsiTheme="minorHAnsi" w:cstheme="minorHAnsi"/>
          <w:b/>
          <w:bCs/>
          <w:sz w:val="22"/>
          <w:szCs w:val="22"/>
        </w:rPr>
        <w:t>Performance Measure Score Calculation:</w:t>
      </w:r>
      <w:r w:rsidR="00C53FCE" w:rsidRPr="00C53FCE">
        <w:rPr>
          <w:rFonts w:asciiTheme="minorHAnsi" w:hAnsiTheme="minorHAnsi" w:cstheme="minorHAnsi"/>
          <w:sz w:val="22"/>
          <w:szCs w:val="22"/>
        </w:rPr>
        <w:t xml:space="preserve"> The</w:t>
      </w:r>
      <w:r>
        <w:rPr>
          <w:rFonts w:asciiTheme="minorHAnsi" w:hAnsiTheme="minorHAnsi" w:cstheme="minorHAnsi"/>
          <w:sz w:val="22"/>
          <w:szCs w:val="22"/>
        </w:rPr>
        <w:t xml:space="preserve">  pay-for-</w:t>
      </w:r>
      <w:r w:rsidR="00C53FCE" w:rsidRPr="00C53FCE">
        <w:rPr>
          <w:rFonts w:asciiTheme="minorHAnsi" w:hAnsiTheme="minorHAnsi" w:cstheme="minorHAnsi"/>
          <w:sz w:val="22"/>
          <w:szCs w:val="22"/>
        </w:rPr>
        <w:t>performance measure scoring approach will be consistent, as applicable, with other MassHealth incentive programs or other incentive program practices.  MassHealth will establish a methodology for performance measure scoring for each measure, to be specified in technical specifications</w:t>
      </w:r>
      <w:r w:rsidR="006031EA">
        <w:rPr>
          <w:rFonts w:asciiTheme="minorHAnsi" w:hAnsiTheme="minorHAnsi" w:cstheme="minorHAnsi"/>
          <w:sz w:val="22"/>
          <w:szCs w:val="22"/>
        </w:rPr>
        <w:t>.</w:t>
      </w:r>
    </w:p>
    <w:p w14:paraId="38EBAF97" w14:textId="77777777" w:rsidR="00C53FCE" w:rsidRPr="00C53FCE" w:rsidRDefault="00C53FCE" w:rsidP="00761AF7">
      <w:pPr>
        <w:pStyle w:val="ListParagraph"/>
        <w:numPr>
          <w:ilvl w:val="1"/>
          <w:numId w:val="10"/>
        </w:numPr>
        <w:spacing w:after="160" w:line="259" w:lineRule="auto"/>
        <w:rPr>
          <w:rFonts w:asciiTheme="minorHAnsi" w:hAnsiTheme="minorHAnsi" w:cstheme="minorHAnsi"/>
          <w:sz w:val="22"/>
          <w:szCs w:val="22"/>
        </w:rPr>
      </w:pPr>
      <w:r w:rsidRPr="00C53FCE">
        <w:rPr>
          <w:rFonts w:asciiTheme="minorHAnsi" w:hAnsiTheme="minorHAnsi" w:cstheme="minorHAnsi"/>
          <w:sz w:val="22"/>
          <w:szCs w:val="22"/>
        </w:rPr>
        <w:t xml:space="preserve">Measure scoring will include the following components for each measure:  </w:t>
      </w:r>
    </w:p>
    <w:p w14:paraId="44BBF771" w14:textId="77777777" w:rsidR="00C53FCE" w:rsidRPr="00C53FCE" w:rsidRDefault="00C53FCE" w:rsidP="00761AF7">
      <w:pPr>
        <w:pStyle w:val="ListParagraph"/>
        <w:numPr>
          <w:ilvl w:val="2"/>
          <w:numId w:val="10"/>
        </w:numPr>
        <w:spacing w:after="160" w:line="259" w:lineRule="auto"/>
        <w:rPr>
          <w:rFonts w:asciiTheme="minorHAnsi" w:hAnsiTheme="minorHAnsi" w:cstheme="minorHAnsi"/>
          <w:sz w:val="22"/>
          <w:szCs w:val="22"/>
        </w:rPr>
      </w:pPr>
      <w:r w:rsidRPr="00BB1440">
        <w:rPr>
          <w:rFonts w:asciiTheme="minorHAnsi" w:hAnsiTheme="minorHAnsi" w:cstheme="minorHAnsi"/>
          <w:sz w:val="22"/>
          <w:szCs w:val="22"/>
          <w:u w:val="single"/>
        </w:rPr>
        <w:t>Attainment points</w:t>
      </w:r>
      <w:r w:rsidRPr="00C53FCE">
        <w:rPr>
          <w:rFonts w:asciiTheme="minorHAnsi" w:hAnsiTheme="minorHAnsi" w:cstheme="minorHAnsi"/>
          <w:sz w:val="22"/>
          <w:szCs w:val="22"/>
        </w:rPr>
        <w:t xml:space="preserve"> ranging from 0-10 points.</w:t>
      </w:r>
    </w:p>
    <w:p w14:paraId="7A107DBE" w14:textId="77777777" w:rsidR="00C53FCE" w:rsidRPr="00C53FCE" w:rsidRDefault="00C53FCE" w:rsidP="00761AF7">
      <w:pPr>
        <w:pStyle w:val="ListParagraph"/>
        <w:numPr>
          <w:ilvl w:val="2"/>
          <w:numId w:val="10"/>
        </w:numPr>
        <w:spacing w:after="160" w:line="259" w:lineRule="auto"/>
        <w:rPr>
          <w:rFonts w:asciiTheme="minorHAnsi" w:hAnsiTheme="minorHAnsi" w:cstheme="minorHAnsi"/>
          <w:sz w:val="22"/>
          <w:szCs w:val="22"/>
        </w:rPr>
      </w:pPr>
      <w:r w:rsidRPr="00BB1440">
        <w:rPr>
          <w:rFonts w:asciiTheme="minorHAnsi" w:hAnsiTheme="minorHAnsi" w:cstheme="minorHAnsi"/>
          <w:sz w:val="22"/>
          <w:szCs w:val="22"/>
          <w:u w:val="single"/>
        </w:rPr>
        <w:t>Improvement points</w:t>
      </w:r>
      <w:r w:rsidRPr="00C53FCE">
        <w:rPr>
          <w:rFonts w:asciiTheme="minorHAnsi" w:hAnsiTheme="minorHAnsi" w:cstheme="minorHAnsi"/>
          <w:sz w:val="22"/>
          <w:szCs w:val="22"/>
        </w:rPr>
        <w:t xml:space="preserve"> ranging from 0-10 points.</w:t>
      </w:r>
    </w:p>
    <w:p w14:paraId="65B4DE1A" w14:textId="77777777" w:rsidR="00C53FCE" w:rsidRPr="00C53FCE" w:rsidRDefault="00C53FCE" w:rsidP="00761AF7">
      <w:pPr>
        <w:pStyle w:val="ListParagraph"/>
        <w:numPr>
          <w:ilvl w:val="2"/>
          <w:numId w:val="10"/>
        </w:numPr>
        <w:spacing w:after="160" w:line="259" w:lineRule="auto"/>
        <w:rPr>
          <w:rFonts w:asciiTheme="minorHAnsi" w:hAnsiTheme="minorHAnsi" w:cstheme="minorHAnsi"/>
          <w:sz w:val="22"/>
          <w:szCs w:val="22"/>
        </w:rPr>
      </w:pPr>
      <w:r w:rsidRPr="00BB1440">
        <w:rPr>
          <w:rFonts w:asciiTheme="minorHAnsi" w:hAnsiTheme="minorHAnsi" w:cstheme="minorHAnsi"/>
          <w:sz w:val="22"/>
          <w:szCs w:val="22"/>
          <w:u w:val="single"/>
        </w:rPr>
        <w:t>Potential bonus points</w:t>
      </w:r>
      <w:r w:rsidRPr="00C53FCE">
        <w:rPr>
          <w:rFonts w:asciiTheme="minorHAnsi" w:hAnsiTheme="minorHAnsi" w:cstheme="minorHAnsi"/>
          <w:sz w:val="22"/>
          <w:szCs w:val="22"/>
        </w:rPr>
        <w:t xml:space="preserve"> (with a cap) to ensure all CBHCs have </w:t>
      </w:r>
      <w:proofErr w:type="gramStart"/>
      <w:r w:rsidRPr="00C53FCE">
        <w:rPr>
          <w:rFonts w:asciiTheme="minorHAnsi" w:hAnsiTheme="minorHAnsi" w:cstheme="minorHAnsi"/>
          <w:sz w:val="22"/>
          <w:szCs w:val="22"/>
        </w:rPr>
        <w:t>incentive</w:t>
      </w:r>
      <w:proofErr w:type="gramEnd"/>
      <w:r w:rsidRPr="00C53FCE">
        <w:rPr>
          <w:rFonts w:asciiTheme="minorHAnsi" w:hAnsiTheme="minorHAnsi" w:cstheme="minorHAnsi"/>
          <w:sz w:val="22"/>
          <w:szCs w:val="22"/>
        </w:rPr>
        <w:t xml:space="preserve"> to improve, including high-performing CBHCs.</w:t>
      </w:r>
    </w:p>
    <w:p w14:paraId="66B983DA" w14:textId="069BBB7F" w:rsidR="00C53FCE" w:rsidRPr="00C53FCE" w:rsidRDefault="00C53FCE" w:rsidP="00761AF7">
      <w:pPr>
        <w:pStyle w:val="ListParagraph"/>
        <w:numPr>
          <w:ilvl w:val="2"/>
          <w:numId w:val="10"/>
        </w:numPr>
        <w:spacing w:after="160" w:line="259" w:lineRule="auto"/>
        <w:rPr>
          <w:rFonts w:asciiTheme="minorHAnsi" w:hAnsiTheme="minorHAnsi" w:cstheme="minorHAnsi"/>
          <w:sz w:val="22"/>
          <w:szCs w:val="22"/>
        </w:rPr>
      </w:pPr>
      <w:r w:rsidRPr="00C53FCE">
        <w:rPr>
          <w:rFonts w:asciiTheme="minorHAnsi" w:hAnsiTheme="minorHAnsi" w:cstheme="minorHAnsi"/>
          <w:sz w:val="22"/>
          <w:szCs w:val="22"/>
        </w:rPr>
        <w:t xml:space="preserve">Performance measure scores for each measure will be defined as a ratio between 0-1. Scores will be calculated by the sum of the points earned for each measure divided by the maximum number of points allowable for the measure. The maximum number of points allowable for the measure is the sum of the attainment, improvement and potential bonus points with a determined cap. The score will be calculated as follows: </w:t>
      </w:r>
    </w:p>
    <w:p w14:paraId="76043E6C" w14:textId="77777777" w:rsidR="00C53FCE" w:rsidRPr="00C53FCE" w:rsidRDefault="00C53FCE" w:rsidP="00C53FCE">
      <w:pPr>
        <w:ind w:left="2340"/>
        <w:rPr>
          <w:rFonts w:cstheme="minorHAnsi"/>
          <w:i/>
          <w:iCs/>
        </w:rPr>
      </w:pPr>
      <w:r w:rsidRPr="00C53FCE">
        <w:rPr>
          <w:rFonts w:cstheme="minorHAnsi"/>
          <w:i/>
          <w:iCs/>
        </w:rPr>
        <w:t>Performance Measure Score = Points earned for each measure / Maximum number of points allowable for the measure.</w:t>
      </w:r>
    </w:p>
    <w:p w14:paraId="1BDBBB95" w14:textId="77777777" w:rsidR="00C53FCE" w:rsidRPr="00C53FCE" w:rsidRDefault="00C53FCE" w:rsidP="00761AF7">
      <w:pPr>
        <w:pStyle w:val="ListParagraph"/>
        <w:numPr>
          <w:ilvl w:val="2"/>
          <w:numId w:val="10"/>
        </w:numPr>
        <w:spacing w:after="160" w:line="259" w:lineRule="auto"/>
        <w:rPr>
          <w:rFonts w:asciiTheme="minorHAnsi" w:hAnsiTheme="minorHAnsi" w:cstheme="minorHAnsi"/>
          <w:sz w:val="22"/>
          <w:szCs w:val="22"/>
        </w:rPr>
      </w:pPr>
      <w:r w:rsidRPr="00C53FCE">
        <w:rPr>
          <w:rFonts w:asciiTheme="minorHAnsi" w:hAnsiTheme="minorHAnsi" w:cstheme="minorHAnsi"/>
          <w:sz w:val="22"/>
          <w:szCs w:val="22"/>
        </w:rPr>
        <w:t xml:space="preserve">Some performance measures may have identified sub-measures for which sub-measure performance scores will be calculated in the same manner, but then typically equally weighted to calculate a composite performance measure score.  For sub-measures the score is calculated as follows: </w:t>
      </w:r>
    </w:p>
    <w:p w14:paraId="57B810D4" w14:textId="77777777" w:rsidR="00C53FCE" w:rsidRPr="00C53FCE" w:rsidRDefault="00C53FCE" w:rsidP="00C53FCE">
      <w:pPr>
        <w:pStyle w:val="ListParagraph"/>
        <w:ind w:left="2340"/>
        <w:rPr>
          <w:rFonts w:asciiTheme="minorHAnsi" w:hAnsiTheme="minorHAnsi" w:cstheme="minorHAnsi"/>
          <w:sz w:val="22"/>
          <w:szCs w:val="22"/>
        </w:rPr>
      </w:pPr>
    </w:p>
    <w:p w14:paraId="6186B4B2" w14:textId="73D568D6" w:rsidR="00014AB0" w:rsidRDefault="00C53FCE" w:rsidP="006031EA">
      <w:pPr>
        <w:pStyle w:val="ListParagraph"/>
        <w:ind w:left="2340"/>
        <w:rPr>
          <w:rFonts w:asciiTheme="minorHAnsi" w:hAnsiTheme="minorHAnsi" w:cstheme="minorHAnsi"/>
          <w:i/>
          <w:iCs/>
          <w:sz w:val="22"/>
          <w:szCs w:val="22"/>
        </w:rPr>
      </w:pPr>
      <w:r w:rsidRPr="00C53FCE">
        <w:rPr>
          <w:rFonts w:asciiTheme="minorHAnsi" w:hAnsiTheme="minorHAnsi" w:cstheme="minorHAnsi"/>
          <w:i/>
          <w:iCs/>
          <w:sz w:val="22"/>
          <w:szCs w:val="22"/>
        </w:rPr>
        <w:t>Performance Measure Score = Sum of each (Sub-measure Score X Sub-measure Weighting).</w:t>
      </w:r>
    </w:p>
    <w:p w14:paraId="42EE705A" w14:textId="77777777" w:rsidR="006031EA" w:rsidRPr="006031EA" w:rsidRDefault="006031EA" w:rsidP="006031EA">
      <w:pPr>
        <w:pStyle w:val="ListParagraph"/>
        <w:ind w:left="2340"/>
        <w:rPr>
          <w:rFonts w:asciiTheme="minorHAnsi" w:hAnsiTheme="minorHAnsi" w:cstheme="minorHAnsi"/>
          <w:i/>
          <w:iCs/>
          <w:sz w:val="22"/>
          <w:szCs w:val="22"/>
        </w:rPr>
      </w:pPr>
    </w:p>
    <w:p w14:paraId="110FA836" w14:textId="21A37EC5" w:rsidR="00C53FCE" w:rsidRPr="00C53FCE" w:rsidRDefault="00C53FCE" w:rsidP="00761AF7">
      <w:pPr>
        <w:pStyle w:val="ListParagraph"/>
        <w:numPr>
          <w:ilvl w:val="0"/>
          <w:numId w:val="10"/>
        </w:numPr>
        <w:spacing w:after="160" w:line="259" w:lineRule="auto"/>
        <w:rPr>
          <w:rFonts w:asciiTheme="minorHAnsi" w:hAnsiTheme="minorHAnsi" w:cstheme="minorHAnsi"/>
          <w:sz w:val="22"/>
          <w:szCs w:val="22"/>
        </w:rPr>
      </w:pPr>
      <w:r w:rsidRPr="00C53FCE">
        <w:rPr>
          <w:rFonts w:asciiTheme="minorHAnsi" w:hAnsiTheme="minorHAnsi" w:cstheme="minorHAnsi"/>
          <w:b/>
          <w:bCs/>
          <w:sz w:val="22"/>
          <w:szCs w:val="22"/>
        </w:rPr>
        <w:t>Health Equity Score Calculation:</w:t>
      </w:r>
      <w:r w:rsidRPr="00C53FCE">
        <w:rPr>
          <w:rFonts w:asciiTheme="minorHAnsi" w:hAnsiTheme="minorHAnsi" w:cstheme="minorHAnsi"/>
          <w:sz w:val="22"/>
          <w:szCs w:val="22"/>
        </w:rPr>
        <w:t xml:space="preserve"> The overall Health Equity Scoring approach will, as applicable, be consistent with other MassHealth incentive programs or other incentive program practices. Using the predetermined weights </w:t>
      </w:r>
      <w:r w:rsidRPr="0099424A">
        <w:rPr>
          <w:rFonts w:asciiTheme="minorHAnsi" w:hAnsiTheme="minorHAnsi" w:cstheme="minorHAnsi"/>
          <w:sz w:val="22"/>
          <w:szCs w:val="22"/>
        </w:rPr>
        <w:t xml:space="preserve">specified in Table </w:t>
      </w:r>
      <w:r w:rsidR="00E65F44">
        <w:rPr>
          <w:rFonts w:asciiTheme="minorHAnsi" w:hAnsiTheme="minorHAnsi" w:cstheme="minorHAnsi"/>
          <w:sz w:val="22"/>
          <w:szCs w:val="22"/>
        </w:rPr>
        <w:t>5</w:t>
      </w:r>
      <w:r w:rsidR="0099424A" w:rsidRPr="0099424A">
        <w:rPr>
          <w:rFonts w:asciiTheme="minorHAnsi" w:hAnsiTheme="minorHAnsi" w:cstheme="minorHAnsi"/>
          <w:sz w:val="22"/>
          <w:szCs w:val="22"/>
        </w:rPr>
        <w:t xml:space="preserve"> above</w:t>
      </w:r>
      <w:r w:rsidRPr="0099424A">
        <w:rPr>
          <w:rFonts w:asciiTheme="minorHAnsi" w:hAnsiTheme="minorHAnsi" w:cstheme="minorHAnsi"/>
          <w:sz w:val="22"/>
          <w:szCs w:val="22"/>
        </w:rPr>
        <w:t xml:space="preserve">, a health equity score will be calculated by taking each </w:t>
      </w:r>
      <w:r w:rsidR="00E65F44">
        <w:rPr>
          <w:rFonts w:asciiTheme="minorHAnsi" w:hAnsiTheme="minorHAnsi" w:cstheme="minorHAnsi"/>
          <w:sz w:val="22"/>
          <w:szCs w:val="22"/>
        </w:rPr>
        <w:t xml:space="preserve">measure score </w:t>
      </w:r>
      <w:r w:rsidRPr="0099424A">
        <w:rPr>
          <w:rFonts w:asciiTheme="minorHAnsi" w:hAnsiTheme="minorHAnsi" w:cstheme="minorHAnsi"/>
          <w:sz w:val="22"/>
          <w:szCs w:val="22"/>
        </w:rPr>
        <w:t xml:space="preserve">and calculating the sum of each </w:t>
      </w:r>
      <w:r w:rsidR="00E65F44">
        <w:rPr>
          <w:rFonts w:asciiTheme="minorHAnsi" w:hAnsiTheme="minorHAnsi" w:cstheme="minorHAnsi"/>
          <w:sz w:val="22"/>
          <w:szCs w:val="22"/>
        </w:rPr>
        <w:t xml:space="preserve">measure </w:t>
      </w:r>
      <w:r w:rsidRPr="0099424A">
        <w:rPr>
          <w:rFonts w:asciiTheme="minorHAnsi" w:hAnsiTheme="minorHAnsi" w:cstheme="minorHAnsi"/>
          <w:sz w:val="22"/>
          <w:szCs w:val="22"/>
        </w:rPr>
        <w:t xml:space="preserve">score multiplied by its respective </w:t>
      </w:r>
      <w:r w:rsidR="00E65F44">
        <w:rPr>
          <w:rFonts w:asciiTheme="minorHAnsi" w:hAnsiTheme="minorHAnsi" w:cstheme="minorHAnsi"/>
          <w:sz w:val="22"/>
          <w:szCs w:val="22"/>
        </w:rPr>
        <w:t>measure weight</w:t>
      </w:r>
      <w:r w:rsidRPr="0099424A">
        <w:rPr>
          <w:rFonts w:asciiTheme="minorHAnsi" w:hAnsiTheme="minorHAnsi" w:cstheme="minorHAnsi"/>
          <w:sz w:val="22"/>
          <w:szCs w:val="22"/>
        </w:rPr>
        <w:t>:</w:t>
      </w:r>
      <w:r w:rsidRPr="00C53FCE">
        <w:rPr>
          <w:rFonts w:asciiTheme="minorHAnsi" w:hAnsiTheme="minorHAnsi" w:cstheme="minorHAnsi"/>
          <w:sz w:val="22"/>
          <w:szCs w:val="22"/>
        </w:rPr>
        <w:t xml:space="preserve"> </w:t>
      </w:r>
    </w:p>
    <w:p w14:paraId="5DD475F8" w14:textId="77777777" w:rsidR="00621CC8" w:rsidRDefault="00621CC8" w:rsidP="00C53FCE">
      <w:pPr>
        <w:pStyle w:val="ListParagraph"/>
        <w:rPr>
          <w:rFonts w:asciiTheme="minorHAnsi" w:hAnsiTheme="minorHAnsi" w:cstheme="minorHAnsi"/>
          <w:i/>
          <w:iCs/>
          <w:strike/>
          <w:color w:val="FF0000"/>
          <w:sz w:val="22"/>
          <w:szCs w:val="22"/>
        </w:rPr>
      </w:pPr>
    </w:p>
    <w:p w14:paraId="29275A8B" w14:textId="714E2453" w:rsidR="00617A1C" w:rsidRPr="00617A1C" w:rsidRDefault="00617A1C" w:rsidP="00C53FCE">
      <w:pPr>
        <w:pStyle w:val="ListParagraph"/>
        <w:rPr>
          <w:rFonts w:asciiTheme="minorHAnsi" w:hAnsiTheme="minorHAnsi" w:cstheme="minorHAnsi"/>
          <w:color w:val="FF0000"/>
          <w:sz w:val="22"/>
          <w:szCs w:val="22"/>
        </w:rPr>
      </w:pPr>
      <w:r w:rsidRPr="00617A1C">
        <w:rPr>
          <w:rFonts w:asciiTheme="minorHAnsi" w:hAnsiTheme="minorHAnsi" w:cstheme="minorHAnsi"/>
          <w:sz w:val="22"/>
          <w:szCs w:val="22"/>
        </w:rPr>
        <w:t>Health Equity Score =  Sum of each (Measure Score * Measure Weight)</w:t>
      </w:r>
      <w:r w:rsidR="00EE22DE">
        <w:rPr>
          <w:rFonts w:asciiTheme="minorHAnsi" w:hAnsiTheme="minorHAnsi" w:cstheme="minorHAnsi"/>
          <w:sz w:val="22"/>
          <w:szCs w:val="22"/>
        </w:rPr>
        <w:t xml:space="preserve"> * 100</w:t>
      </w:r>
    </w:p>
    <w:p w14:paraId="53C854C1" w14:textId="77777777" w:rsidR="00C53FCE" w:rsidRPr="00C53FCE" w:rsidRDefault="00C53FCE" w:rsidP="00C53FCE">
      <w:pPr>
        <w:pStyle w:val="ListParagraph"/>
        <w:rPr>
          <w:rFonts w:asciiTheme="minorHAnsi" w:hAnsiTheme="minorHAnsi" w:cstheme="minorHAnsi"/>
          <w:sz w:val="22"/>
          <w:szCs w:val="22"/>
        </w:rPr>
      </w:pPr>
    </w:p>
    <w:p w14:paraId="031063D5" w14:textId="603C79A2" w:rsidR="0050153B" w:rsidRPr="00C53FCE" w:rsidRDefault="00C53FCE" w:rsidP="00C53FCE">
      <w:pPr>
        <w:pStyle w:val="ListParagraph"/>
        <w:rPr>
          <w:rFonts w:asciiTheme="minorHAnsi" w:hAnsiTheme="minorHAnsi" w:cstheme="minorHAnsi"/>
          <w:sz w:val="22"/>
          <w:szCs w:val="22"/>
        </w:rPr>
      </w:pPr>
      <w:r w:rsidRPr="00C53FCE">
        <w:rPr>
          <w:rFonts w:asciiTheme="minorHAnsi" w:hAnsiTheme="minorHAnsi" w:cstheme="minorHAnsi"/>
          <w:sz w:val="22"/>
          <w:szCs w:val="22"/>
        </w:rPr>
        <w:t>The final Health Equity Score will be used to calculate the CBHC’s</w:t>
      </w:r>
      <w:r w:rsidR="00EE22DE">
        <w:rPr>
          <w:rFonts w:asciiTheme="minorHAnsi" w:hAnsiTheme="minorHAnsi" w:cstheme="minorHAnsi"/>
          <w:sz w:val="22"/>
          <w:szCs w:val="22"/>
        </w:rPr>
        <w:t xml:space="preserve"> final</w:t>
      </w:r>
      <w:r w:rsidRPr="00C53FCE">
        <w:rPr>
          <w:rFonts w:asciiTheme="minorHAnsi" w:hAnsiTheme="minorHAnsi" w:cstheme="minorHAnsi"/>
          <w:sz w:val="22"/>
          <w:szCs w:val="22"/>
        </w:rPr>
        <w:t xml:space="preserve"> earned incentive payment</w:t>
      </w:r>
      <w:r w:rsidR="00EE22DE">
        <w:rPr>
          <w:rFonts w:asciiTheme="minorHAnsi" w:hAnsiTheme="minorHAnsi" w:cstheme="minorHAnsi"/>
          <w:sz w:val="22"/>
          <w:szCs w:val="22"/>
        </w:rPr>
        <w:t xml:space="preserve"> </w:t>
      </w:r>
      <w:r w:rsidR="006031EA">
        <w:rPr>
          <w:rFonts w:asciiTheme="minorHAnsi" w:hAnsiTheme="minorHAnsi" w:cstheme="minorHAnsi"/>
          <w:sz w:val="22"/>
          <w:szCs w:val="22"/>
        </w:rPr>
        <w:t xml:space="preserve">for the CQEIP </w:t>
      </w:r>
      <w:r w:rsidR="00EE22DE">
        <w:rPr>
          <w:rFonts w:asciiTheme="minorHAnsi" w:hAnsiTheme="minorHAnsi" w:cstheme="minorHAnsi"/>
          <w:sz w:val="22"/>
          <w:szCs w:val="22"/>
        </w:rPr>
        <w:t>each performance year.</w:t>
      </w:r>
    </w:p>
    <w:p w14:paraId="0B13322B" w14:textId="77777777" w:rsidR="009C1331" w:rsidRDefault="009C1331">
      <w:pPr>
        <w:spacing w:before="0" w:after="0" w:line="240" w:lineRule="auto"/>
        <w:rPr>
          <w:rFonts w:eastAsia="Times New Roman" w:cstheme="minorHAnsi"/>
        </w:rPr>
      </w:pPr>
      <w:r>
        <w:rPr>
          <w:rFonts w:cstheme="minorHAnsi"/>
        </w:rPr>
        <w:br w:type="page"/>
      </w:r>
    </w:p>
    <w:p w14:paraId="449AB6C5" w14:textId="2DEF5204" w:rsidR="00346EA5" w:rsidRDefault="001F6E5B" w:rsidP="009C1331">
      <w:pPr>
        <w:pStyle w:val="Heading1"/>
      </w:pPr>
      <w:bookmarkStart w:id="33" w:name="_Toc197680248"/>
      <w:r>
        <w:lastRenderedPageBreak/>
        <w:t>Appendix A. List of CBHC TIN-billing Entities</w:t>
      </w:r>
      <w:bookmarkEnd w:id="33"/>
    </w:p>
    <w:tbl>
      <w:tblPr>
        <w:tblStyle w:val="TableGrid"/>
        <w:tblW w:w="9805" w:type="dxa"/>
        <w:tblLook w:val="04A0" w:firstRow="1" w:lastRow="0" w:firstColumn="1" w:lastColumn="0" w:noHBand="0" w:noVBand="1"/>
      </w:tblPr>
      <w:tblGrid>
        <w:gridCol w:w="630"/>
        <w:gridCol w:w="9175"/>
      </w:tblGrid>
      <w:tr w:rsidR="00A10B4D" w14:paraId="549A85B9" w14:textId="60C50920" w:rsidTr="230ED2FD">
        <w:tc>
          <w:tcPr>
            <w:tcW w:w="630" w:type="dxa"/>
            <w:shd w:val="clear" w:color="auto" w:fill="E7EDF3" w:themeFill="accent3" w:themeFillTint="33"/>
          </w:tcPr>
          <w:p w14:paraId="52839FAE" w14:textId="68064B71" w:rsidR="00A10B4D" w:rsidRDefault="00A10B4D" w:rsidP="0050153B">
            <w:pPr>
              <w:spacing w:before="0" w:after="0"/>
            </w:pPr>
            <w:r>
              <w:t>#</w:t>
            </w:r>
          </w:p>
        </w:tc>
        <w:tc>
          <w:tcPr>
            <w:tcW w:w="9175" w:type="dxa"/>
            <w:shd w:val="clear" w:color="auto" w:fill="E7EDF3" w:themeFill="accent3" w:themeFillTint="33"/>
          </w:tcPr>
          <w:p w14:paraId="1E91A603" w14:textId="41FED38B" w:rsidR="00A10B4D" w:rsidRDefault="00A10B4D" w:rsidP="0050153B">
            <w:pPr>
              <w:spacing w:before="0" w:after="0"/>
            </w:pPr>
            <w:r>
              <w:t>CBHC TIN-Billing Entity Name</w:t>
            </w:r>
          </w:p>
        </w:tc>
      </w:tr>
      <w:tr w:rsidR="00A10B4D" w14:paraId="7B0988DD" w14:textId="41396235" w:rsidTr="230ED2FD">
        <w:tc>
          <w:tcPr>
            <w:tcW w:w="630" w:type="dxa"/>
          </w:tcPr>
          <w:p w14:paraId="4708F2BB" w14:textId="1F74A3B9" w:rsidR="00A10B4D" w:rsidRDefault="00EE22DE" w:rsidP="0050153B">
            <w:pPr>
              <w:spacing w:before="0" w:after="0"/>
            </w:pPr>
            <w:r>
              <w:t>1</w:t>
            </w:r>
          </w:p>
        </w:tc>
        <w:tc>
          <w:tcPr>
            <w:tcW w:w="9175" w:type="dxa"/>
          </w:tcPr>
          <w:p w14:paraId="3D54D8AF" w14:textId="7ED07A03" w:rsidR="00A10B4D" w:rsidRDefault="0084382A" w:rsidP="0050153B">
            <w:pPr>
              <w:spacing w:before="0" w:after="0"/>
            </w:pPr>
            <w:r>
              <w:t>Advocates Community Counseling</w:t>
            </w:r>
          </w:p>
        </w:tc>
      </w:tr>
      <w:tr w:rsidR="00A10B4D" w14:paraId="22831DC7" w14:textId="02FEF113" w:rsidTr="230ED2FD">
        <w:tc>
          <w:tcPr>
            <w:tcW w:w="630" w:type="dxa"/>
          </w:tcPr>
          <w:p w14:paraId="37D47794" w14:textId="64B96603" w:rsidR="00A10B4D" w:rsidRDefault="00EE22DE" w:rsidP="0050153B">
            <w:pPr>
              <w:spacing w:before="0" w:after="0"/>
            </w:pPr>
            <w:r>
              <w:t>2</w:t>
            </w:r>
          </w:p>
        </w:tc>
        <w:tc>
          <w:tcPr>
            <w:tcW w:w="9175" w:type="dxa"/>
          </w:tcPr>
          <w:p w14:paraId="6CFC34D1" w14:textId="7D7774FB" w:rsidR="00A10B4D" w:rsidRDefault="0084382A" w:rsidP="0050153B">
            <w:pPr>
              <w:spacing w:before="0" w:after="0"/>
            </w:pPr>
            <w:r>
              <w:t>Aspire Health Alliance</w:t>
            </w:r>
          </w:p>
        </w:tc>
      </w:tr>
      <w:tr w:rsidR="00A10B4D" w14:paraId="5AE51420" w14:textId="06D39104" w:rsidTr="230ED2FD">
        <w:tc>
          <w:tcPr>
            <w:tcW w:w="630" w:type="dxa"/>
          </w:tcPr>
          <w:p w14:paraId="1B1A2BD8" w14:textId="378B5DED" w:rsidR="00A10B4D" w:rsidRDefault="00EE22DE" w:rsidP="0050153B">
            <w:pPr>
              <w:spacing w:before="0" w:after="0"/>
            </w:pPr>
            <w:r>
              <w:t>3</w:t>
            </w:r>
          </w:p>
        </w:tc>
        <w:tc>
          <w:tcPr>
            <w:tcW w:w="9175" w:type="dxa"/>
          </w:tcPr>
          <w:p w14:paraId="5610BB0F" w14:textId="2CFC175A" w:rsidR="00A10B4D" w:rsidRDefault="0084382A" w:rsidP="0050153B">
            <w:pPr>
              <w:spacing w:before="0" w:after="0"/>
            </w:pPr>
            <w:r>
              <w:t>Bay Cove Human Services</w:t>
            </w:r>
          </w:p>
        </w:tc>
      </w:tr>
      <w:tr w:rsidR="00A10B4D" w14:paraId="6137B515" w14:textId="10C87C7A" w:rsidTr="230ED2FD">
        <w:trPr>
          <w:trHeight w:val="71"/>
        </w:trPr>
        <w:tc>
          <w:tcPr>
            <w:tcW w:w="630" w:type="dxa"/>
          </w:tcPr>
          <w:p w14:paraId="2141FC20" w14:textId="789F28F5" w:rsidR="00A10B4D" w:rsidRDefault="00EE22DE" w:rsidP="0050153B">
            <w:pPr>
              <w:spacing w:before="0" w:after="0"/>
            </w:pPr>
            <w:r>
              <w:t>4</w:t>
            </w:r>
          </w:p>
        </w:tc>
        <w:tc>
          <w:tcPr>
            <w:tcW w:w="9175" w:type="dxa"/>
          </w:tcPr>
          <w:p w14:paraId="7B720BB2" w14:textId="387D041E" w:rsidR="00B87798" w:rsidRDefault="0084382A" w:rsidP="0050153B">
            <w:pPr>
              <w:spacing w:before="0" w:after="0"/>
            </w:pPr>
            <w:r>
              <w:t>Behavioral Health Network</w:t>
            </w:r>
          </w:p>
        </w:tc>
      </w:tr>
      <w:tr w:rsidR="00A10B4D" w14:paraId="3CBA63A8" w14:textId="0BBB61F6" w:rsidTr="230ED2FD">
        <w:tc>
          <w:tcPr>
            <w:tcW w:w="630" w:type="dxa"/>
          </w:tcPr>
          <w:p w14:paraId="312AC590" w14:textId="0CF3335F" w:rsidR="00A10B4D" w:rsidRDefault="00EE22DE" w:rsidP="0050153B">
            <w:pPr>
              <w:spacing w:before="0" w:after="0"/>
            </w:pPr>
            <w:r>
              <w:t>5</w:t>
            </w:r>
          </w:p>
        </w:tc>
        <w:tc>
          <w:tcPr>
            <w:tcW w:w="9175" w:type="dxa"/>
          </w:tcPr>
          <w:p w14:paraId="50EA0479" w14:textId="0F7578A1" w:rsidR="00A10B4D" w:rsidRDefault="0084382A" w:rsidP="0050153B">
            <w:pPr>
              <w:spacing w:before="0" w:after="0"/>
            </w:pPr>
            <w:r>
              <w:t>Beth Israel Lahey</w:t>
            </w:r>
            <w:r w:rsidR="00B4379A">
              <w:t xml:space="preserve"> Health</w:t>
            </w:r>
            <w:r>
              <w:t xml:space="preserve"> Behavioral</w:t>
            </w:r>
            <w:r w:rsidR="00B4379A">
              <w:t xml:space="preserve"> </w:t>
            </w:r>
            <w:r>
              <w:t>Services</w:t>
            </w:r>
          </w:p>
        </w:tc>
      </w:tr>
      <w:tr w:rsidR="00EE22DE" w14:paraId="39509DEE" w14:textId="77777777" w:rsidTr="230ED2FD">
        <w:tc>
          <w:tcPr>
            <w:tcW w:w="630" w:type="dxa"/>
          </w:tcPr>
          <w:p w14:paraId="76809FDE" w14:textId="3B45332A" w:rsidR="00EE22DE" w:rsidRDefault="00EE22DE" w:rsidP="0050153B">
            <w:pPr>
              <w:spacing w:before="0" w:after="0"/>
            </w:pPr>
            <w:r>
              <w:t>6</w:t>
            </w:r>
          </w:p>
        </w:tc>
        <w:tc>
          <w:tcPr>
            <w:tcW w:w="9175" w:type="dxa"/>
          </w:tcPr>
          <w:p w14:paraId="3F81F139" w14:textId="77A5F277" w:rsidR="00EE22DE" w:rsidRDefault="0084382A" w:rsidP="0050153B">
            <w:pPr>
              <w:spacing w:before="0" w:after="0"/>
            </w:pPr>
            <w:r>
              <w:t>Boston Medical Center</w:t>
            </w:r>
          </w:p>
        </w:tc>
      </w:tr>
      <w:tr w:rsidR="00EE22DE" w14:paraId="7435487E" w14:textId="77777777" w:rsidTr="230ED2FD">
        <w:tc>
          <w:tcPr>
            <w:tcW w:w="630" w:type="dxa"/>
          </w:tcPr>
          <w:p w14:paraId="681480CB" w14:textId="68C8ACEB" w:rsidR="00EE22DE" w:rsidRDefault="00EE22DE" w:rsidP="0050153B">
            <w:pPr>
              <w:spacing w:before="0" w:after="0"/>
            </w:pPr>
            <w:r>
              <w:t>7</w:t>
            </w:r>
          </w:p>
        </w:tc>
        <w:tc>
          <w:tcPr>
            <w:tcW w:w="9175" w:type="dxa"/>
          </w:tcPr>
          <w:p w14:paraId="759DD9AA" w14:textId="4FFAA073" w:rsidR="00EE22DE" w:rsidRDefault="0084382A" w:rsidP="0050153B">
            <w:pPr>
              <w:spacing w:before="0" w:after="0"/>
            </w:pPr>
            <w:r>
              <w:t>Cambridge Health Alliance</w:t>
            </w:r>
          </w:p>
        </w:tc>
      </w:tr>
      <w:tr w:rsidR="00EE22DE" w14:paraId="15096E65" w14:textId="77777777" w:rsidTr="230ED2FD">
        <w:tc>
          <w:tcPr>
            <w:tcW w:w="630" w:type="dxa"/>
          </w:tcPr>
          <w:p w14:paraId="4B3ADFF5" w14:textId="759EAB54" w:rsidR="00EE22DE" w:rsidRDefault="00EE22DE" w:rsidP="0050153B">
            <w:pPr>
              <w:spacing w:before="0" w:after="0"/>
            </w:pPr>
            <w:r>
              <w:t>8</w:t>
            </w:r>
          </w:p>
        </w:tc>
        <w:tc>
          <w:tcPr>
            <w:tcW w:w="9175" w:type="dxa"/>
          </w:tcPr>
          <w:p w14:paraId="2CAE9A10" w14:textId="5BB63383" w:rsidR="00EE22DE" w:rsidRDefault="0084382A" w:rsidP="0050153B">
            <w:pPr>
              <w:spacing w:before="0" w:after="0"/>
            </w:pPr>
            <w:r>
              <w:t>Center for Human Development</w:t>
            </w:r>
          </w:p>
        </w:tc>
      </w:tr>
      <w:tr w:rsidR="00EE22DE" w14:paraId="1BB0109B" w14:textId="77777777" w:rsidTr="230ED2FD">
        <w:tc>
          <w:tcPr>
            <w:tcW w:w="630" w:type="dxa"/>
          </w:tcPr>
          <w:p w14:paraId="37F14529" w14:textId="631FAE4C" w:rsidR="00EE22DE" w:rsidRDefault="00EE22DE" w:rsidP="0050153B">
            <w:pPr>
              <w:spacing w:before="0" w:after="0"/>
            </w:pPr>
            <w:r>
              <w:t>9</w:t>
            </w:r>
          </w:p>
        </w:tc>
        <w:tc>
          <w:tcPr>
            <w:tcW w:w="9175" w:type="dxa"/>
          </w:tcPr>
          <w:p w14:paraId="3DF706BE" w14:textId="25247EFC" w:rsidR="00EE22DE" w:rsidRDefault="0084382A" w:rsidP="0050153B">
            <w:pPr>
              <w:spacing w:before="0" w:after="0"/>
            </w:pPr>
            <w:r>
              <w:t>Child and Family Services</w:t>
            </w:r>
          </w:p>
        </w:tc>
      </w:tr>
      <w:tr w:rsidR="00EE22DE" w14:paraId="2EBD6AE8" w14:textId="77777777" w:rsidTr="230ED2FD">
        <w:tc>
          <w:tcPr>
            <w:tcW w:w="630" w:type="dxa"/>
          </w:tcPr>
          <w:p w14:paraId="40AE3F38" w14:textId="19F01F2B" w:rsidR="00EE22DE" w:rsidRDefault="00EE22DE" w:rsidP="0050153B">
            <w:pPr>
              <w:spacing w:before="0" w:after="0"/>
            </w:pPr>
            <w:r>
              <w:t>10</w:t>
            </w:r>
          </w:p>
        </w:tc>
        <w:tc>
          <w:tcPr>
            <w:tcW w:w="9175" w:type="dxa"/>
          </w:tcPr>
          <w:p w14:paraId="77BC2CCB" w14:textId="118C699D" w:rsidR="00EE22DE" w:rsidRDefault="0084382A" w:rsidP="0050153B">
            <w:pPr>
              <w:spacing w:before="0" w:after="0"/>
            </w:pPr>
            <w:r>
              <w:t>Clinical and Support Options</w:t>
            </w:r>
          </w:p>
        </w:tc>
      </w:tr>
      <w:tr w:rsidR="00F44138" w14:paraId="2117EB3D" w14:textId="77777777" w:rsidTr="230ED2FD">
        <w:tc>
          <w:tcPr>
            <w:tcW w:w="630" w:type="dxa"/>
          </w:tcPr>
          <w:p w14:paraId="75C4A524" w14:textId="12216864" w:rsidR="00F44138" w:rsidRDefault="00F44138" w:rsidP="00F44138">
            <w:pPr>
              <w:spacing w:before="0" w:after="0"/>
            </w:pPr>
            <w:r>
              <w:t>11</w:t>
            </w:r>
          </w:p>
        </w:tc>
        <w:tc>
          <w:tcPr>
            <w:tcW w:w="9175" w:type="dxa"/>
          </w:tcPr>
          <w:p w14:paraId="14005D40" w14:textId="2D08084A" w:rsidR="00F44138" w:rsidRDefault="00F44138" w:rsidP="00F44138">
            <w:pPr>
              <w:spacing w:before="0" w:after="0"/>
            </w:pPr>
            <w:r>
              <w:t>Community Counseling of Bristol County</w:t>
            </w:r>
          </w:p>
        </w:tc>
      </w:tr>
      <w:tr w:rsidR="00F44138" w14:paraId="159DFE5B" w14:textId="77777777" w:rsidTr="230ED2FD">
        <w:tc>
          <w:tcPr>
            <w:tcW w:w="630" w:type="dxa"/>
          </w:tcPr>
          <w:p w14:paraId="5680640C" w14:textId="0D22F7ED" w:rsidR="00F44138" w:rsidRDefault="00F44138" w:rsidP="00F44138">
            <w:pPr>
              <w:spacing w:before="0" w:after="0"/>
            </w:pPr>
            <w:r>
              <w:t>12</w:t>
            </w:r>
          </w:p>
        </w:tc>
        <w:tc>
          <w:tcPr>
            <w:tcW w:w="9175" w:type="dxa"/>
          </w:tcPr>
          <w:p w14:paraId="168AF9E7" w14:textId="005DFECB" w:rsidR="00F44138" w:rsidRDefault="00F44138" w:rsidP="00F44138">
            <w:pPr>
              <w:spacing w:before="0" w:after="0"/>
            </w:pPr>
            <w:r>
              <w:t xml:space="preserve">Community </w:t>
            </w:r>
            <w:proofErr w:type="spellStart"/>
            <w:r>
              <w:t>HealthLink</w:t>
            </w:r>
            <w:proofErr w:type="spellEnd"/>
          </w:p>
        </w:tc>
      </w:tr>
      <w:tr w:rsidR="00F44138" w14:paraId="6CA1C063" w14:textId="77777777" w:rsidTr="230ED2FD">
        <w:tc>
          <w:tcPr>
            <w:tcW w:w="630" w:type="dxa"/>
          </w:tcPr>
          <w:p w14:paraId="62870FB2" w14:textId="06F997E5" w:rsidR="00F44138" w:rsidRDefault="00F44138" w:rsidP="00F44138">
            <w:pPr>
              <w:spacing w:before="0" w:after="0"/>
            </w:pPr>
            <w:r>
              <w:t>13</w:t>
            </w:r>
          </w:p>
        </w:tc>
        <w:tc>
          <w:tcPr>
            <w:tcW w:w="9175" w:type="dxa"/>
          </w:tcPr>
          <w:p w14:paraId="72720C88" w14:textId="5E1442E9" w:rsidR="00F44138" w:rsidRPr="00725C26" w:rsidRDefault="00F44138" w:rsidP="00F44138">
            <w:pPr>
              <w:spacing w:before="0" w:after="0"/>
              <w:rPr>
                <w:color w:val="000000" w:themeColor="text1"/>
              </w:rPr>
            </w:pPr>
            <w:r w:rsidRPr="00725C26">
              <w:rPr>
                <w:color w:val="000000" w:themeColor="text1"/>
              </w:rPr>
              <w:t xml:space="preserve">Eliot Community </w:t>
            </w:r>
            <w:r w:rsidR="009B62D9" w:rsidRPr="00725C26">
              <w:rPr>
                <w:color w:val="000000" w:themeColor="text1"/>
              </w:rPr>
              <w:t xml:space="preserve">Human </w:t>
            </w:r>
            <w:r w:rsidRPr="00725C26">
              <w:rPr>
                <w:color w:val="000000" w:themeColor="text1"/>
              </w:rPr>
              <w:t>Services</w:t>
            </w:r>
          </w:p>
        </w:tc>
      </w:tr>
      <w:tr w:rsidR="00F44138" w14:paraId="7B87EE80" w14:textId="77777777" w:rsidTr="230ED2FD">
        <w:tc>
          <w:tcPr>
            <w:tcW w:w="630" w:type="dxa"/>
          </w:tcPr>
          <w:p w14:paraId="288435F1" w14:textId="250E56BB" w:rsidR="00F44138" w:rsidRDefault="00F44138" w:rsidP="00F44138">
            <w:pPr>
              <w:spacing w:before="0" w:after="0"/>
            </w:pPr>
            <w:r>
              <w:t>14</w:t>
            </w:r>
          </w:p>
        </w:tc>
        <w:tc>
          <w:tcPr>
            <w:tcW w:w="9175" w:type="dxa"/>
          </w:tcPr>
          <w:p w14:paraId="7316273A" w14:textId="6B49D94A" w:rsidR="00F44138" w:rsidRDefault="00F44138" w:rsidP="00F44138">
            <w:pPr>
              <w:spacing w:before="0" w:after="0"/>
            </w:pPr>
            <w:r>
              <w:t>Fairwinds Nantucket</w:t>
            </w:r>
            <w:r w:rsidR="0071063A">
              <w:t xml:space="preserve"> </w:t>
            </w:r>
            <w:r>
              <w:t>Counseling Center</w:t>
            </w:r>
          </w:p>
        </w:tc>
      </w:tr>
      <w:tr w:rsidR="00F44138" w14:paraId="71D43E62" w14:textId="77777777" w:rsidTr="230ED2FD">
        <w:tc>
          <w:tcPr>
            <w:tcW w:w="630" w:type="dxa"/>
          </w:tcPr>
          <w:p w14:paraId="7557CBC4" w14:textId="62B33C30" w:rsidR="00F44138" w:rsidRDefault="00F44138" w:rsidP="00F44138">
            <w:pPr>
              <w:spacing w:before="0" w:after="0"/>
            </w:pPr>
            <w:r>
              <w:t>15</w:t>
            </w:r>
          </w:p>
        </w:tc>
        <w:tc>
          <w:tcPr>
            <w:tcW w:w="9175" w:type="dxa"/>
          </w:tcPr>
          <w:p w14:paraId="443101A2" w14:textId="3BC14A28" w:rsidR="00F44138" w:rsidRDefault="00F44138" w:rsidP="00F44138">
            <w:pPr>
              <w:spacing w:before="0" w:after="0"/>
            </w:pPr>
            <w:r>
              <w:t>High Point Treatment Center</w:t>
            </w:r>
          </w:p>
        </w:tc>
      </w:tr>
      <w:tr w:rsidR="001B01A0" w14:paraId="0B5285E9" w14:textId="77777777" w:rsidTr="230ED2FD">
        <w:tc>
          <w:tcPr>
            <w:tcW w:w="630" w:type="dxa"/>
          </w:tcPr>
          <w:p w14:paraId="3662C5F6" w14:textId="177CCD8F" w:rsidR="001B01A0" w:rsidRDefault="001B01A0" w:rsidP="001B01A0">
            <w:pPr>
              <w:spacing w:before="0" w:after="0"/>
            </w:pPr>
            <w:r>
              <w:t>16</w:t>
            </w:r>
          </w:p>
        </w:tc>
        <w:tc>
          <w:tcPr>
            <w:tcW w:w="9175" w:type="dxa"/>
          </w:tcPr>
          <w:p w14:paraId="06514271" w14:textId="0E4F9BEC" w:rsidR="001B01A0" w:rsidRDefault="001B01A0" w:rsidP="001B01A0">
            <w:pPr>
              <w:spacing w:before="0" w:after="0"/>
            </w:pPr>
            <w:r>
              <w:t>North Suffolk Mental Health Association</w:t>
            </w:r>
          </w:p>
        </w:tc>
      </w:tr>
      <w:tr w:rsidR="00695080" w14:paraId="3771ACE4" w14:textId="77777777" w:rsidTr="230ED2FD">
        <w:tc>
          <w:tcPr>
            <w:tcW w:w="630" w:type="dxa"/>
          </w:tcPr>
          <w:p w14:paraId="342A67BB" w14:textId="3D42DAFA" w:rsidR="00695080" w:rsidRDefault="00695080" w:rsidP="00695080">
            <w:pPr>
              <w:spacing w:before="0" w:after="0"/>
            </w:pPr>
            <w:r>
              <w:t>17</w:t>
            </w:r>
          </w:p>
        </w:tc>
        <w:tc>
          <w:tcPr>
            <w:tcW w:w="9175" w:type="dxa"/>
          </w:tcPr>
          <w:p w14:paraId="59DA3CAF" w14:textId="47F0F21C" w:rsidR="00695080" w:rsidRDefault="00695080" w:rsidP="00695080">
            <w:pPr>
              <w:spacing w:before="0" w:after="0"/>
            </w:pPr>
            <w:r>
              <w:t>Riverside Community Care</w:t>
            </w:r>
          </w:p>
        </w:tc>
      </w:tr>
      <w:tr w:rsidR="00695080" w14:paraId="39DD3C52" w14:textId="77777777" w:rsidTr="230ED2FD">
        <w:tc>
          <w:tcPr>
            <w:tcW w:w="630" w:type="dxa"/>
          </w:tcPr>
          <w:p w14:paraId="340818F5" w14:textId="3816B28A" w:rsidR="00695080" w:rsidRDefault="00695080" w:rsidP="00695080">
            <w:pPr>
              <w:spacing w:before="0" w:after="0"/>
            </w:pPr>
            <w:r>
              <w:t>18</w:t>
            </w:r>
          </w:p>
        </w:tc>
        <w:tc>
          <w:tcPr>
            <w:tcW w:w="9175" w:type="dxa"/>
          </w:tcPr>
          <w:p w14:paraId="35B23DFB" w14:textId="3013A2F5" w:rsidR="00695080" w:rsidRDefault="00695080" w:rsidP="00695080">
            <w:pPr>
              <w:spacing w:before="0" w:after="0"/>
            </w:pPr>
            <w:r>
              <w:t>The Brien Center for Mental Health and Substance Use</w:t>
            </w:r>
          </w:p>
        </w:tc>
      </w:tr>
      <w:tr w:rsidR="00695080" w14:paraId="6BF413DF" w14:textId="77777777" w:rsidTr="230ED2FD">
        <w:tc>
          <w:tcPr>
            <w:tcW w:w="630" w:type="dxa"/>
          </w:tcPr>
          <w:p w14:paraId="55B34BFD" w14:textId="7FA64359" w:rsidR="00695080" w:rsidRDefault="00695080" w:rsidP="00695080">
            <w:pPr>
              <w:spacing w:before="0" w:after="0"/>
            </w:pPr>
            <w:r>
              <w:t>19</w:t>
            </w:r>
          </w:p>
        </w:tc>
        <w:tc>
          <w:tcPr>
            <w:tcW w:w="9175" w:type="dxa"/>
          </w:tcPr>
          <w:p w14:paraId="5A7703F2" w14:textId="07C007E6" w:rsidR="00695080" w:rsidRDefault="00695080" w:rsidP="00695080">
            <w:pPr>
              <w:spacing w:before="0" w:after="0"/>
            </w:pPr>
            <w:proofErr w:type="spellStart"/>
            <w:r>
              <w:t>Vinfen</w:t>
            </w:r>
            <w:proofErr w:type="spellEnd"/>
            <w:r>
              <w:t xml:space="preserve"> Behavioral Health</w:t>
            </w:r>
          </w:p>
        </w:tc>
      </w:tr>
      <w:tr w:rsidR="00695080" w14:paraId="3FDC13FD" w14:textId="77777777" w:rsidTr="230ED2FD">
        <w:tc>
          <w:tcPr>
            <w:tcW w:w="630" w:type="dxa"/>
          </w:tcPr>
          <w:p w14:paraId="5450AFB8" w14:textId="52AE7EC8" w:rsidR="00695080" w:rsidRDefault="00695080" w:rsidP="005731B2">
            <w:pPr>
              <w:spacing w:before="0" w:after="0" w:line="240" w:lineRule="auto"/>
            </w:pPr>
            <w:r>
              <w:t>20</w:t>
            </w:r>
          </w:p>
        </w:tc>
        <w:tc>
          <w:tcPr>
            <w:tcW w:w="9175" w:type="dxa"/>
          </w:tcPr>
          <w:p w14:paraId="36721470" w14:textId="769658F1" w:rsidR="00695080" w:rsidRDefault="00695080" w:rsidP="005731B2">
            <w:pPr>
              <w:spacing w:before="0" w:after="0" w:line="240" w:lineRule="auto"/>
            </w:pPr>
            <w:r>
              <w:t>Martha’s Vineyard Community Services</w:t>
            </w:r>
          </w:p>
        </w:tc>
      </w:tr>
    </w:tbl>
    <w:p w14:paraId="055FA5F6" w14:textId="77777777" w:rsidR="001F6E5B" w:rsidRPr="00300291" w:rsidRDefault="001F6E5B" w:rsidP="005731B2">
      <w:pPr>
        <w:spacing w:before="0" w:after="0"/>
      </w:pPr>
    </w:p>
    <w:sectPr w:rsidR="001F6E5B" w:rsidRPr="00300291" w:rsidSect="00770732">
      <w:headerReference w:type="default" r:id="rId13"/>
      <w:footerReference w:type="default" r:id="rId14"/>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03A4B" w14:textId="77777777" w:rsidR="00446464" w:rsidRDefault="00446464" w:rsidP="00240F61">
      <w:pPr>
        <w:spacing w:before="0" w:after="0" w:line="240" w:lineRule="auto"/>
      </w:pPr>
      <w:r>
        <w:separator/>
      </w:r>
    </w:p>
  </w:endnote>
  <w:endnote w:type="continuationSeparator" w:id="0">
    <w:p w14:paraId="453EC9A6" w14:textId="77777777" w:rsidR="00446464" w:rsidRDefault="00446464" w:rsidP="00240F61">
      <w:pPr>
        <w:spacing w:before="0" w:after="0" w:line="240" w:lineRule="auto"/>
      </w:pPr>
      <w:r>
        <w:continuationSeparator/>
      </w:r>
    </w:p>
  </w:endnote>
  <w:endnote w:type="continuationNotice" w:id="1">
    <w:p w14:paraId="3FDD6515" w14:textId="77777777" w:rsidR="00446464" w:rsidRDefault="0044646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7A37FE37"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rto="http://schemas.microsoft.com/office/word/2006/arto" xmlns:adec="http://schemas.microsoft.com/office/drawing/2017/decorative" xmlns:a="http://schemas.openxmlformats.org/drawingml/2006/main">
              <w:pict>
                <v:group id="Group 24" style="width:612pt;height:14.4pt;mso-position-horizontal-relative:char;mso-position-vertical-relative:line" alt="&quot;&quot;" coordsize="114005,4364" coordorigin="" o:spid="_x0000_s1026" w14:anchorId="78B7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14:paraId="0A6F7597" w14:textId="77777777" w:rsidR="006B3387" w:rsidRDefault="004433E2" w:rsidP="00C03C8F">
        <w:pPr>
          <w:pStyle w:val="Footer"/>
          <w:tabs>
            <w:tab w:val="clear" w:pos="4680"/>
            <w:tab w:val="right" w:pos="9630"/>
          </w:tabs>
          <w:spacing w:before="0" w:after="0"/>
          <w:jc w:val="left"/>
        </w:pPr>
        <w:r w:rsidRPr="004433E2">
          <w:t xml:space="preserve">Community Behavioral Health Center (CBHC) Incentive Program </w:t>
        </w:r>
        <w:r w:rsidR="00EC4628">
          <w:t>PY</w:t>
        </w:r>
        <w:r w:rsidRPr="004433E2">
          <w:t xml:space="preserve"> 2-5 Implementation </w:t>
        </w:r>
        <w:r>
          <w:t>Plan</w:t>
        </w:r>
        <w:r w:rsidR="00BB1440">
          <w:t xml:space="preserve">: </w:t>
        </w:r>
      </w:p>
      <w:p w14:paraId="30078F27" w14:textId="75130CAC" w:rsidR="00240F61" w:rsidRDefault="00BB1440" w:rsidP="00C03C8F">
        <w:pPr>
          <w:pStyle w:val="Footer"/>
          <w:tabs>
            <w:tab w:val="clear" w:pos="4680"/>
            <w:tab w:val="right" w:pos="9630"/>
          </w:tabs>
          <w:spacing w:before="0" w:after="0"/>
          <w:jc w:val="left"/>
          <w:rPr>
            <w:noProof/>
          </w:rPr>
        </w:pPr>
        <w:r w:rsidRPr="00BB1440">
          <w:t>Clinical Quality Incentive (CQI) and Quality and Equity Incentive Program (QEIP)</w:t>
        </w:r>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66A94" w14:textId="77777777" w:rsidR="00446464" w:rsidRDefault="00446464" w:rsidP="00240F61">
      <w:pPr>
        <w:spacing w:before="0" w:after="0" w:line="240" w:lineRule="auto"/>
      </w:pPr>
      <w:r>
        <w:separator/>
      </w:r>
    </w:p>
  </w:footnote>
  <w:footnote w:type="continuationSeparator" w:id="0">
    <w:p w14:paraId="2D9D895E" w14:textId="77777777" w:rsidR="00446464" w:rsidRDefault="00446464" w:rsidP="00240F61">
      <w:pPr>
        <w:spacing w:before="0" w:after="0" w:line="240" w:lineRule="auto"/>
      </w:pPr>
      <w:r>
        <w:continuationSeparator/>
      </w:r>
    </w:p>
  </w:footnote>
  <w:footnote w:type="continuationNotice" w:id="1">
    <w:p w14:paraId="48486B39" w14:textId="77777777" w:rsidR="00446464" w:rsidRDefault="0044646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intelligence2.xml><?xml version="1.0" encoding="utf-8"?>
<int2:intelligence xmlns:int2="http://schemas.microsoft.com/office/intelligence/2020/intelligence" xmlns:oel="http://schemas.microsoft.com/office/2019/extlst">
  <int2:observations>
    <int2:textHash int2:hashCode="bS9/HW6nnZ912Q" int2:id="14el2hq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00527975"/>
    <w:multiLevelType w:val="hybridMultilevel"/>
    <w:tmpl w:val="9E90A7A6"/>
    <w:lvl w:ilvl="0" w:tplc="35F45C2A">
      <w:start w:val="1"/>
      <w:numFmt w:val="decimal"/>
      <w:lvlText w:val="%1."/>
      <w:lvlJc w:val="left"/>
      <w:pPr>
        <w:ind w:left="360" w:hanging="360"/>
      </w:pPr>
      <w:rPr>
        <w:rFonts w:asciiTheme="minorHAnsi"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3E197C"/>
    <w:multiLevelType w:val="hybridMultilevel"/>
    <w:tmpl w:val="D8A236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1D610A"/>
    <w:multiLevelType w:val="multilevel"/>
    <w:tmpl w:val="0BCE6406"/>
    <w:lvl w:ilvl="0">
      <w:start w:val="3"/>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2"/>
      <w:numFmt w:val="decimal"/>
      <w:lvlText w:val="%1.%2.%3"/>
      <w:lvlJc w:val="left"/>
      <w:pPr>
        <w:ind w:left="36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C605E8"/>
    <w:multiLevelType w:val="hybridMultilevel"/>
    <w:tmpl w:val="49B408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C45CD0"/>
    <w:multiLevelType w:val="hybridMultilevel"/>
    <w:tmpl w:val="1A24474E"/>
    <w:lvl w:ilvl="0" w:tplc="FE9415D0">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A2E3E"/>
    <w:multiLevelType w:val="hybridMultilevel"/>
    <w:tmpl w:val="AA32BA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B83D51"/>
    <w:multiLevelType w:val="hybridMultilevel"/>
    <w:tmpl w:val="183E6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AB43DE"/>
    <w:multiLevelType w:val="hybridMultilevel"/>
    <w:tmpl w:val="CC14A124"/>
    <w:lvl w:ilvl="0" w:tplc="04090001">
      <w:start w:val="1"/>
      <w:numFmt w:val="bullet"/>
      <w:lvlText w:val=""/>
      <w:lvlJc w:val="left"/>
      <w:pPr>
        <w:ind w:left="1458" w:hanging="360"/>
      </w:pPr>
      <w:rPr>
        <w:rFonts w:ascii="Symbol" w:hAnsi="Symbol" w:hint="default"/>
        <w:b/>
      </w:rPr>
    </w:lvl>
    <w:lvl w:ilvl="1" w:tplc="FFFFFFFF" w:tentative="1">
      <w:start w:val="1"/>
      <w:numFmt w:val="lowerLetter"/>
      <w:lvlText w:val="%2."/>
      <w:lvlJc w:val="left"/>
      <w:pPr>
        <w:ind w:left="2178" w:hanging="360"/>
      </w:pPr>
    </w:lvl>
    <w:lvl w:ilvl="2" w:tplc="FFFFFFFF" w:tentative="1">
      <w:start w:val="1"/>
      <w:numFmt w:val="lowerRoman"/>
      <w:lvlText w:val="%3."/>
      <w:lvlJc w:val="right"/>
      <w:pPr>
        <w:ind w:left="2898" w:hanging="180"/>
      </w:pPr>
    </w:lvl>
    <w:lvl w:ilvl="3" w:tplc="FFFFFFFF" w:tentative="1">
      <w:start w:val="1"/>
      <w:numFmt w:val="decimal"/>
      <w:lvlText w:val="%4."/>
      <w:lvlJc w:val="left"/>
      <w:pPr>
        <w:ind w:left="3618" w:hanging="360"/>
      </w:pPr>
    </w:lvl>
    <w:lvl w:ilvl="4" w:tplc="FFFFFFFF" w:tentative="1">
      <w:start w:val="1"/>
      <w:numFmt w:val="lowerLetter"/>
      <w:lvlText w:val="%5."/>
      <w:lvlJc w:val="left"/>
      <w:pPr>
        <w:ind w:left="4338" w:hanging="360"/>
      </w:pPr>
    </w:lvl>
    <w:lvl w:ilvl="5" w:tplc="FFFFFFFF" w:tentative="1">
      <w:start w:val="1"/>
      <w:numFmt w:val="lowerRoman"/>
      <w:lvlText w:val="%6."/>
      <w:lvlJc w:val="right"/>
      <w:pPr>
        <w:ind w:left="5058" w:hanging="180"/>
      </w:pPr>
    </w:lvl>
    <w:lvl w:ilvl="6" w:tplc="FFFFFFFF" w:tentative="1">
      <w:start w:val="1"/>
      <w:numFmt w:val="decimal"/>
      <w:lvlText w:val="%7."/>
      <w:lvlJc w:val="left"/>
      <w:pPr>
        <w:ind w:left="5778" w:hanging="360"/>
      </w:pPr>
    </w:lvl>
    <w:lvl w:ilvl="7" w:tplc="FFFFFFFF" w:tentative="1">
      <w:start w:val="1"/>
      <w:numFmt w:val="lowerLetter"/>
      <w:lvlText w:val="%8."/>
      <w:lvlJc w:val="left"/>
      <w:pPr>
        <w:ind w:left="6498" w:hanging="360"/>
      </w:pPr>
    </w:lvl>
    <w:lvl w:ilvl="8" w:tplc="FFFFFFFF" w:tentative="1">
      <w:start w:val="1"/>
      <w:numFmt w:val="lowerRoman"/>
      <w:lvlText w:val="%9."/>
      <w:lvlJc w:val="right"/>
      <w:pPr>
        <w:ind w:left="7218" w:hanging="180"/>
      </w:pPr>
    </w:lvl>
  </w:abstractNum>
  <w:abstractNum w:abstractNumId="10" w15:restartNumberingAfterBreak="0">
    <w:nsid w:val="3F665A3D"/>
    <w:multiLevelType w:val="hybridMultilevel"/>
    <w:tmpl w:val="1048E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2A23C1"/>
    <w:multiLevelType w:val="hybridMultilevel"/>
    <w:tmpl w:val="8D6AA8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333DE6"/>
    <w:multiLevelType w:val="hybridMultilevel"/>
    <w:tmpl w:val="91A86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72721"/>
    <w:multiLevelType w:val="hybridMultilevel"/>
    <w:tmpl w:val="661A7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6B3247"/>
    <w:multiLevelType w:val="hybridMultilevel"/>
    <w:tmpl w:val="15D84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F91210"/>
    <w:multiLevelType w:val="hybridMultilevel"/>
    <w:tmpl w:val="50A059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7447C4"/>
    <w:multiLevelType w:val="hybridMultilevel"/>
    <w:tmpl w:val="DF0EC21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64BB3769"/>
    <w:multiLevelType w:val="hybridMultilevel"/>
    <w:tmpl w:val="55504EBA"/>
    <w:lvl w:ilvl="0" w:tplc="0409000F">
      <w:start w:val="1"/>
      <w:numFmt w:val="decimal"/>
      <w:lvlText w:val="%1."/>
      <w:lvlJc w:val="left"/>
      <w:pPr>
        <w:ind w:left="720" w:hanging="360"/>
      </w:pPr>
    </w:lvl>
    <w:lvl w:ilvl="1" w:tplc="813423A6">
      <w:start w:val="1"/>
      <w:numFmt w:val="lowerLetter"/>
      <w:lvlText w:val="%2."/>
      <w:lvlJc w:val="left"/>
      <w:pPr>
        <w:ind w:left="1440" w:hanging="360"/>
      </w:pPr>
      <w:rPr>
        <w:i w:val="0"/>
        <w:iCs w:val="0"/>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3F5269"/>
    <w:multiLevelType w:val="hybridMultilevel"/>
    <w:tmpl w:val="F830F80A"/>
    <w:lvl w:ilvl="0" w:tplc="29D2EA0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6A8F7C"/>
    <w:multiLevelType w:val="hybridMultilevel"/>
    <w:tmpl w:val="053AD30C"/>
    <w:lvl w:ilvl="0" w:tplc="E752BDE0">
      <w:start w:val="1"/>
      <w:numFmt w:val="decimal"/>
      <w:lvlText w:val="%1."/>
      <w:lvlJc w:val="left"/>
      <w:pPr>
        <w:ind w:left="720" w:hanging="360"/>
      </w:pPr>
    </w:lvl>
    <w:lvl w:ilvl="1" w:tplc="D67029EA">
      <w:start w:val="1"/>
      <w:numFmt w:val="lowerLetter"/>
      <w:lvlText w:val="%2."/>
      <w:lvlJc w:val="left"/>
      <w:pPr>
        <w:ind w:left="1440" w:hanging="360"/>
      </w:pPr>
    </w:lvl>
    <w:lvl w:ilvl="2" w:tplc="CE68FDC2">
      <w:start w:val="1"/>
      <w:numFmt w:val="lowerRoman"/>
      <w:lvlText w:val="%3."/>
      <w:lvlJc w:val="right"/>
      <w:pPr>
        <w:ind w:left="2160" w:hanging="180"/>
      </w:pPr>
      <w:rPr>
        <w:sz w:val="24"/>
        <w:szCs w:val="24"/>
      </w:rPr>
    </w:lvl>
    <w:lvl w:ilvl="3" w:tplc="29F275EC">
      <w:start w:val="1"/>
      <w:numFmt w:val="lowerLetter"/>
      <w:lvlText w:val="%4."/>
      <w:lvlJc w:val="left"/>
      <w:pPr>
        <w:ind w:left="2880" w:hanging="360"/>
      </w:pPr>
      <w:rPr>
        <w:sz w:val="22"/>
        <w:szCs w:val="22"/>
      </w:rPr>
    </w:lvl>
    <w:lvl w:ilvl="4" w:tplc="234EAF60">
      <w:start w:val="1"/>
      <w:numFmt w:val="lowerLetter"/>
      <w:lvlText w:val="%5."/>
      <w:lvlJc w:val="left"/>
      <w:pPr>
        <w:ind w:left="3600" w:hanging="360"/>
      </w:pPr>
    </w:lvl>
    <w:lvl w:ilvl="5" w:tplc="8230E798">
      <w:start w:val="1"/>
      <w:numFmt w:val="lowerRoman"/>
      <w:lvlText w:val="%6."/>
      <w:lvlJc w:val="right"/>
      <w:pPr>
        <w:ind w:left="4320" w:hanging="180"/>
      </w:pPr>
    </w:lvl>
    <w:lvl w:ilvl="6" w:tplc="2F8ED49A">
      <w:start w:val="1"/>
      <w:numFmt w:val="decimal"/>
      <w:lvlText w:val="%7."/>
      <w:lvlJc w:val="left"/>
      <w:pPr>
        <w:ind w:left="5040" w:hanging="360"/>
      </w:pPr>
    </w:lvl>
    <w:lvl w:ilvl="7" w:tplc="BE0C7CC2">
      <w:start w:val="1"/>
      <w:numFmt w:val="lowerLetter"/>
      <w:lvlText w:val="%8."/>
      <w:lvlJc w:val="left"/>
      <w:pPr>
        <w:ind w:left="5760" w:hanging="360"/>
      </w:pPr>
    </w:lvl>
    <w:lvl w:ilvl="8" w:tplc="B4AE230C">
      <w:start w:val="1"/>
      <w:numFmt w:val="lowerRoman"/>
      <w:lvlText w:val="%9."/>
      <w:lvlJc w:val="right"/>
      <w:pPr>
        <w:ind w:left="6480" w:hanging="180"/>
      </w:pPr>
    </w:lvl>
  </w:abstractNum>
  <w:num w:numId="1" w16cid:durableId="1279026860">
    <w:abstractNumId w:val="0"/>
  </w:num>
  <w:num w:numId="2" w16cid:durableId="1182932387">
    <w:abstractNumId w:val="6"/>
  </w:num>
  <w:num w:numId="3" w16cid:durableId="751005773">
    <w:abstractNumId w:val="19"/>
  </w:num>
  <w:num w:numId="4" w16cid:durableId="1607611441">
    <w:abstractNumId w:val="5"/>
  </w:num>
  <w:num w:numId="5" w16cid:durableId="302003971">
    <w:abstractNumId w:val="15"/>
  </w:num>
  <w:num w:numId="6" w16cid:durableId="1544053238">
    <w:abstractNumId w:val="2"/>
  </w:num>
  <w:num w:numId="7" w16cid:durableId="1035698116">
    <w:abstractNumId w:val="12"/>
  </w:num>
  <w:num w:numId="8" w16cid:durableId="1219710690">
    <w:abstractNumId w:val="10"/>
  </w:num>
  <w:num w:numId="9" w16cid:durableId="1233781867">
    <w:abstractNumId w:val="13"/>
  </w:num>
  <w:num w:numId="10" w16cid:durableId="64570798">
    <w:abstractNumId w:val="17"/>
  </w:num>
  <w:num w:numId="11" w16cid:durableId="2005159568">
    <w:abstractNumId w:val="18"/>
  </w:num>
  <w:num w:numId="12" w16cid:durableId="1174345974">
    <w:abstractNumId w:val="11"/>
  </w:num>
  <w:num w:numId="13" w16cid:durableId="1484732340">
    <w:abstractNumId w:val="4"/>
  </w:num>
  <w:num w:numId="14" w16cid:durableId="2109353345">
    <w:abstractNumId w:val="1"/>
  </w:num>
  <w:num w:numId="15" w16cid:durableId="150029872">
    <w:abstractNumId w:val="7"/>
  </w:num>
  <w:num w:numId="16" w16cid:durableId="2092852743">
    <w:abstractNumId w:val="14"/>
  </w:num>
  <w:num w:numId="17" w16cid:durableId="1237670655">
    <w:abstractNumId w:val="3"/>
  </w:num>
  <w:num w:numId="18" w16cid:durableId="1384645767">
    <w:abstractNumId w:val="9"/>
  </w:num>
  <w:num w:numId="19" w16cid:durableId="977537466">
    <w:abstractNumId w:val="16"/>
  </w:num>
  <w:num w:numId="20" w16cid:durableId="99228267">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721"/>
    <w:rsid w:val="00000FFD"/>
    <w:rsid w:val="00001826"/>
    <w:rsid w:val="00001BC4"/>
    <w:rsid w:val="00002487"/>
    <w:rsid w:val="00002C76"/>
    <w:rsid w:val="00002F9C"/>
    <w:rsid w:val="0000301B"/>
    <w:rsid w:val="0000449F"/>
    <w:rsid w:val="000051BA"/>
    <w:rsid w:val="000051D2"/>
    <w:rsid w:val="00005B75"/>
    <w:rsid w:val="00007201"/>
    <w:rsid w:val="0001174E"/>
    <w:rsid w:val="00014AB0"/>
    <w:rsid w:val="00015084"/>
    <w:rsid w:val="00015880"/>
    <w:rsid w:val="00015EEA"/>
    <w:rsid w:val="00021335"/>
    <w:rsid w:val="00021ABD"/>
    <w:rsid w:val="00022279"/>
    <w:rsid w:val="00023E3F"/>
    <w:rsid w:val="0002585B"/>
    <w:rsid w:val="00027918"/>
    <w:rsid w:val="00030339"/>
    <w:rsid w:val="0003063A"/>
    <w:rsid w:val="00033020"/>
    <w:rsid w:val="00033074"/>
    <w:rsid w:val="0003496A"/>
    <w:rsid w:val="000369B1"/>
    <w:rsid w:val="00037009"/>
    <w:rsid w:val="000408B2"/>
    <w:rsid w:val="00041679"/>
    <w:rsid w:val="00042B3D"/>
    <w:rsid w:val="00043DDC"/>
    <w:rsid w:val="00045FEA"/>
    <w:rsid w:val="00046EE7"/>
    <w:rsid w:val="00050063"/>
    <w:rsid w:val="000508CC"/>
    <w:rsid w:val="000508F2"/>
    <w:rsid w:val="0005280A"/>
    <w:rsid w:val="00054C59"/>
    <w:rsid w:val="0005626E"/>
    <w:rsid w:val="00056C34"/>
    <w:rsid w:val="0006124B"/>
    <w:rsid w:val="00062BC5"/>
    <w:rsid w:val="000647E3"/>
    <w:rsid w:val="00064A99"/>
    <w:rsid w:val="0006539B"/>
    <w:rsid w:val="00070ED2"/>
    <w:rsid w:val="00073F94"/>
    <w:rsid w:val="000756DB"/>
    <w:rsid w:val="000777F3"/>
    <w:rsid w:val="00077A0B"/>
    <w:rsid w:val="00080593"/>
    <w:rsid w:val="000808A7"/>
    <w:rsid w:val="00082155"/>
    <w:rsid w:val="00082B0C"/>
    <w:rsid w:val="00084F0C"/>
    <w:rsid w:val="0008560D"/>
    <w:rsid w:val="00085D25"/>
    <w:rsid w:val="00086921"/>
    <w:rsid w:val="00087EED"/>
    <w:rsid w:val="000902C8"/>
    <w:rsid w:val="00090ADD"/>
    <w:rsid w:val="0009115A"/>
    <w:rsid w:val="00091C06"/>
    <w:rsid w:val="00092A59"/>
    <w:rsid w:val="0009404B"/>
    <w:rsid w:val="000941E8"/>
    <w:rsid w:val="0009524C"/>
    <w:rsid w:val="00095527"/>
    <w:rsid w:val="00095654"/>
    <w:rsid w:val="000965BC"/>
    <w:rsid w:val="00096779"/>
    <w:rsid w:val="000973A1"/>
    <w:rsid w:val="000A0006"/>
    <w:rsid w:val="000A1CD4"/>
    <w:rsid w:val="000A2D7B"/>
    <w:rsid w:val="000A3A32"/>
    <w:rsid w:val="000A48BB"/>
    <w:rsid w:val="000A5C5F"/>
    <w:rsid w:val="000B08B8"/>
    <w:rsid w:val="000B1C93"/>
    <w:rsid w:val="000B4605"/>
    <w:rsid w:val="000B50B6"/>
    <w:rsid w:val="000C16DE"/>
    <w:rsid w:val="000C224B"/>
    <w:rsid w:val="000C25FB"/>
    <w:rsid w:val="000C4A30"/>
    <w:rsid w:val="000C4B39"/>
    <w:rsid w:val="000C4F68"/>
    <w:rsid w:val="000C537C"/>
    <w:rsid w:val="000C5534"/>
    <w:rsid w:val="000C6A20"/>
    <w:rsid w:val="000C7BB4"/>
    <w:rsid w:val="000D0BC6"/>
    <w:rsid w:val="000D37C1"/>
    <w:rsid w:val="000D400A"/>
    <w:rsid w:val="000D42CD"/>
    <w:rsid w:val="000D5072"/>
    <w:rsid w:val="000D6A12"/>
    <w:rsid w:val="000E2CF3"/>
    <w:rsid w:val="000F035F"/>
    <w:rsid w:val="000F17BA"/>
    <w:rsid w:val="000F195A"/>
    <w:rsid w:val="000F2617"/>
    <w:rsid w:val="000F2AA3"/>
    <w:rsid w:val="000F3DD2"/>
    <w:rsid w:val="000F3F75"/>
    <w:rsid w:val="000F451E"/>
    <w:rsid w:val="000F691B"/>
    <w:rsid w:val="000F6A75"/>
    <w:rsid w:val="001012DB"/>
    <w:rsid w:val="00102517"/>
    <w:rsid w:val="00102D46"/>
    <w:rsid w:val="00103564"/>
    <w:rsid w:val="00104154"/>
    <w:rsid w:val="00106BCC"/>
    <w:rsid w:val="001109EF"/>
    <w:rsid w:val="00114403"/>
    <w:rsid w:val="0011544E"/>
    <w:rsid w:val="00120C83"/>
    <w:rsid w:val="00121877"/>
    <w:rsid w:val="00122174"/>
    <w:rsid w:val="00122293"/>
    <w:rsid w:val="00122ECD"/>
    <w:rsid w:val="00123218"/>
    <w:rsid w:val="0012402D"/>
    <w:rsid w:val="001242F3"/>
    <w:rsid w:val="00124E8B"/>
    <w:rsid w:val="001253B2"/>
    <w:rsid w:val="001260B7"/>
    <w:rsid w:val="00132EE9"/>
    <w:rsid w:val="001346C7"/>
    <w:rsid w:val="00135A24"/>
    <w:rsid w:val="001404F9"/>
    <w:rsid w:val="001500B6"/>
    <w:rsid w:val="00151E30"/>
    <w:rsid w:val="0015224A"/>
    <w:rsid w:val="00152502"/>
    <w:rsid w:val="00153063"/>
    <w:rsid w:val="0015351B"/>
    <w:rsid w:val="0015362E"/>
    <w:rsid w:val="00154532"/>
    <w:rsid w:val="001573BA"/>
    <w:rsid w:val="001607BD"/>
    <w:rsid w:val="00162921"/>
    <w:rsid w:val="0016311A"/>
    <w:rsid w:val="00163E26"/>
    <w:rsid w:val="001654D8"/>
    <w:rsid w:val="00167F98"/>
    <w:rsid w:val="001716D4"/>
    <w:rsid w:val="00171B9D"/>
    <w:rsid w:val="001736DC"/>
    <w:rsid w:val="00174B80"/>
    <w:rsid w:val="00177141"/>
    <w:rsid w:val="00177397"/>
    <w:rsid w:val="001829CC"/>
    <w:rsid w:val="001830AE"/>
    <w:rsid w:val="00183804"/>
    <w:rsid w:val="001842AA"/>
    <w:rsid w:val="00184A04"/>
    <w:rsid w:val="001858A6"/>
    <w:rsid w:val="00187315"/>
    <w:rsid w:val="00187391"/>
    <w:rsid w:val="00187D4F"/>
    <w:rsid w:val="00192ED8"/>
    <w:rsid w:val="00193C11"/>
    <w:rsid w:val="001958CA"/>
    <w:rsid w:val="00197D24"/>
    <w:rsid w:val="001A1422"/>
    <w:rsid w:val="001A163A"/>
    <w:rsid w:val="001A22D7"/>
    <w:rsid w:val="001A4CFB"/>
    <w:rsid w:val="001A7743"/>
    <w:rsid w:val="001B01A0"/>
    <w:rsid w:val="001B0437"/>
    <w:rsid w:val="001B0565"/>
    <w:rsid w:val="001B0802"/>
    <w:rsid w:val="001B28B8"/>
    <w:rsid w:val="001B310E"/>
    <w:rsid w:val="001B4969"/>
    <w:rsid w:val="001B7A71"/>
    <w:rsid w:val="001C21A4"/>
    <w:rsid w:val="001C48B0"/>
    <w:rsid w:val="001C7863"/>
    <w:rsid w:val="001D029D"/>
    <w:rsid w:val="001D4278"/>
    <w:rsid w:val="001D55C7"/>
    <w:rsid w:val="001D6096"/>
    <w:rsid w:val="001D6FB7"/>
    <w:rsid w:val="001E035B"/>
    <w:rsid w:val="001E14DD"/>
    <w:rsid w:val="001E2439"/>
    <w:rsid w:val="001E2E74"/>
    <w:rsid w:val="001E5098"/>
    <w:rsid w:val="001E5FD7"/>
    <w:rsid w:val="001F1086"/>
    <w:rsid w:val="001F6E5B"/>
    <w:rsid w:val="001F7654"/>
    <w:rsid w:val="00200E3B"/>
    <w:rsid w:val="00200EBB"/>
    <w:rsid w:val="00200FF9"/>
    <w:rsid w:val="00200FFB"/>
    <w:rsid w:val="00202544"/>
    <w:rsid w:val="002026C4"/>
    <w:rsid w:val="00202D6B"/>
    <w:rsid w:val="002032D5"/>
    <w:rsid w:val="002035B0"/>
    <w:rsid w:val="00203AAA"/>
    <w:rsid w:val="00206AD7"/>
    <w:rsid w:val="00206D2F"/>
    <w:rsid w:val="00207209"/>
    <w:rsid w:val="0021044D"/>
    <w:rsid w:val="00210DD8"/>
    <w:rsid w:val="0021448D"/>
    <w:rsid w:val="002210CB"/>
    <w:rsid w:val="00221683"/>
    <w:rsid w:val="002216AE"/>
    <w:rsid w:val="00221B4A"/>
    <w:rsid w:val="00222765"/>
    <w:rsid w:val="002238A4"/>
    <w:rsid w:val="0022508B"/>
    <w:rsid w:val="002279CD"/>
    <w:rsid w:val="00230146"/>
    <w:rsid w:val="00230490"/>
    <w:rsid w:val="00232AC5"/>
    <w:rsid w:val="00232CC1"/>
    <w:rsid w:val="002331C1"/>
    <w:rsid w:val="00233C67"/>
    <w:rsid w:val="00233D45"/>
    <w:rsid w:val="00234457"/>
    <w:rsid w:val="002354FC"/>
    <w:rsid w:val="0023609F"/>
    <w:rsid w:val="00236E96"/>
    <w:rsid w:val="00240F61"/>
    <w:rsid w:val="00242671"/>
    <w:rsid w:val="002436CC"/>
    <w:rsid w:val="00245B84"/>
    <w:rsid w:val="002477D1"/>
    <w:rsid w:val="0025015C"/>
    <w:rsid w:val="00250C4C"/>
    <w:rsid w:val="002520EA"/>
    <w:rsid w:val="00252811"/>
    <w:rsid w:val="00254E34"/>
    <w:rsid w:val="00255FF0"/>
    <w:rsid w:val="00257C8C"/>
    <w:rsid w:val="00257ECD"/>
    <w:rsid w:val="00260F86"/>
    <w:rsid w:val="002636D4"/>
    <w:rsid w:val="00263A10"/>
    <w:rsid w:val="00263AF8"/>
    <w:rsid w:val="002673E3"/>
    <w:rsid w:val="00267698"/>
    <w:rsid w:val="00270250"/>
    <w:rsid w:val="002703CF"/>
    <w:rsid w:val="002705E3"/>
    <w:rsid w:val="00272967"/>
    <w:rsid w:val="00272B5B"/>
    <w:rsid w:val="002800AC"/>
    <w:rsid w:val="00281518"/>
    <w:rsid w:val="00286003"/>
    <w:rsid w:val="00291606"/>
    <w:rsid w:val="002916AD"/>
    <w:rsid w:val="00293843"/>
    <w:rsid w:val="002952E9"/>
    <w:rsid w:val="002A33F0"/>
    <w:rsid w:val="002A4B6E"/>
    <w:rsid w:val="002B0B32"/>
    <w:rsid w:val="002B0D39"/>
    <w:rsid w:val="002B26E8"/>
    <w:rsid w:val="002B6BDD"/>
    <w:rsid w:val="002B7D4A"/>
    <w:rsid w:val="002C2DEA"/>
    <w:rsid w:val="002C560E"/>
    <w:rsid w:val="002C646E"/>
    <w:rsid w:val="002D0AE7"/>
    <w:rsid w:val="002D1A59"/>
    <w:rsid w:val="002E0A57"/>
    <w:rsid w:val="002E0F9B"/>
    <w:rsid w:val="002E5D70"/>
    <w:rsid w:val="002E7119"/>
    <w:rsid w:val="002F0F9D"/>
    <w:rsid w:val="002F14DA"/>
    <w:rsid w:val="002F1784"/>
    <w:rsid w:val="002F2BF9"/>
    <w:rsid w:val="002F2FC2"/>
    <w:rsid w:val="002F3029"/>
    <w:rsid w:val="002F3D77"/>
    <w:rsid w:val="002F3DFB"/>
    <w:rsid w:val="002F457B"/>
    <w:rsid w:val="002F48A7"/>
    <w:rsid w:val="002F6F9A"/>
    <w:rsid w:val="00300291"/>
    <w:rsid w:val="00300807"/>
    <w:rsid w:val="00302123"/>
    <w:rsid w:val="00302291"/>
    <w:rsid w:val="003051E2"/>
    <w:rsid w:val="00310F13"/>
    <w:rsid w:val="0031136F"/>
    <w:rsid w:val="00315C9A"/>
    <w:rsid w:val="003167AA"/>
    <w:rsid w:val="00321856"/>
    <w:rsid w:val="00321E86"/>
    <w:rsid w:val="00322739"/>
    <w:rsid w:val="0032459E"/>
    <w:rsid w:val="00325CC9"/>
    <w:rsid w:val="00327782"/>
    <w:rsid w:val="0033024A"/>
    <w:rsid w:val="003305C0"/>
    <w:rsid w:val="00332D44"/>
    <w:rsid w:val="00337DC4"/>
    <w:rsid w:val="0034027B"/>
    <w:rsid w:val="00340738"/>
    <w:rsid w:val="0034318B"/>
    <w:rsid w:val="00346283"/>
    <w:rsid w:val="00346EA5"/>
    <w:rsid w:val="00351399"/>
    <w:rsid w:val="003546EA"/>
    <w:rsid w:val="00354C39"/>
    <w:rsid w:val="00356223"/>
    <w:rsid w:val="003626BD"/>
    <w:rsid w:val="003628F4"/>
    <w:rsid w:val="00362C2D"/>
    <w:rsid w:val="00364285"/>
    <w:rsid w:val="00367FD9"/>
    <w:rsid w:val="00371575"/>
    <w:rsid w:val="00371C52"/>
    <w:rsid w:val="00371E38"/>
    <w:rsid w:val="00372D96"/>
    <w:rsid w:val="00372DEB"/>
    <w:rsid w:val="003761E1"/>
    <w:rsid w:val="00377A08"/>
    <w:rsid w:val="00380345"/>
    <w:rsid w:val="00381787"/>
    <w:rsid w:val="003823AE"/>
    <w:rsid w:val="00383991"/>
    <w:rsid w:val="0039166D"/>
    <w:rsid w:val="003918DB"/>
    <w:rsid w:val="00391EE0"/>
    <w:rsid w:val="003920F1"/>
    <w:rsid w:val="0039218B"/>
    <w:rsid w:val="00392F74"/>
    <w:rsid w:val="00393577"/>
    <w:rsid w:val="0039409B"/>
    <w:rsid w:val="00395403"/>
    <w:rsid w:val="003956BD"/>
    <w:rsid w:val="00396C90"/>
    <w:rsid w:val="003A2331"/>
    <w:rsid w:val="003A43EF"/>
    <w:rsid w:val="003A5303"/>
    <w:rsid w:val="003A5BB8"/>
    <w:rsid w:val="003A74EF"/>
    <w:rsid w:val="003B155E"/>
    <w:rsid w:val="003B22D5"/>
    <w:rsid w:val="003B2415"/>
    <w:rsid w:val="003B369F"/>
    <w:rsid w:val="003B3B17"/>
    <w:rsid w:val="003B5051"/>
    <w:rsid w:val="003B60F7"/>
    <w:rsid w:val="003B6B4F"/>
    <w:rsid w:val="003C2F56"/>
    <w:rsid w:val="003C4C99"/>
    <w:rsid w:val="003C5285"/>
    <w:rsid w:val="003D084B"/>
    <w:rsid w:val="003D6B61"/>
    <w:rsid w:val="003D6BA9"/>
    <w:rsid w:val="003D7F49"/>
    <w:rsid w:val="003E0DF9"/>
    <w:rsid w:val="003E2151"/>
    <w:rsid w:val="003E357D"/>
    <w:rsid w:val="003E35A8"/>
    <w:rsid w:val="003E5ED1"/>
    <w:rsid w:val="003F26B7"/>
    <w:rsid w:val="003F550B"/>
    <w:rsid w:val="004025D4"/>
    <w:rsid w:val="00403C80"/>
    <w:rsid w:val="0040477D"/>
    <w:rsid w:val="00406227"/>
    <w:rsid w:val="00407286"/>
    <w:rsid w:val="00407DEF"/>
    <w:rsid w:val="00411859"/>
    <w:rsid w:val="00413E79"/>
    <w:rsid w:val="00414AF9"/>
    <w:rsid w:val="00414AFA"/>
    <w:rsid w:val="00415226"/>
    <w:rsid w:val="00416A06"/>
    <w:rsid w:val="00422780"/>
    <w:rsid w:val="0042497E"/>
    <w:rsid w:val="00425801"/>
    <w:rsid w:val="0042765C"/>
    <w:rsid w:val="00430D11"/>
    <w:rsid w:val="0043172F"/>
    <w:rsid w:val="0043694B"/>
    <w:rsid w:val="004433E2"/>
    <w:rsid w:val="00446384"/>
    <w:rsid w:val="00446464"/>
    <w:rsid w:val="0045374E"/>
    <w:rsid w:val="0045375F"/>
    <w:rsid w:val="0045417A"/>
    <w:rsid w:val="00455490"/>
    <w:rsid w:val="00457263"/>
    <w:rsid w:val="004645E9"/>
    <w:rsid w:val="00464A20"/>
    <w:rsid w:val="0046759A"/>
    <w:rsid w:val="00470EE8"/>
    <w:rsid w:val="00471225"/>
    <w:rsid w:val="00471E13"/>
    <w:rsid w:val="00472E33"/>
    <w:rsid w:val="00473866"/>
    <w:rsid w:val="0047487A"/>
    <w:rsid w:val="0047542F"/>
    <w:rsid w:val="00476CF2"/>
    <w:rsid w:val="00477575"/>
    <w:rsid w:val="0048219A"/>
    <w:rsid w:val="004825B3"/>
    <w:rsid w:val="00483120"/>
    <w:rsid w:val="0048718E"/>
    <w:rsid w:val="00490497"/>
    <w:rsid w:val="004915DA"/>
    <w:rsid w:val="00491BE7"/>
    <w:rsid w:val="0049411F"/>
    <w:rsid w:val="00496098"/>
    <w:rsid w:val="0049660C"/>
    <w:rsid w:val="00497C36"/>
    <w:rsid w:val="004A019C"/>
    <w:rsid w:val="004A022A"/>
    <w:rsid w:val="004A3ED6"/>
    <w:rsid w:val="004A5BB3"/>
    <w:rsid w:val="004A64F4"/>
    <w:rsid w:val="004A6DBB"/>
    <w:rsid w:val="004B14D2"/>
    <w:rsid w:val="004B16DD"/>
    <w:rsid w:val="004B27BA"/>
    <w:rsid w:val="004B3673"/>
    <w:rsid w:val="004B428F"/>
    <w:rsid w:val="004B7194"/>
    <w:rsid w:val="004C03A1"/>
    <w:rsid w:val="004C03B5"/>
    <w:rsid w:val="004C3FE0"/>
    <w:rsid w:val="004C7AF0"/>
    <w:rsid w:val="004D14BF"/>
    <w:rsid w:val="004D17BB"/>
    <w:rsid w:val="004D3974"/>
    <w:rsid w:val="004D3A06"/>
    <w:rsid w:val="004D3C7C"/>
    <w:rsid w:val="004D43F3"/>
    <w:rsid w:val="004D527E"/>
    <w:rsid w:val="004E1577"/>
    <w:rsid w:val="004E2095"/>
    <w:rsid w:val="004E3B62"/>
    <w:rsid w:val="004E4687"/>
    <w:rsid w:val="004F229E"/>
    <w:rsid w:val="004F2D93"/>
    <w:rsid w:val="004F35EF"/>
    <w:rsid w:val="004F3A09"/>
    <w:rsid w:val="004F5AA4"/>
    <w:rsid w:val="004F5EA9"/>
    <w:rsid w:val="004F61B7"/>
    <w:rsid w:val="005006B4"/>
    <w:rsid w:val="0050153B"/>
    <w:rsid w:val="00501F9B"/>
    <w:rsid w:val="00502448"/>
    <w:rsid w:val="0050382D"/>
    <w:rsid w:val="00505587"/>
    <w:rsid w:val="00505A72"/>
    <w:rsid w:val="00506764"/>
    <w:rsid w:val="005069DC"/>
    <w:rsid w:val="0050707F"/>
    <w:rsid w:val="005078BC"/>
    <w:rsid w:val="005124EF"/>
    <w:rsid w:val="0051571F"/>
    <w:rsid w:val="005207C7"/>
    <w:rsid w:val="00520EEE"/>
    <w:rsid w:val="005310A1"/>
    <w:rsid w:val="005313FC"/>
    <w:rsid w:val="00531F07"/>
    <w:rsid w:val="0053428D"/>
    <w:rsid w:val="00534366"/>
    <w:rsid w:val="0053777E"/>
    <w:rsid w:val="00540BD9"/>
    <w:rsid w:val="00540F7B"/>
    <w:rsid w:val="00543B6D"/>
    <w:rsid w:val="00543DB6"/>
    <w:rsid w:val="00543E8E"/>
    <w:rsid w:val="00543FC2"/>
    <w:rsid w:val="0054491A"/>
    <w:rsid w:val="00546BD2"/>
    <w:rsid w:val="005470BD"/>
    <w:rsid w:val="0054728D"/>
    <w:rsid w:val="00547B89"/>
    <w:rsid w:val="00547F70"/>
    <w:rsid w:val="005500F3"/>
    <w:rsid w:val="0055010F"/>
    <w:rsid w:val="00550B92"/>
    <w:rsid w:val="00555580"/>
    <w:rsid w:val="00555B9B"/>
    <w:rsid w:val="00556132"/>
    <w:rsid w:val="00557FBD"/>
    <w:rsid w:val="0056006E"/>
    <w:rsid w:val="00561D54"/>
    <w:rsid w:val="00561F67"/>
    <w:rsid w:val="005648FB"/>
    <w:rsid w:val="00564AEA"/>
    <w:rsid w:val="00567B0A"/>
    <w:rsid w:val="00571C72"/>
    <w:rsid w:val="005731B2"/>
    <w:rsid w:val="0057472F"/>
    <w:rsid w:val="00577752"/>
    <w:rsid w:val="00577C07"/>
    <w:rsid w:val="005811AB"/>
    <w:rsid w:val="005823AC"/>
    <w:rsid w:val="005831D0"/>
    <w:rsid w:val="00584328"/>
    <w:rsid w:val="005856AF"/>
    <w:rsid w:val="005856D6"/>
    <w:rsid w:val="00587FE9"/>
    <w:rsid w:val="005908E6"/>
    <w:rsid w:val="00590E12"/>
    <w:rsid w:val="00593147"/>
    <w:rsid w:val="00593A67"/>
    <w:rsid w:val="00594628"/>
    <w:rsid w:val="0059503A"/>
    <w:rsid w:val="00595CA6"/>
    <w:rsid w:val="005A21EA"/>
    <w:rsid w:val="005A2344"/>
    <w:rsid w:val="005A44A4"/>
    <w:rsid w:val="005A6F76"/>
    <w:rsid w:val="005B3C3A"/>
    <w:rsid w:val="005B7609"/>
    <w:rsid w:val="005B7F0B"/>
    <w:rsid w:val="005C1C20"/>
    <w:rsid w:val="005C2657"/>
    <w:rsid w:val="005C3582"/>
    <w:rsid w:val="005C3E4F"/>
    <w:rsid w:val="005C690A"/>
    <w:rsid w:val="005C6F80"/>
    <w:rsid w:val="005C706B"/>
    <w:rsid w:val="005D051B"/>
    <w:rsid w:val="005D05A5"/>
    <w:rsid w:val="005D0B70"/>
    <w:rsid w:val="005D0DA0"/>
    <w:rsid w:val="005D208A"/>
    <w:rsid w:val="005D3BE7"/>
    <w:rsid w:val="005D52B9"/>
    <w:rsid w:val="005D70D0"/>
    <w:rsid w:val="005D79D1"/>
    <w:rsid w:val="005E0C63"/>
    <w:rsid w:val="005E3718"/>
    <w:rsid w:val="005E64E4"/>
    <w:rsid w:val="005E6BDE"/>
    <w:rsid w:val="00600311"/>
    <w:rsid w:val="00601E7A"/>
    <w:rsid w:val="00602482"/>
    <w:rsid w:val="00602F97"/>
    <w:rsid w:val="006031EA"/>
    <w:rsid w:val="006033B2"/>
    <w:rsid w:val="00605DB1"/>
    <w:rsid w:val="00610905"/>
    <w:rsid w:val="00611188"/>
    <w:rsid w:val="00613B34"/>
    <w:rsid w:val="0061627F"/>
    <w:rsid w:val="00617A1C"/>
    <w:rsid w:val="006202A0"/>
    <w:rsid w:val="00620E1A"/>
    <w:rsid w:val="00621CC8"/>
    <w:rsid w:val="0062374F"/>
    <w:rsid w:val="00625F70"/>
    <w:rsid w:val="006261C6"/>
    <w:rsid w:val="006301B6"/>
    <w:rsid w:val="00631191"/>
    <w:rsid w:val="00632AA5"/>
    <w:rsid w:val="006343C7"/>
    <w:rsid w:val="006373BF"/>
    <w:rsid w:val="00641343"/>
    <w:rsid w:val="00642E33"/>
    <w:rsid w:val="00645E53"/>
    <w:rsid w:val="00650DF1"/>
    <w:rsid w:val="00653DAC"/>
    <w:rsid w:val="00653DED"/>
    <w:rsid w:val="006540A2"/>
    <w:rsid w:val="006549FD"/>
    <w:rsid w:val="00654EC6"/>
    <w:rsid w:val="0065554A"/>
    <w:rsid w:val="00657A00"/>
    <w:rsid w:val="00660352"/>
    <w:rsid w:val="0066077A"/>
    <w:rsid w:val="006609B1"/>
    <w:rsid w:val="0066172C"/>
    <w:rsid w:val="006633D6"/>
    <w:rsid w:val="006636F3"/>
    <w:rsid w:val="0066421C"/>
    <w:rsid w:val="00672521"/>
    <w:rsid w:val="0067298A"/>
    <w:rsid w:val="0067303B"/>
    <w:rsid w:val="00673794"/>
    <w:rsid w:val="006738C7"/>
    <w:rsid w:val="006743B8"/>
    <w:rsid w:val="0067549F"/>
    <w:rsid w:val="00676574"/>
    <w:rsid w:val="0068115A"/>
    <w:rsid w:val="00685F86"/>
    <w:rsid w:val="00695080"/>
    <w:rsid w:val="006A55D1"/>
    <w:rsid w:val="006A6A5A"/>
    <w:rsid w:val="006B0B38"/>
    <w:rsid w:val="006B10A1"/>
    <w:rsid w:val="006B30D0"/>
    <w:rsid w:val="006B337C"/>
    <w:rsid w:val="006B3387"/>
    <w:rsid w:val="006B3964"/>
    <w:rsid w:val="006B40D4"/>
    <w:rsid w:val="006B410C"/>
    <w:rsid w:val="006B6DCF"/>
    <w:rsid w:val="006B717C"/>
    <w:rsid w:val="006C07C4"/>
    <w:rsid w:val="006C09BD"/>
    <w:rsid w:val="006C12D3"/>
    <w:rsid w:val="006C269F"/>
    <w:rsid w:val="006C2C48"/>
    <w:rsid w:val="006C337E"/>
    <w:rsid w:val="006C369D"/>
    <w:rsid w:val="006C43F7"/>
    <w:rsid w:val="006C7185"/>
    <w:rsid w:val="006D058B"/>
    <w:rsid w:val="006D0734"/>
    <w:rsid w:val="006D0A08"/>
    <w:rsid w:val="006D0B7F"/>
    <w:rsid w:val="006D181C"/>
    <w:rsid w:val="006D435C"/>
    <w:rsid w:val="006D4F7E"/>
    <w:rsid w:val="006D50F5"/>
    <w:rsid w:val="006D7CBA"/>
    <w:rsid w:val="006E0779"/>
    <w:rsid w:val="006E0A75"/>
    <w:rsid w:val="006E1992"/>
    <w:rsid w:val="006E3118"/>
    <w:rsid w:val="006E7FBE"/>
    <w:rsid w:val="006F0A20"/>
    <w:rsid w:val="006F0AC0"/>
    <w:rsid w:val="006F71A1"/>
    <w:rsid w:val="00703C47"/>
    <w:rsid w:val="00705840"/>
    <w:rsid w:val="00705A90"/>
    <w:rsid w:val="00705E03"/>
    <w:rsid w:val="00705E81"/>
    <w:rsid w:val="0071063A"/>
    <w:rsid w:val="00712DE0"/>
    <w:rsid w:val="007142EA"/>
    <w:rsid w:val="00715664"/>
    <w:rsid w:val="00716D62"/>
    <w:rsid w:val="0071795E"/>
    <w:rsid w:val="007203C2"/>
    <w:rsid w:val="00720D4E"/>
    <w:rsid w:val="00720E37"/>
    <w:rsid w:val="00721295"/>
    <w:rsid w:val="0072131A"/>
    <w:rsid w:val="0072328A"/>
    <w:rsid w:val="0072341C"/>
    <w:rsid w:val="00725C26"/>
    <w:rsid w:val="00725C6D"/>
    <w:rsid w:val="0073156E"/>
    <w:rsid w:val="00732E1C"/>
    <w:rsid w:val="00734114"/>
    <w:rsid w:val="0073479D"/>
    <w:rsid w:val="00734F47"/>
    <w:rsid w:val="00735547"/>
    <w:rsid w:val="00735954"/>
    <w:rsid w:val="00736A2E"/>
    <w:rsid w:val="00740472"/>
    <w:rsid w:val="007422C6"/>
    <w:rsid w:val="00742773"/>
    <w:rsid w:val="00745107"/>
    <w:rsid w:val="0074560F"/>
    <w:rsid w:val="007456D0"/>
    <w:rsid w:val="00746BCD"/>
    <w:rsid w:val="0074700A"/>
    <w:rsid w:val="00747890"/>
    <w:rsid w:val="0075242E"/>
    <w:rsid w:val="00753D29"/>
    <w:rsid w:val="00755B62"/>
    <w:rsid w:val="00760118"/>
    <w:rsid w:val="00761328"/>
    <w:rsid w:val="0076140A"/>
    <w:rsid w:val="00761AF7"/>
    <w:rsid w:val="00762856"/>
    <w:rsid w:val="00763C00"/>
    <w:rsid w:val="0076541B"/>
    <w:rsid w:val="0076792A"/>
    <w:rsid w:val="00770732"/>
    <w:rsid w:val="00772A38"/>
    <w:rsid w:val="0077502E"/>
    <w:rsid w:val="007759E1"/>
    <w:rsid w:val="00782A56"/>
    <w:rsid w:val="0078368F"/>
    <w:rsid w:val="007952BF"/>
    <w:rsid w:val="00795853"/>
    <w:rsid w:val="007A0D52"/>
    <w:rsid w:val="007A1605"/>
    <w:rsid w:val="007A1660"/>
    <w:rsid w:val="007A2124"/>
    <w:rsid w:val="007A34CB"/>
    <w:rsid w:val="007A6032"/>
    <w:rsid w:val="007A6683"/>
    <w:rsid w:val="007A7745"/>
    <w:rsid w:val="007A7B54"/>
    <w:rsid w:val="007B322D"/>
    <w:rsid w:val="007B326B"/>
    <w:rsid w:val="007B4C32"/>
    <w:rsid w:val="007B514D"/>
    <w:rsid w:val="007B54B2"/>
    <w:rsid w:val="007B566F"/>
    <w:rsid w:val="007B59DD"/>
    <w:rsid w:val="007B7A24"/>
    <w:rsid w:val="007C14C4"/>
    <w:rsid w:val="007C2E75"/>
    <w:rsid w:val="007C44CB"/>
    <w:rsid w:val="007C7ACA"/>
    <w:rsid w:val="007D13D9"/>
    <w:rsid w:val="007D1EA6"/>
    <w:rsid w:val="007D2831"/>
    <w:rsid w:val="007D5A27"/>
    <w:rsid w:val="007D6240"/>
    <w:rsid w:val="007D6522"/>
    <w:rsid w:val="007E69EB"/>
    <w:rsid w:val="007E7327"/>
    <w:rsid w:val="007F03B7"/>
    <w:rsid w:val="007F09A5"/>
    <w:rsid w:val="007F22DF"/>
    <w:rsid w:val="007F47F6"/>
    <w:rsid w:val="007F6936"/>
    <w:rsid w:val="0080111A"/>
    <w:rsid w:val="0080265D"/>
    <w:rsid w:val="008030BD"/>
    <w:rsid w:val="00803687"/>
    <w:rsid w:val="00804F15"/>
    <w:rsid w:val="008078D1"/>
    <w:rsid w:val="00813288"/>
    <w:rsid w:val="00813F65"/>
    <w:rsid w:val="00814D63"/>
    <w:rsid w:val="00815BBF"/>
    <w:rsid w:val="008162FF"/>
    <w:rsid w:val="00816640"/>
    <w:rsid w:val="00822074"/>
    <w:rsid w:val="00822170"/>
    <w:rsid w:val="00822CF1"/>
    <w:rsid w:val="00830C20"/>
    <w:rsid w:val="00833FD2"/>
    <w:rsid w:val="00835064"/>
    <w:rsid w:val="00836C7F"/>
    <w:rsid w:val="00840349"/>
    <w:rsid w:val="008414A4"/>
    <w:rsid w:val="0084382A"/>
    <w:rsid w:val="00843B0A"/>
    <w:rsid w:val="00844EE1"/>
    <w:rsid w:val="00845B59"/>
    <w:rsid w:val="008461E5"/>
    <w:rsid w:val="0084778E"/>
    <w:rsid w:val="00852744"/>
    <w:rsid w:val="00856F1C"/>
    <w:rsid w:val="0085754E"/>
    <w:rsid w:val="00857916"/>
    <w:rsid w:val="00857F57"/>
    <w:rsid w:val="0086023E"/>
    <w:rsid w:val="00860DCB"/>
    <w:rsid w:val="00863B3E"/>
    <w:rsid w:val="00867F8B"/>
    <w:rsid w:val="00870A17"/>
    <w:rsid w:val="00871EC7"/>
    <w:rsid w:val="00874C5B"/>
    <w:rsid w:val="008766E5"/>
    <w:rsid w:val="008766F4"/>
    <w:rsid w:val="00877834"/>
    <w:rsid w:val="0087793C"/>
    <w:rsid w:val="00880105"/>
    <w:rsid w:val="00880ED0"/>
    <w:rsid w:val="00881308"/>
    <w:rsid w:val="0088291E"/>
    <w:rsid w:val="00882FBE"/>
    <w:rsid w:val="00887BDF"/>
    <w:rsid w:val="00891564"/>
    <w:rsid w:val="008918C2"/>
    <w:rsid w:val="008929F9"/>
    <w:rsid w:val="008931D3"/>
    <w:rsid w:val="00893C1F"/>
    <w:rsid w:val="00895A2A"/>
    <w:rsid w:val="00897560"/>
    <w:rsid w:val="008A440F"/>
    <w:rsid w:val="008A5B31"/>
    <w:rsid w:val="008A702B"/>
    <w:rsid w:val="008B3B48"/>
    <w:rsid w:val="008B3FD6"/>
    <w:rsid w:val="008B4551"/>
    <w:rsid w:val="008B4944"/>
    <w:rsid w:val="008B5EF0"/>
    <w:rsid w:val="008B7D50"/>
    <w:rsid w:val="008B7E02"/>
    <w:rsid w:val="008C2614"/>
    <w:rsid w:val="008C334C"/>
    <w:rsid w:val="008C5DBC"/>
    <w:rsid w:val="008D1344"/>
    <w:rsid w:val="008D2634"/>
    <w:rsid w:val="008D35B3"/>
    <w:rsid w:val="008D412D"/>
    <w:rsid w:val="008D4444"/>
    <w:rsid w:val="008D45B3"/>
    <w:rsid w:val="008D45D6"/>
    <w:rsid w:val="008D6AD5"/>
    <w:rsid w:val="008E3D4C"/>
    <w:rsid w:val="008E65FC"/>
    <w:rsid w:val="008F0F1B"/>
    <w:rsid w:val="008F2885"/>
    <w:rsid w:val="008F2B26"/>
    <w:rsid w:val="008F2F1C"/>
    <w:rsid w:val="008F4292"/>
    <w:rsid w:val="008F507E"/>
    <w:rsid w:val="008F6291"/>
    <w:rsid w:val="009005D0"/>
    <w:rsid w:val="00907B9C"/>
    <w:rsid w:val="00911240"/>
    <w:rsid w:val="009114E1"/>
    <w:rsid w:val="00913EEF"/>
    <w:rsid w:val="0091427B"/>
    <w:rsid w:val="009166F4"/>
    <w:rsid w:val="009176E7"/>
    <w:rsid w:val="009178E8"/>
    <w:rsid w:val="00917D2A"/>
    <w:rsid w:val="009200F6"/>
    <w:rsid w:val="009205F6"/>
    <w:rsid w:val="00920F54"/>
    <w:rsid w:val="00922D01"/>
    <w:rsid w:val="00922F60"/>
    <w:rsid w:val="00924C51"/>
    <w:rsid w:val="00925DF8"/>
    <w:rsid w:val="00930634"/>
    <w:rsid w:val="009307FD"/>
    <w:rsid w:val="00930C8A"/>
    <w:rsid w:val="00931992"/>
    <w:rsid w:val="00931CC3"/>
    <w:rsid w:val="00932DCC"/>
    <w:rsid w:val="009338C6"/>
    <w:rsid w:val="00933F7F"/>
    <w:rsid w:val="00934215"/>
    <w:rsid w:val="009354E3"/>
    <w:rsid w:val="00941D5A"/>
    <w:rsid w:val="009425A3"/>
    <w:rsid w:val="00944161"/>
    <w:rsid w:val="009449BE"/>
    <w:rsid w:val="00946229"/>
    <w:rsid w:val="0095433A"/>
    <w:rsid w:val="009547E0"/>
    <w:rsid w:val="00956172"/>
    <w:rsid w:val="0095741C"/>
    <w:rsid w:val="0096020B"/>
    <w:rsid w:val="00961D82"/>
    <w:rsid w:val="00961EF9"/>
    <w:rsid w:val="00962397"/>
    <w:rsid w:val="009652A6"/>
    <w:rsid w:val="009712FC"/>
    <w:rsid w:val="009717F9"/>
    <w:rsid w:val="00971887"/>
    <w:rsid w:val="00972CD4"/>
    <w:rsid w:val="0097305A"/>
    <w:rsid w:val="0097408F"/>
    <w:rsid w:val="00975749"/>
    <w:rsid w:val="00977124"/>
    <w:rsid w:val="0097751A"/>
    <w:rsid w:val="00977D3A"/>
    <w:rsid w:val="00980067"/>
    <w:rsid w:val="00984843"/>
    <w:rsid w:val="00985B99"/>
    <w:rsid w:val="00985C8A"/>
    <w:rsid w:val="0098639D"/>
    <w:rsid w:val="00991D48"/>
    <w:rsid w:val="009936E7"/>
    <w:rsid w:val="0099424A"/>
    <w:rsid w:val="00994333"/>
    <w:rsid w:val="00995D9F"/>
    <w:rsid w:val="0099733E"/>
    <w:rsid w:val="0099763E"/>
    <w:rsid w:val="009A246F"/>
    <w:rsid w:val="009A2B12"/>
    <w:rsid w:val="009A4938"/>
    <w:rsid w:val="009A6FEA"/>
    <w:rsid w:val="009B15AA"/>
    <w:rsid w:val="009B1F96"/>
    <w:rsid w:val="009B2DBE"/>
    <w:rsid w:val="009B36C8"/>
    <w:rsid w:val="009B38BC"/>
    <w:rsid w:val="009B4B57"/>
    <w:rsid w:val="009B4F17"/>
    <w:rsid w:val="009B5DAF"/>
    <w:rsid w:val="009B6164"/>
    <w:rsid w:val="009B62D9"/>
    <w:rsid w:val="009B6999"/>
    <w:rsid w:val="009B7BF7"/>
    <w:rsid w:val="009C12F9"/>
    <w:rsid w:val="009C1331"/>
    <w:rsid w:val="009C4123"/>
    <w:rsid w:val="009C43F8"/>
    <w:rsid w:val="009C4BD4"/>
    <w:rsid w:val="009C5CFF"/>
    <w:rsid w:val="009C6B4C"/>
    <w:rsid w:val="009C7AF9"/>
    <w:rsid w:val="009D1855"/>
    <w:rsid w:val="009D2C4C"/>
    <w:rsid w:val="009D2FA3"/>
    <w:rsid w:val="009D3659"/>
    <w:rsid w:val="009D3A5F"/>
    <w:rsid w:val="009D718E"/>
    <w:rsid w:val="009D73C7"/>
    <w:rsid w:val="009D747B"/>
    <w:rsid w:val="009E0327"/>
    <w:rsid w:val="009E2F5C"/>
    <w:rsid w:val="009E3E82"/>
    <w:rsid w:val="009E5D09"/>
    <w:rsid w:val="009E60FD"/>
    <w:rsid w:val="009E7975"/>
    <w:rsid w:val="009E79AC"/>
    <w:rsid w:val="009E7E55"/>
    <w:rsid w:val="009F446D"/>
    <w:rsid w:val="009F468A"/>
    <w:rsid w:val="009F4737"/>
    <w:rsid w:val="009F74A8"/>
    <w:rsid w:val="009F7D4D"/>
    <w:rsid w:val="009F7E9C"/>
    <w:rsid w:val="00A006DD"/>
    <w:rsid w:val="00A01DD6"/>
    <w:rsid w:val="00A021C4"/>
    <w:rsid w:val="00A02C79"/>
    <w:rsid w:val="00A0688E"/>
    <w:rsid w:val="00A06CAC"/>
    <w:rsid w:val="00A07473"/>
    <w:rsid w:val="00A1065C"/>
    <w:rsid w:val="00A10B4D"/>
    <w:rsid w:val="00A10FDA"/>
    <w:rsid w:val="00A11AD0"/>
    <w:rsid w:val="00A13608"/>
    <w:rsid w:val="00A14956"/>
    <w:rsid w:val="00A16007"/>
    <w:rsid w:val="00A17B17"/>
    <w:rsid w:val="00A21478"/>
    <w:rsid w:val="00A23B19"/>
    <w:rsid w:val="00A23C0E"/>
    <w:rsid w:val="00A2434A"/>
    <w:rsid w:val="00A310C1"/>
    <w:rsid w:val="00A31700"/>
    <w:rsid w:val="00A32402"/>
    <w:rsid w:val="00A35197"/>
    <w:rsid w:val="00A35BB3"/>
    <w:rsid w:val="00A37BCF"/>
    <w:rsid w:val="00A43359"/>
    <w:rsid w:val="00A5604C"/>
    <w:rsid w:val="00A63384"/>
    <w:rsid w:val="00A633F6"/>
    <w:rsid w:val="00A645D7"/>
    <w:rsid w:val="00A64859"/>
    <w:rsid w:val="00A7453E"/>
    <w:rsid w:val="00A74894"/>
    <w:rsid w:val="00A75224"/>
    <w:rsid w:val="00A77F49"/>
    <w:rsid w:val="00A80966"/>
    <w:rsid w:val="00A8584A"/>
    <w:rsid w:val="00A86A35"/>
    <w:rsid w:val="00A86B63"/>
    <w:rsid w:val="00A871EA"/>
    <w:rsid w:val="00A90B39"/>
    <w:rsid w:val="00A91C10"/>
    <w:rsid w:val="00A939ED"/>
    <w:rsid w:val="00A94B9B"/>
    <w:rsid w:val="00AA09C4"/>
    <w:rsid w:val="00AA0A42"/>
    <w:rsid w:val="00AA1C6C"/>
    <w:rsid w:val="00AA1CE3"/>
    <w:rsid w:val="00AA2058"/>
    <w:rsid w:val="00AA253B"/>
    <w:rsid w:val="00AA4DC3"/>
    <w:rsid w:val="00AA52F5"/>
    <w:rsid w:val="00AA71A5"/>
    <w:rsid w:val="00AB07E6"/>
    <w:rsid w:val="00AB0E74"/>
    <w:rsid w:val="00AB3C89"/>
    <w:rsid w:val="00AB4103"/>
    <w:rsid w:val="00AB4774"/>
    <w:rsid w:val="00AB6F2E"/>
    <w:rsid w:val="00AC4276"/>
    <w:rsid w:val="00AC5385"/>
    <w:rsid w:val="00AC67A1"/>
    <w:rsid w:val="00AC7662"/>
    <w:rsid w:val="00AD1C86"/>
    <w:rsid w:val="00AD2C4C"/>
    <w:rsid w:val="00AD49E4"/>
    <w:rsid w:val="00AD6743"/>
    <w:rsid w:val="00AE1063"/>
    <w:rsid w:val="00AE3E28"/>
    <w:rsid w:val="00AE4D45"/>
    <w:rsid w:val="00AE554F"/>
    <w:rsid w:val="00AE5A23"/>
    <w:rsid w:val="00AE798C"/>
    <w:rsid w:val="00AF03A3"/>
    <w:rsid w:val="00AF084B"/>
    <w:rsid w:val="00AF0B53"/>
    <w:rsid w:val="00AF1C21"/>
    <w:rsid w:val="00AF21DD"/>
    <w:rsid w:val="00AF2F7D"/>
    <w:rsid w:val="00AF4F47"/>
    <w:rsid w:val="00AF5281"/>
    <w:rsid w:val="00AF62BA"/>
    <w:rsid w:val="00AF768B"/>
    <w:rsid w:val="00B020D4"/>
    <w:rsid w:val="00B02A6D"/>
    <w:rsid w:val="00B02B51"/>
    <w:rsid w:val="00B02B78"/>
    <w:rsid w:val="00B05290"/>
    <w:rsid w:val="00B05F3A"/>
    <w:rsid w:val="00B12F90"/>
    <w:rsid w:val="00B13177"/>
    <w:rsid w:val="00B15B0F"/>
    <w:rsid w:val="00B1724F"/>
    <w:rsid w:val="00B17527"/>
    <w:rsid w:val="00B212D5"/>
    <w:rsid w:val="00B274EB"/>
    <w:rsid w:val="00B305DC"/>
    <w:rsid w:val="00B30EF7"/>
    <w:rsid w:val="00B329AF"/>
    <w:rsid w:val="00B35AFC"/>
    <w:rsid w:val="00B4040F"/>
    <w:rsid w:val="00B40884"/>
    <w:rsid w:val="00B42BC0"/>
    <w:rsid w:val="00B43744"/>
    <w:rsid w:val="00B4379A"/>
    <w:rsid w:val="00B44386"/>
    <w:rsid w:val="00B44EDA"/>
    <w:rsid w:val="00B45363"/>
    <w:rsid w:val="00B45F6D"/>
    <w:rsid w:val="00B508EA"/>
    <w:rsid w:val="00B517BF"/>
    <w:rsid w:val="00B51C42"/>
    <w:rsid w:val="00B530BA"/>
    <w:rsid w:val="00B54587"/>
    <w:rsid w:val="00B55018"/>
    <w:rsid w:val="00B55365"/>
    <w:rsid w:val="00B554E5"/>
    <w:rsid w:val="00B615EC"/>
    <w:rsid w:val="00B6236D"/>
    <w:rsid w:val="00B62573"/>
    <w:rsid w:val="00B62C23"/>
    <w:rsid w:val="00B62DCC"/>
    <w:rsid w:val="00B6570C"/>
    <w:rsid w:val="00B66823"/>
    <w:rsid w:val="00B67248"/>
    <w:rsid w:val="00B67A05"/>
    <w:rsid w:val="00B67AD8"/>
    <w:rsid w:val="00B67D57"/>
    <w:rsid w:val="00B704D6"/>
    <w:rsid w:val="00B73DBF"/>
    <w:rsid w:val="00B80956"/>
    <w:rsid w:val="00B82FC5"/>
    <w:rsid w:val="00B838A5"/>
    <w:rsid w:val="00B87798"/>
    <w:rsid w:val="00B93229"/>
    <w:rsid w:val="00B9377D"/>
    <w:rsid w:val="00B93D0F"/>
    <w:rsid w:val="00BA1212"/>
    <w:rsid w:val="00BA35BF"/>
    <w:rsid w:val="00BA45A3"/>
    <w:rsid w:val="00BA53D5"/>
    <w:rsid w:val="00BA53E8"/>
    <w:rsid w:val="00BA6418"/>
    <w:rsid w:val="00BA7DE4"/>
    <w:rsid w:val="00BB1440"/>
    <w:rsid w:val="00BB1FB4"/>
    <w:rsid w:val="00BB2FD3"/>
    <w:rsid w:val="00BB30D8"/>
    <w:rsid w:val="00BB436E"/>
    <w:rsid w:val="00BB4796"/>
    <w:rsid w:val="00BB567E"/>
    <w:rsid w:val="00BB6716"/>
    <w:rsid w:val="00BC0756"/>
    <w:rsid w:val="00BC2A9F"/>
    <w:rsid w:val="00BC2B6A"/>
    <w:rsid w:val="00BC3C72"/>
    <w:rsid w:val="00BC4C93"/>
    <w:rsid w:val="00BC5B71"/>
    <w:rsid w:val="00BD029E"/>
    <w:rsid w:val="00BD1479"/>
    <w:rsid w:val="00BD161D"/>
    <w:rsid w:val="00BD27B5"/>
    <w:rsid w:val="00BD44CC"/>
    <w:rsid w:val="00BD668D"/>
    <w:rsid w:val="00BD6B71"/>
    <w:rsid w:val="00BE11D8"/>
    <w:rsid w:val="00BE36EC"/>
    <w:rsid w:val="00BE6261"/>
    <w:rsid w:val="00BE7C72"/>
    <w:rsid w:val="00BF25BF"/>
    <w:rsid w:val="00BF44C8"/>
    <w:rsid w:val="00BF4600"/>
    <w:rsid w:val="00BF46F4"/>
    <w:rsid w:val="00BF5D28"/>
    <w:rsid w:val="00C00632"/>
    <w:rsid w:val="00C006AB"/>
    <w:rsid w:val="00C028FB"/>
    <w:rsid w:val="00C03871"/>
    <w:rsid w:val="00C03C8F"/>
    <w:rsid w:val="00C03FCB"/>
    <w:rsid w:val="00C057C9"/>
    <w:rsid w:val="00C14448"/>
    <w:rsid w:val="00C22FE0"/>
    <w:rsid w:val="00C23FF0"/>
    <w:rsid w:val="00C2571E"/>
    <w:rsid w:val="00C26985"/>
    <w:rsid w:val="00C306A2"/>
    <w:rsid w:val="00C3155E"/>
    <w:rsid w:val="00C34E2B"/>
    <w:rsid w:val="00C36A2D"/>
    <w:rsid w:val="00C40CF3"/>
    <w:rsid w:val="00C41257"/>
    <w:rsid w:val="00C41FE0"/>
    <w:rsid w:val="00C42FCF"/>
    <w:rsid w:val="00C44C63"/>
    <w:rsid w:val="00C45CE2"/>
    <w:rsid w:val="00C46851"/>
    <w:rsid w:val="00C46FC4"/>
    <w:rsid w:val="00C502AF"/>
    <w:rsid w:val="00C50B3F"/>
    <w:rsid w:val="00C518B8"/>
    <w:rsid w:val="00C53FCE"/>
    <w:rsid w:val="00C56FBF"/>
    <w:rsid w:val="00C60B03"/>
    <w:rsid w:val="00C62D86"/>
    <w:rsid w:val="00C62E45"/>
    <w:rsid w:val="00C63599"/>
    <w:rsid w:val="00C70044"/>
    <w:rsid w:val="00C71CFB"/>
    <w:rsid w:val="00C73753"/>
    <w:rsid w:val="00C748FD"/>
    <w:rsid w:val="00C75704"/>
    <w:rsid w:val="00C777D3"/>
    <w:rsid w:val="00C806A3"/>
    <w:rsid w:val="00C84A40"/>
    <w:rsid w:val="00C854C8"/>
    <w:rsid w:val="00C86305"/>
    <w:rsid w:val="00C8681E"/>
    <w:rsid w:val="00C91420"/>
    <w:rsid w:val="00C91CA0"/>
    <w:rsid w:val="00C92BD9"/>
    <w:rsid w:val="00C9392C"/>
    <w:rsid w:val="00C949D2"/>
    <w:rsid w:val="00C94EEE"/>
    <w:rsid w:val="00C95DCE"/>
    <w:rsid w:val="00CA0220"/>
    <w:rsid w:val="00CA0CEC"/>
    <w:rsid w:val="00CA0E3E"/>
    <w:rsid w:val="00CA3E30"/>
    <w:rsid w:val="00CA441F"/>
    <w:rsid w:val="00CA76A0"/>
    <w:rsid w:val="00CB6520"/>
    <w:rsid w:val="00CB7447"/>
    <w:rsid w:val="00CC078C"/>
    <w:rsid w:val="00CC10DE"/>
    <w:rsid w:val="00CC2DF4"/>
    <w:rsid w:val="00CC5982"/>
    <w:rsid w:val="00CC718A"/>
    <w:rsid w:val="00CD11D9"/>
    <w:rsid w:val="00CD17A4"/>
    <w:rsid w:val="00CD2675"/>
    <w:rsid w:val="00CD2B81"/>
    <w:rsid w:val="00CD3F37"/>
    <w:rsid w:val="00CD5A44"/>
    <w:rsid w:val="00CD66C8"/>
    <w:rsid w:val="00CD68F3"/>
    <w:rsid w:val="00CD7D20"/>
    <w:rsid w:val="00CE1696"/>
    <w:rsid w:val="00CE5C5D"/>
    <w:rsid w:val="00CF3223"/>
    <w:rsid w:val="00CF381A"/>
    <w:rsid w:val="00CF45E6"/>
    <w:rsid w:val="00CF476D"/>
    <w:rsid w:val="00CF4BDC"/>
    <w:rsid w:val="00CF55E3"/>
    <w:rsid w:val="00D023E1"/>
    <w:rsid w:val="00D0292D"/>
    <w:rsid w:val="00D03425"/>
    <w:rsid w:val="00D035A0"/>
    <w:rsid w:val="00D04554"/>
    <w:rsid w:val="00D05E26"/>
    <w:rsid w:val="00D0739A"/>
    <w:rsid w:val="00D07730"/>
    <w:rsid w:val="00D116DF"/>
    <w:rsid w:val="00D11E14"/>
    <w:rsid w:val="00D120CF"/>
    <w:rsid w:val="00D134B3"/>
    <w:rsid w:val="00D1767C"/>
    <w:rsid w:val="00D20DED"/>
    <w:rsid w:val="00D22D59"/>
    <w:rsid w:val="00D23F0E"/>
    <w:rsid w:val="00D24196"/>
    <w:rsid w:val="00D24621"/>
    <w:rsid w:val="00D25A51"/>
    <w:rsid w:val="00D269A5"/>
    <w:rsid w:val="00D27598"/>
    <w:rsid w:val="00D275E8"/>
    <w:rsid w:val="00D31C6D"/>
    <w:rsid w:val="00D353A7"/>
    <w:rsid w:val="00D44A08"/>
    <w:rsid w:val="00D4552A"/>
    <w:rsid w:val="00D45574"/>
    <w:rsid w:val="00D45894"/>
    <w:rsid w:val="00D45ACA"/>
    <w:rsid w:val="00D47362"/>
    <w:rsid w:val="00D47DE9"/>
    <w:rsid w:val="00D509FC"/>
    <w:rsid w:val="00D528D6"/>
    <w:rsid w:val="00D5402A"/>
    <w:rsid w:val="00D54F5D"/>
    <w:rsid w:val="00D56276"/>
    <w:rsid w:val="00D6326A"/>
    <w:rsid w:val="00D63DF2"/>
    <w:rsid w:val="00D715EA"/>
    <w:rsid w:val="00D73866"/>
    <w:rsid w:val="00D73F67"/>
    <w:rsid w:val="00D740B8"/>
    <w:rsid w:val="00D7699D"/>
    <w:rsid w:val="00D76D8A"/>
    <w:rsid w:val="00D7719F"/>
    <w:rsid w:val="00D8044B"/>
    <w:rsid w:val="00D80E9F"/>
    <w:rsid w:val="00D903E8"/>
    <w:rsid w:val="00D94E57"/>
    <w:rsid w:val="00D9500B"/>
    <w:rsid w:val="00D96479"/>
    <w:rsid w:val="00DA08CA"/>
    <w:rsid w:val="00DA6BAD"/>
    <w:rsid w:val="00DB0E1F"/>
    <w:rsid w:val="00DB15B9"/>
    <w:rsid w:val="00DB22A0"/>
    <w:rsid w:val="00DB323F"/>
    <w:rsid w:val="00DB5895"/>
    <w:rsid w:val="00DB76EB"/>
    <w:rsid w:val="00DB7CFF"/>
    <w:rsid w:val="00DC41A7"/>
    <w:rsid w:val="00DD4688"/>
    <w:rsid w:val="00DD495D"/>
    <w:rsid w:val="00DD5E2F"/>
    <w:rsid w:val="00DD6E7E"/>
    <w:rsid w:val="00DE4830"/>
    <w:rsid w:val="00DE5A83"/>
    <w:rsid w:val="00DE6A58"/>
    <w:rsid w:val="00DF1335"/>
    <w:rsid w:val="00DF3BB8"/>
    <w:rsid w:val="00DF43C5"/>
    <w:rsid w:val="00DF43E0"/>
    <w:rsid w:val="00DF538A"/>
    <w:rsid w:val="00E0046E"/>
    <w:rsid w:val="00E01EE8"/>
    <w:rsid w:val="00E04AFF"/>
    <w:rsid w:val="00E06D9A"/>
    <w:rsid w:val="00E074D7"/>
    <w:rsid w:val="00E0750A"/>
    <w:rsid w:val="00E07BBD"/>
    <w:rsid w:val="00E07DD0"/>
    <w:rsid w:val="00E11855"/>
    <w:rsid w:val="00E1668D"/>
    <w:rsid w:val="00E176A2"/>
    <w:rsid w:val="00E2194A"/>
    <w:rsid w:val="00E25D30"/>
    <w:rsid w:val="00E266E1"/>
    <w:rsid w:val="00E27C86"/>
    <w:rsid w:val="00E31EEF"/>
    <w:rsid w:val="00E35A37"/>
    <w:rsid w:val="00E36546"/>
    <w:rsid w:val="00E36C5D"/>
    <w:rsid w:val="00E461A7"/>
    <w:rsid w:val="00E469FD"/>
    <w:rsid w:val="00E47A73"/>
    <w:rsid w:val="00E53D73"/>
    <w:rsid w:val="00E54B8E"/>
    <w:rsid w:val="00E555C3"/>
    <w:rsid w:val="00E56F71"/>
    <w:rsid w:val="00E606B1"/>
    <w:rsid w:val="00E61B3F"/>
    <w:rsid w:val="00E61F9C"/>
    <w:rsid w:val="00E63361"/>
    <w:rsid w:val="00E6382E"/>
    <w:rsid w:val="00E648BD"/>
    <w:rsid w:val="00E65228"/>
    <w:rsid w:val="00E65E85"/>
    <w:rsid w:val="00E65F44"/>
    <w:rsid w:val="00E72E8F"/>
    <w:rsid w:val="00E8050D"/>
    <w:rsid w:val="00E814FD"/>
    <w:rsid w:val="00E82832"/>
    <w:rsid w:val="00E86161"/>
    <w:rsid w:val="00E869CA"/>
    <w:rsid w:val="00E87C43"/>
    <w:rsid w:val="00E90C87"/>
    <w:rsid w:val="00E91BA5"/>
    <w:rsid w:val="00E924C4"/>
    <w:rsid w:val="00E935AB"/>
    <w:rsid w:val="00E93DF7"/>
    <w:rsid w:val="00E947C5"/>
    <w:rsid w:val="00EA0BEE"/>
    <w:rsid w:val="00EA2848"/>
    <w:rsid w:val="00EA45D7"/>
    <w:rsid w:val="00EA7D6E"/>
    <w:rsid w:val="00EB41AB"/>
    <w:rsid w:val="00EB476D"/>
    <w:rsid w:val="00EB5830"/>
    <w:rsid w:val="00EB5D1C"/>
    <w:rsid w:val="00EB614C"/>
    <w:rsid w:val="00EC0AC8"/>
    <w:rsid w:val="00EC18C7"/>
    <w:rsid w:val="00EC2313"/>
    <w:rsid w:val="00EC2E8A"/>
    <w:rsid w:val="00EC4628"/>
    <w:rsid w:val="00EC66B6"/>
    <w:rsid w:val="00EC6EDF"/>
    <w:rsid w:val="00ED1D1F"/>
    <w:rsid w:val="00ED2DEE"/>
    <w:rsid w:val="00EE0A70"/>
    <w:rsid w:val="00EE0D49"/>
    <w:rsid w:val="00EE22DE"/>
    <w:rsid w:val="00EE23BF"/>
    <w:rsid w:val="00EE3D67"/>
    <w:rsid w:val="00EE56C1"/>
    <w:rsid w:val="00EE5D26"/>
    <w:rsid w:val="00EE6F05"/>
    <w:rsid w:val="00EF040E"/>
    <w:rsid w:val="00EF04F0"/>
    <w:rsid w:val="00EF0DE7"/>
    <w:rsid w:val="00EF11BF"/>
    <w:rsid w:val="00EF173D"/>
    <w:rsid w:val="00EF40DA"/>
    <w:rsid w:val="00EF4BCA"/>
    <w:rsid w:val="00EF5109"/>
    <w:rsid w:val="00EF5156"/>
    <w:rsid w:val="00EF6D85"/>
    <w:rsid w:val="00EF75AE"/>
    <w:rsid w:val="00F00742"/>
    <w:rsid w:val="00F01BF0"/>
    <w:rsid w:val="00F02472"/>
    <w:rsid w:val="00F03B1D"/>
    <w:rsid w:val="00F040DF"/>
    <w:rsid w:val="00F056CF"/>
    <w:rsid w:val="00F104D8"/>
    <w:rsid w:val="00F12044"/>
    <w:rsid w:val="00F1223C"/>
    <w:rsid w:val="00F14BD8"/>
    <w:rsid w:val="00F1525A"/>
    <w:rsid w:val="00F160D4"/>
    <w:rsid w:val="00F16BC5"/>
    <w:rsid w:val="00F16CBA"/>
    <w:rsid w:val="00F1717D"/>
    <w:rsid w:val="00F214F9"/>
    <w:rsid w:val="00F2353B"/>
    <w:rsid w:val="00F2637D"/>
    <w:rsid w:val="00F263F3"/>
    <w:rsid w:val="00F2701B"/>
    <w:rsid w:val="00F27D4B"/>
    <w:rsid w:val="00F3073C"/>
    <w:rsid w:val="00F308BC"/>
    <w:rsid w:val="00F31000"/>
    <w:rsid w:val="00F324D9"/>
    <w:rsid w:val="00F3402D"/>
    <w:rsid w:val="00F3436F"/>
    <w:rsid w:val="00F352E3"/>
    <w:rsid w:val="00F35B2E"/>
    <w:rsid w:val="00F35EB2"/>
    <w:rsid w:val="00F42D25"/>
    <w:rsid w:val="00F44138"/>
    <w:rsid w:val="00F450BD"/>
    <w:rsid w:val="00F465E0"/>
    <w:rsid w:val="00F47A84"/>
    <w:rsid w:val="00F500BD"/>
    <w:rsid w:val="00F52D59"/>
    <w:rsid w:val="00F52E20"/>
    <w:rsid w:val="00F52FFC"/>
    <w:rsid w:val="00F537F0"/>
    <w:rsid w:val="00F61E3F"/>
    <w:rsid w:val="00F62C32"/>
    <w:rsid w:val="00F63F16"/>
    <w:rsid w:val="00F667AC"/>
    <w:rsid w:val="00F70714"/>
    <w:rsid w:val="00F7135A"/>
    <w:rsid w:val="00F7536B"/>
    <w:rsid w:val="00F7651E"/>
    <w:rsid w:val="00F765DA"/>
    <w:rsid w:val="00F80DFC"/>
    <w:rsid w:val="00F81D77"/>
    <w:rsid w:val="00F85973"/>
    <w:rsid w:val="00F91C0A"/>
    <w:rsid w:val="00F92E12"/>
    <w:rsid w:val="00F96533"/>
    <w:rsid w:val="00F96579"/>
    <w:rsid w:val="00F96849"/>
    <w:rsid w:val="00F97C11"/>
    <w:rsid w:val="00FA017A"/>
    <w:rsid w:val="00FA14FF"/>
    <w:rsid w:val="00FA354F"/>
    <w:rsid w:val="00FA52AA"/>
    <w:rsid w:val="00FB327E"/>
    <w:rsid w:val="00FB380C"/>
    <w:rsid w:val="00FB656C"/>
    <w:rsid w:val="00FB6C21"/>
    <w:rsid w:val="00FB741A"/>
    <w:rsid w:val="00FC0113"/>
    <w:rsid w:val="00FC17DE"/>
    <w:rsid w:val="00FC60A1"/>
    <w:rsid w:val="00FC6BF1"/>
    <w:rsid w:val="00FC7F7E"/>
    <w:rsid w:val="00FD09C8"/>
    <w:rsid w:val="00FD19AA"/>
    <w:rsid w:val="00FD2121"/>
    <w:rsid w:val="00FD4767"/>
    <w:rsid w:val="00FD4EB3"/>
    <w:rsid w:val="00FE11D1"/>
    <w:rsid w:val="00FE27F3"/>
    <w:rsid w:val="00FE7DBE"/>
    <w:rsid w:val="00FF1A74"/>
    <w:rsid w:val="00FF43D7"/>
    <w:rsid w:val="01509C87"/>
    <w:rsid w:val="0173BE89"/>
    <w:rsid w:val="01C48815"/>
    <w:rsid w:val="02296B40"/>
    <w:rsid w:val="0236A088"/>
    <w:rsid w:val="03085DE0"/>
    <w:rsid w:val="030BD01B"/>
    <w:rsid w:val="03795038"/>
    <w:rsid w:val="038A7999"/>
    <w:rsid w:val="03C9B8BE"/>
    <w:rsid w:val="04062BFE"/>
    <w:rsid w:val="0414EDC7"/>
    <w:rsid w:val="044B30CB"/>
    <w:rsid w:val="045E0FE7"/>
    <w:rsid w:val="04B83E36"/>
    <w:rsid w:val="05299CCC"/>
    <w:rsid w:val="06124189"/>
    <w:rsid w:val="06959E21"/>
    <w:rsid w:val="06D2A5D3"/>
    <w:rsid w:val="0786A456"/>
    <w:rsid w:val="07F029BC"/>
    <w:rsid w:val="0806084F"/>
    <w:rsid w:val="082FEB96"/>
    <w:rsid w:val="083D0E70"/>
    <w:rsid w:val="0847A746"/>
    <w:rsid w:val="08866827"/>
    <w:rsid w:val="08B244A8"/>
    <w:rsid w:val="08FDB907"/>
    <w:rsid w:val="09040424"/>
    <w:rsid w:val="0908CB4C"/>
    <w:rsid w:val="0909B1F4"/>
    <w:rsid w:val="09473503"/>
    <w:rsid w:val="0973E8BE"/>
    <w:rsid w:val="09C92836"/>
    <w:rsid w:val="09D37EBD"/>
    <w:rsid w:val="0A06C2D2"/>
    <w:rsid w:val="0A82F39A"/>
    <w:rsid w:val="0AAEE0AB"/>
    <w:rsid w:val="0B387F35"/>
    <w:rsid w:val="0B51A0FD"/>
    <w:rsid w:val="0B709077"/>
    <w:rsid w:val="0B738572"/>
    <w:rsid w:val="0B85B3E7"/>
    <w:rsid w:val="0B967198"/>
    <w:rsid w:val="0C103930"/>
    <w:rsid w:val="0C7BBEFD"/>
    <w:rsid w:val="0D5730A1"/>
    <w:rsid w:val="0D9C3E55"/>
    <w:rsid w:val="0DA04DC5"/>
    <w:rsid w:val="0E87435A"/>
    <w:rsid w:val="0EC9A8A5"/>
    <w:rsid w:val="0EEEDFD6"/>
    <w:rsid w:val="0F444347"/>
    <w:rsid w:val="108CC107"/>
    <w:rsid w:val="1099250C"/>
    <w:rsid w:val="10C6B93A"/>
    <w:rsid w:val="1138922B"/>
    <w:rsid w:val="1151DA0F"/>
    <w:rsid w:val="11690C66"/>
    <w:rsid w:val="1178D7FF"/>
    <w:rsid w:val="11A1E3D9"/>
    <w:rsid w:val="11D29DAD"/>
    <w:rsid w:val="121A07A9"/>
    <w:rsid w:val="123B6330"/>
    <w:rsid w:val="12547415"/>
    <w:rsid w:val="127F2498"/>
    <w:rsid w:val="12A73A5A"/>
    <w:rsid w:val="12B24144"/>
    <w:rsid w:val="13266C43"/>
    <w:rsid w:val="135E7685"/>
    <w:rsid w:val="13679102"/>
    <w:rsid w:val="139F3F54"/>
    <w:rsid w:val="149C26A4"/>
    <w:rsid w:val="14F780AA"/>
    <w:rsid w:val="15384CAA"/>
    <w:rsid w:val="157DD2A9"/>
    <w:rsid w:val="167D4A27"/>
    <w:rsid w:val="16A14576"/>
    <w:rsid w:val="16C6C512"/>
    <w:rsid w:val="178B4E3A"/>
    <w:rsid w:val="178C17C8"/>
    <w:rsid w:val="17D6B629"/>
    <w:rsid w:val="1852C8E8"/>
    <w:rsid w:val="189A9B5E"/>
    <w:rsid w:val="18B0E99E"/>
    <w:rsid w:val="18BDB217"/>
    <w:rsid w:val="18CA3044"/>
    <w:rsid w:val="18E6C4B4"/>
    <w:rsid w:val="19264365"/>
    <w:rsid w:val="194ADA72"/>
    <w:rsid w:val="1950071F"/>
    <w:rsid w:val="198CCE47"/>
    <w:rsid w:val="1AE211D1"/>
    <w:rsid w:val="1AE43382"/>
    <w:rsid w:val="1AF81E9E"/>
    <w:rsid w:val="1B337725"/>
    <w:rsid w:val="1B7F94CC"/>
    <w:rsid w:val="1C1E54FF"/>
    <w:rsid w:val="1C233294"/>
    <w:rsid w:val="1C24FFDE"/>
    <w:rsid w:val="1C87FBEE"/>
    <w:rsid w:val="1C924AE7"/>
    <w:rsid w:val="1CCE2410"/>
    <w:rsid w:val="1D043FC3"/>
    <w:rsid w:val="1D63527F"/>
    <w:rsid w:val="1E067C0A"/>
    <w:rsid w:val="1E65E8D0"/>
    <w:rsid w:val="1EAB6AC0"/>
    <w:rsid w:val="1F214014"/>
    <w:rsid w:val="2027F285"/>
    <w:rsid w:val="203918F6"/>
    <w:rsid w:val="2059BA26"/>
    <w:rsid w:val="207EBFB2"/>
    <w:rsid w:val="20A61DB5"/>
    <w:rsid w:val="20B13A73"/>
    <w:rsid w:val="20D0F02B"/>
    <w:rsid w:val="20E0709A"/>
    <w:rsid w:val="213A6A55"/>
    <w:rsid w:val="215FF488"/>
    <w:rsid w:val="2192049D"/>
    <w:rsid w:val="223EB35E"/>
    <w:rsid w:val="230ED2FD"/>
    <w:rsid w:val="23D72C6F"/>
    <w:rsid w:val="244BF0A6"/>
    <w:rsid w:val="24FC912F"/>
    <w:rsid w:val="2543F433"/>
    <w:rsid w:val="26CD68FF"/>
    <w:rsid w:val="277BE22F"/>
    <w:rsid w:val="27AA6F72"/>
    <w:rsid w:val="282CDCB1"/>
    <w:rsid w:val="283A0EF5"/>
    <w:rsid w:val="2858FBDF"/>
    <w:rsid w:val="292B1027"/>
    <w:rsid w:val="29452AAC"/>
    <w:rsid w:val="2945F7EE"/>
    <w:rsid w:val="297DBB6D"/>
    <w:rsid w:val="2A3CE564"/>
    <w:rsid w:val="2A7B4A8F"/>
    <w:rsid w:val="2ACBC6D6"/>
    <w:rsid w:val="2ADF0DBB"/>
    <w:rsid w:val="2AEC7E7C"/>
    <w:rsid w:val="2B1D05C4"/>
    <w:rsid w:val="2B8D9E7A"/>
    <w:rsid w:val="2B97EB67"/>
    <w:rsid w:val="2C44332D"/>
    <w:rsid w:val="2C96646B"/>
    <w:rsid w:val="2CBD8548"/>
    <w:rsid w:val="2CFC1209"/>
    <w:rsid w:val="2D1152FA"/>
    <w:rsid w:val="2D1C3C82"/>
    <w:rsid w:val="2D3B5036"/>
    <w:rsid w:val="2D5165C1"/>
    <w:rsid w:val="2D9BCC67"/>
    <w:rsid w:val="2DA99E2E"/>
    <w:rsid w:val="2DD64621"/>
    <w:rsid w:val="2E4DB99D"/>
    <w:rsid w:val="2E73275D"/>
    <w:rsid w:val="2EF3D017"/>
    <w:rsid w:val="2F016D51"/>
    <w:rsid w:val="2F8AA197"/>
    <w:rsid w:val="2F9ED2ED"/>
    <w:rsid w:val="2FBDEE6C"/>
    <w:rsid w:val="30122147"/>
    <w:rsid w:val="30B36233"/>
    <w:rsid w:val="30BB346D"/>
    <w:rsid w:val="3101F59E"/>
    <w:rsid w:val="317B0A02"/>
    <w:rsid w:val="31ABFE03"/>
    <w:rsid w:val="31D4EBA2"/>
    <w:rsid w:val="3226D24A"/>
    <w:rsid w:val="323E1210"/>
    <w:rsid w:val="32873B26"/>
    <w:rsid w:val="32877697"/>
    <w:rsid w:val="328ED0D4"/>
    <w:rsid w:val="32CA1286"/>
    <w:rsid w:val="32D03E34"/>
    <w:rsid w:val="3302340D"/>
    <w:rsid w:val="33473B8D"/>
    <w:rsid w:val="357817C3"/>
    <w:rsid w:val="3588D5D6"/>
    <w:rsid w:val="35BE818C"/>
    <w:rsid w:val="36C7C4EF"/>
    <w:rsid w:val="38057DC8"/>
    <w:rsid w:val="3879A97E"/>
    <w:rsid w:val="38B3E4AE"/>
    <w:rsid w:val="38BEFA67"/>
    <w:rsid w:val="392775AE"/>
    <w:rsid w:val="397B3DD6"/>
    <w:rsid w:val="3AA34D01"/>
    <w:rsid w:val="3AB78E45"/>
    <w:rsid w:val="3AFAB473"/>
    <w:rsid w:val="3B34C5B6"/>
    <w:rsid w:val="3BDA71FB"/>
    <w:rsid w:val="3C6A9FA6"/>
    <w:rsid w:val="3C989B41"/>
    <w:rsid w:val="3CE6A483"/>
    <w:rsid w:val="3CFBEDF7"/>
    <w:rsid w:val="3D2AF0EB"/>
    <w:rsid w:val="3DA4483D"/>
    <w:rsid w:val="3DB8C652"/>
    <w:rsid w:val="3DF89DFD"/>
    <w:rsid w:val="3E455606"/>
    <w:rsid w:val="3E6D90E8"/>
    <w:rsid w:val="3E932A4F"/>
    <w:rsid w:val="3ECF2A5E"/>
    <w:rsid w:val="3F21921B"/>
    <w:rsid w:val="3F49C59C"/>
    <w:rsid w:val="3F60C221"/>
    <w:rsid w:val="3FF8126E"/>
    <w:rsid w:val="40088F51"/>
    <w:rsid w:val="400AE7C7"/>
    <w:rsid w:val="40174ECE"/>
    <w:rsid w:val="404735E9"/>
    <w:rsid w:val="40529A33"/>
    <w:rsid w:val="41861C8F"/>
    <w:rsid w:val="422B5084"/>
    <w:rsid w:val="4238730A"/>
    <w:rsid w:val="423AD7B7"/>
    <w:rsid w:val="423CD475"/>
    <w:rsid w:val="4250D17E"/>
    <w:rsid w:val="42CD89B4"/>
    <w:rsid w:val="43044BC9"/>
    <w:rsid w:val="436243A1"/>
    <w:rsid w:val="4364FEC3"/>
    <w:rsid w:val="454853E0"/>
    <w:rsid w:val="45D3DBF3"/>
    <w:rsid w:val="45F909FF"/>
    <w:rsid w:val="460608AE"/>
    <w:rsid w:val="46331946"/>
    <w:rsid w:val="46F61780"/>
    <w:rsid w:val="479BFECF"/>
    <w:rsid w:val="47BAF0C1"/>
    <w:rsid w:val="47E6F9AD"/>
    <w:rsid w:val="47F0CE4E"/>
    <w:rsid w:val="481480E8"/>
    <w:rsid w:val="488A5FC4"/>
    <w:rsid w:val="4903BFE1"/>
    <w:rsid w:val="4A0B896A"/>
    <w:rsid w:val="4A0FA716"/>
    <w:rsid w:val="4A27AEC7"/>
    <w:rsid w:val="4AE2906B"/>
    <w:rsid w:val="4AF85265"/>
    <w:rsid w:val="4B05114C"/>
    <w:rsid w:val="4B6BBBBB"/>
    <w:rsid w:val="4B9D3192"/>
    <w:rsid w:val="4BD5D73C"/>
    <w:rsid w:val="4C01B89C"/>
    <w:rsid w:val="4C278AF3"/>
    <w:rsid w:val="4C2FD22A"/>
    <w:rsid w:val="4C5C2616"/>
    <w:rsid w:val="4CADEEDA"/>
    <w:rsid w:val="4D6E59E4"/>
    <w:rsid w:val="4D8FB8D0"/>
    <w:rsid w:val="4D900943"/>
    <w:rsid w:val="4DA5A010"/>
    <w:rsid w:val="4DA9D7F0"/>
    <w:rsid w:val="4E075648"/>
    <w:rsid w:val="4E15A4DA"/>
    <w:rsid w:val="4EE2D1F8"/>
    <w:rsid w:val="4F53C92D"/>
    <w:rsid w:val="4F7CD37F"/>
    <w:rsid w:val="4FC46F8F"/>
    <w:rsid w:val="50229697"/>
    <w:rsid w:val="504AFBB0"/>
    <w:rsid w:val="50FA6705"/>
    <w:rsid w:val="511669C6"/>
    <w:rsid w:val="51646E93"/>
    <w:rsid w:val="516E153E"/>
    <w:rsid w:val="51952AEF"/>
    <w:rsid w:val="51EE677D"/>
    <w:rsid w:val="5254AC23"/>
    <w:rsid w:val="526F923B"/>
    <w:rsid w:val="52BEAAC6"/>
    <w:rsid w:val="52FA9DC3"/>
    <w:rsid w:val="533CF0C1"/>
    <w:rsid w:val="53A4DF27"/>
    <w:rsid w:val="54536309"/>
    <w:rsid w:val="54788FE7"/>
    <w:rsid w:val="5490CA33"/>
    <w:rsid w:val="54B5D76F"/>
    <w:rsid w:val="54CA9B1B"/>
    <w:rsid w:val="553AD4A9"/>
    <w:rsid w:val="555F9A15"/>
    <w:rsid w:val="55CCDC25"/>
    <w:rsid w:val="55ED84CA"/>
    <w:rsid w:val="5679D64A"/>
    <w:rsid w:val="57001CA3"/>
    <w:rsid w:val="5702C356"/>
    <w:rsid w:val="574A7CA2"/>
    <w:rsid w:val="577773E3"/>
    <w:rsid w:val="57D0A781"/>
    <w:rsid w:val="58075E18"/>
    <w:rsid w:val="583869BA"/>
    <w:rsid w:val="5866FF25"/>
    <w:rsid w:val="587D60FA"/>
    <w:rsid w:val="58870F44"/>
    <w:rsid w:val="5893A48F"/>
    <w:rsid w:val="58E40DCC"/>
    <w:rsid w:val="5915045D"/>
    <w:rsid w:val="59560520"/>
    <w:rsid w:val="598DB6FE"/>
    <w:rsid w:val="5A1B15B2"/>
    <w:rsid w:val="5A286BA5"/>
    <w:rsid w:val="5A473313"/>
    <w:rsid w:val="5B1BEE3A"/>
    <w:rsid w:val="5B34A5CE"/>
    <w:rsid w:val="5B7FE1EF"/>
    <w:rsid w:val="5BAC15AC"/>
    <w:rsid w:val="5BB38F4B"/>
    <w:rsid w:val="5BCC78FB"/>
    <w:rsid w:val="5BDD6C91"/>
    <w:rsid w:val="5BE9F9B3"/>
    <w:rsid w:val="5C2E609A"/>
    <w:rsid w:val="5CC62FAF"/>
    <w:rsid w:val="5CE0BFAB"/>
    <w:rsid w:val="5D091FAA"/>
    <w:rsid w:val="5D0BF70B"/>
    <w:rsid w:val="5D0E9077"/>
    <w:rsid w:val="5D4905F4"/>
    <w:rsid w:val="5D997DB0"/>
    <w:rsid w:val="5DD88D01"/>
    <w:rsid w:val="5E272EFD"/>
    <w:rsid w:val="5E6073A0"/>
    <w:rsid w:val="5EB348C4"/>
    <w:rsid w:val="5EDDB029"/>
    <w:rsid w:val="5F01F7BB"/>
    <w:rsid w:val="5F83E9E5"/>
    <w:rsid w:val="604F0139"/>
    <w:rsid w:val="60569449"/>
    <w:rsid w:val="605A51B4"/>
    <w:rsid w:val="60DD7B1E"/>
    <w:rsid w:val="6128B2AB"/>
    <w:rsid w:val="61A573E1"/>
    <w:rsid w:val="6214B445"/>
    <w:rsid w:val="62856110"/>
    <w:rsid w:val="628BBE75"/>
    <w:rsid w:val="629D77A9"/>
    <w:rsid w:val="6396D235"/>
    <w:rsid w:val="63A02179"/>
    <w:rsid w:val="64282D97"/>
    <w:rsid w:val="647A4776"/>
    <w:rsid w:val="649D0526"/>
    <w:rsid w:val="659461CB"/>
    <w:rsid w:val="65EAAFB0"/>
    <w:rsid w:val="6617F41F"/>
    <w:rsid w:val="66C5A77F"/>
    <w:rsid w:val="671AFFE8"/>
    <w:rsid w:val="6769DFB4"/>
    <w:rsid w:val="678813A1"/>
    <w:rsid w:val="67C8AE92"/>
    <w:rsid w:val="6804594A"/>
    <w:rsid w:val="6891793C"/>
    <w:rsid w:val="68B8A4CB"/>
    <w:rsid w:val="68CBAD9A"/>
    <w:rsid w:val="693B1C0A"/>
    <w:rsid w:val="698FF99A"/>
    <w:rsid w:val="699DB687"/>
    <w:rsid w:val="69A5649C"/>
    <w:rsid w:val="69B78CF9"/>
    <w:rsid w:val="6A33C628"/>
    <w:rsid w:val="6A719204"/>
    <w:rsid w:val="6A802AC2"/>
    <w:rsid w:val="6AC8EF7E"/>
    <w:rsid w:val="6AD2E6BA"/>
    <w:rsid w:val="6B263EF0"/>
    <w:rsid w:val="6B9B8C95"/>
    <w:rsid w:val="6C105C3E"/>
    <w:rsid w:val="6D0BC5DF"/>
    <w:rsid w:val="6D5BFF3B"/>
    <w:rsid w:val="6D663911"/>
    <w:rsid w:val="6D919A5D"/>
    <w:rsid w:val="6DB56077"/>
    <w:rsid w:val="6E31D46D"/>
    <w:rsid w:val="6E6EECC3"/>
    <w:rsid w:val="6EBFB76B"/>
    <w:rsid w:val="6EC89A88"/>
    <w:rsid w:val="6EC9F873"/>
    <w:rsid w:val="6F2BD6D7"/>
    <w:rsid w:val="6F61119A"/>
    <w:rsid w:val="6F954BEC"/>
    <w:rsid w:val="6F9B60CF"/>
    <w:rsid w:val="6FDF42BC"/>
    <w:rsid w:val="707C13DA"/>
    <w:rsid w:val="71708C9F"/>
    <w:rsid w:val="71D7EF8D"/>
    <w:rsid w:val="72002EC3"/>
    <w:rsid w:val="72E6B779"/>
    <w:rsid w:val="72EDCD33"/>
    <w:rsid w:val="734FD96C"/>
    <w:rsid w:val="737244E1"/>
    <w:rsid w:val="7399E520"/>
    <w:rsid w:val="73C1DF55"/>
    <w:rsid w:val="74060629"/>
    <w:rsid w:val="754210DC"/>
    <w:rsid w:val="75499145"/>
    <w:rsid w:val="75C41A96"/>
    <w:rsid w:val="75F6868D"/>
    <w:rsid w:val="7604F883"/>
    <w:rsid w:val="763841F9"/>
    <w:rsid w:val="7697AF16"/>
    <w:rsid w:val="76C77C59"/>
    <w:rsid w:val="779BF9FD"/>
    <w:rsid w:val="779C044F"/>
    <w:rsid w:val="787D7558"/>
    <w:rsid w:val="787F23CE"/>
    <w:rsid w:val="78E133F2"/>
    <w:rsid w:val="7902544A"/>
    <w:rsid w:val="7A14389D"/>
    <w:rsid w:val="7A60AA4A"/>
    <w:rsid w:val="7AC3A033"/>
    <w:rsid w:val="7B2BB43E"/>
    <w:rsid w:val="7B30A959"/>
    <w:rsid w:val="7B736911"/>
    <w:rsid w:val="7B99148B"/>
    <w:rsid w:val="7BB8DF1C"/>
    <w:rsid w:val="7BC9D20F"/>
    <w:rsid w:val="7C0E4BF0"/>
    <w:rsid w:val="7C4039A9"/>
    <w:rsid w:val="7C89E218"/>
    <w:rsid w:val="7CCA0D6D"/>
    <w:rsid w:val="7D30AB06"/>
    <w:rsid w:val="7D3B3055"/>
    <w:rsid w:val="7D3FA04A"/>
    <w:rsid w:val="7D603E2D"/>
    <w:rsid w:val="7DB387AE"/>
    <w:rsid w:val="7DD3572C"/>
    <w:rsid w:val="7DF3AA41"/>
    <w:rsid w:val="7E53F790"/>
    <w:rsid w:val="7EA8CC0B"/>
    <w:rsid w:val="7EB4CF89"/>
    <w:rsid w:val="7F7B8CEC"/>
    <w:rsid w:val="7F84AD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8A0DD772-4D48-4CA9-A97A-8F05065C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5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customStyle="1" w:styleId="Default">
    <w:name w:val="Default"/>
    <w:rsid w:val="005B7F0B"/>
    <w:pPr>
      <w:autoSpaceDE w:val="0"/>
      <w:autoSpaceDN w:val="0"/>
      <w:adjustRightInd w:val="0"/>
    </w:pPr>
    <w:rPr>
      <w:rFonts w:ascii="Myriad Pro" w:hAnsi="Myriad Pro" w:cs="Myriad Pro"/>
      <w:color w:val="000000"/>
      <w:kern w:val="0"/>
      <w14:ligatures w14:val="none"/>
    </w:rPr>
  </w:style>
  <w:style w:type="paragraph" w:styleId="ListParagraph">
    <w:name w:val="List Paragraph"/>
    <w:aliases w:val="Figure_name,List Paragraph1,Bullet- First level,Use Case List Paragraph,Heading2,Body Bullet,b1,Bullet for no #'s,Ref,List Paragraph Char Char,Bulleted Text,Normal Sentence,numbered,List Paragraph11,List 1 Paragraph,Equipment,Bullet List"/>
    <w:basedOn w:val="Normal"/>
    <w:link w:val="ListParagraphChar"/>
    <w:uiPriority w:val="34"/>
    <w:qFormat/>
    <w:rsid w:val="005B7F0B"/>
    <w:pPr>
      <w:spacing w:before="0" w:after="0" w:line="240" w:lineRule="auto"/>
      <w:ind w:left="720"/>
      <w:contextualSpacing/>
    </w:pPr>
    <w:rPr>
      <w:rFonts w:ascii="Times New Roman" w:eastAsia="Times New Roman" w:hAnsi="Times New Roman" w:cs="Times New Roman"/>
      <w:sz w:val="20"/>
      <w:szCs w:val="20"/>
    </w:rPr>
  </w:style>
  <w:style w:type="character" w:styleId="Mention">
    <w:name w:val="Mention"/>
    <w:basedOn w:val="DefaultParagraphFont"/>
    <w:uiPriority w:val="99"/>
    <w:unhideWhenUsed/>
    <w:rsid w:val="005B7F0B"/>
    <w:rPr>
      <w:color w:val="2B579A"/>
      <w:shd w:val="clear" w:color="auto" w:fill="E1DFDD"/>
    </w:rPr>
  </w:style>
  <w:style w:type="paragraph" w:styleId="TOCHeading">
    <w:name w:val="TOC Heading"/>
    <w:basedOn w:val="Heading1"/>
    <w:next w:val="Normal"/>
    <w:uiPriority w:val="39"/>
    <w:unhideWhenUsed/>
    <w:qFormat/>
    <w:rsid w:val="00930634"/>
    <w:pPr>
      <w:snapToGrid/>
      <w:spacing w:before="240" w:after="0" w:line="259" w:lineRule="auto"/>
      <w:outlineLvl w:val="9"/>
    </w:pPr>
    <w:rPr>
      <w:b w:val="0"/>
      <w:bCs w:val="0"/>
      <w:color w:val="0F3F6B" w:themeColor="accent1" w:themeShade="BF"/>
      <w:sz w:val="32"/>
      <w:szCs w:val="32"/>
    </w:rPr>
  </w:style>
  <w:style w:type="paragraph" w:styleId="TOC1">
    <w:name w:val="toc 1"/>
    <w:basedOn w:val="Normal"/>
    <w:next w:val="Normal"/>
    <w:autoRedefine/>
    <w:uiPriority w:val="39"/>
    <w:unhideWhenUsed/>
    <w:rsid w:val="00930634"/>
    <w:pPr>
      <w:spacing w:after="100"/>
    </w:pPr>
  </w:style>
  <w:style w:type="paragraph" w:styleId="TOC2">
    <w:name w:val="toc 2"/>
    <w:basedOn w:val="Normal"/>
    <w:next w:val="Normal"/>
    <w:autoRedefine/>
    <w:uiPriority w:val="39"/>
    <w:unhideWhenUsed/>
    <w:rsid w:val="00930634"/>
    <w:pPr>
      <w:spacing w:after="100"/>
      <w:ind w:left="220"/>
    </w:pPr>
  </w:style>
  <w:style w:type="paragraph" w:styleId="TOC3">
    <w:name w:val="toc 3"/>
    <w:basedOn w:val="Normal"/>
    <w:next w:val="Normal"/>
    <w:autoRedefine/>
    <w:uiPriority w:val="39"/>
    <w:unhideWhenUsed/>
    <w:rsid w:val="00930634"/>
    <w:pPr>
      <w:spacing w:after="100"/>
      <w:ind w:left="440"/>
    </w:pPr>
  </w:style>
  <w:style w:type="character" w:styleId="Hyperlink">
    <w:name w:val="Hyperlink"/>
    <w:basedOn w:val="DefaultParagraphFont"/>
    <w:uiPriority w:val="99"/>
    <w:unhideWhenUsed/>
    <w:rsid w:val="00930634"/>
    <w:rPr>
      <w:color w:val="0563C1" w:themeColor="hyperlink"/>
      <w:u w:val="single"/>
    </w:rPr>
  </w:style>
  <w:style w:type="character" w:customStyle="1" w:styleId="normaltextrun">
    <w:name w:val="normaltextrun"/>
    <w:basedOn w:val="DefaultParagraphFont"/>
    <w:rsid w:val="00FB656C"/>
  </w:style>
  <w:style w:type="paragraph" w:styleId="Caption">
    <w:name w:val="caption"/>
    <w:basedOn w:val="Normal"/>
    <w:next w:val="Normal"/>
    <w:uiPriority w:val="35"/>
    <w:unhideWhenUsed/>
    <w:qFormat/>
    <w:rsid w:val="00FB656C"/>
    <w:pPr>
      <w:spacing w:before="0" w:line="240" w:lineRule="auto"/>
    </w:pPr>
    <w:rPr>
      <w:i/>
      <w:iCs/>
      <w:color w:val="535353" w:themeColor="text2"/>
      <w:sz w:val="18"/>
      <w:szCs w:val="18"/>
    </w:rPr>
  </w:style>
  <w:style w:type="paragraph" w:styleId="BodyText2">
    <w:name w:val="Body Text 2"/>
    <w:basedOn w:val="Normal"/>
    <w:link w:val="BodyText2Char"/>
    <w:uiPriority w:val="99"/>
    <w:unhideWhenUsed/>
    <w:rsid w:val="00346EA5"/>
    <w:pPr>
      <w:spacing w:before="0" w:after="0" w:line="240" w:lineRule="auto"/>
    </w:pPr>
    <w:rPr>
      <w:rFonts w:ascii="Times New Roman" w:eastAsia="Times New Roman" w:hAnsi="Times New Roman" w:cs="Times New Roman"/>
      <w:color w:val="000000" w:themeColor="text1"/>
      <w:sz w:val="24"/>
      <w:szCs w:val="24"/>
    </w:rPr>
  </w:style>
  <w:style w:type="character" w:customStyle="1" w:styleId="BodyText2Char">
    <w:name w:val="Body Text 2 Char"/>
    <w:basedOn w:val="DefaultParagraphFont"/>
    <w:link w:val="BodyText2"/>
    <w:uiPriority w:val="99"/>
    <w:rsid w:val="00346EA5"/>
    <w:rPr>
      <w:rFonts w:ascii="Times New Roman" w:eastAsia="Times New Roman" w:hAnsi="Times New Roman" w:cs="Times New Roman"/>
      <w:color w:val="000000" w:themeColor="text1"/>
      <w:kern w:val="0"/>
      <w14:ligatures w14:val="none"/>
    </w:rPr>
  </w:style>
  <w:style w:type="character" w:styleId="UnresolvedMention">
    <w:name w:val="Unresolved Mention"/>
    <w:basedOn w:val="DefaultParagraphFont"/>
    <w:uiPriority w:val="99"/>
    <w:semiHidden/>
    <w:unhideWhenUsed/>
    <w:rsid w:val="00D528D6"/>
    <w:rPr>
      <w:color w:val="605E5C"/>
      <w:shd w:val="clear" w:color="auto" w:fill="E1DFDD"/>
    </w:rPr>
  </w:style>
  <w:style w:type="paragraph" w:styleId="BodyText">
    <w:name w:val="Body Text"/>
    <w:basedOn w:val="Normal"/>
    <w:link w:val="BodyTextChar"/>
    <w:uiPriority w:val="99"/>
    <w:unhideWhenUsed/>
    <w:rsid w:val="00A7453E"/>
    <w:pPr>
      <w:spacing w:after="120"/>
    </w:pPr>
  </w:style>
  <w:style w:type="character" w:customStyle="1" w:styleId="BodyTextChar">
    <w:name w:val="Body Text Char"/>
    <w:basedOn w:val="DefaultParagraphFont"/>
    <w:link w:val="BodyText"/>
    <w:uiPriority w:val="99"/>
    <w:rsid w:val="00A7453E"/>
    <w:rPr>
      <w:rFonts w:eastAsiaTheme="minorEastAsia"/>
      <w:kern w:val="0"/>
      <w:sz w:val="22"/>
      <w:szCs w:val="22"/>
      <w14:ligatures w14:val="none"/>
    </w:rPr>
  </w:style>
  <w:style w:type="paragraph" w:customStyle="1" w:styleId="TableParagraph">
    <w:name w:val="Table Paragraph"/>
    <w:basedOn w:val="Normal"/>
    <w:uiPriority w:val="1"/>
    <w:qFormat/>
    <w:rsid w:val="008162FF"/>
    <w:pPr>
      <w:widowControl w:val="0"/>
      <w:autoSpaceDE w:val="0"/>
      <w:autoSpaceDN w:val="0"/>
      <w:spacing w:before="0" w:after="0" w:line="240" w:lineRule="auto"/>
    </w:pPr>
    <w:rPr>
      <w:rFonts w:ascii="Times New Roman" w:eastAsia="Times New Roman" w:hAnsi="Times New Roman" w:cs="Times New Roman"/>
    </w:rPr>
  </w:style>
  <w:style w:type="character" w:customStyle="1" w:styleId="ListParagraphChar">
    <w:name w:val="List Paragraph Char"/>
    <w:aliases w:val="Figure_name Char,List Paragraph1 Char,Bullet- First level Char,Use Case List Paragraph Char,Heading2 Char,Body Bullet Char,b1 Char,Bullet for no #'s Char,Ref Char,List Paragraph Char Char Char,Bulleted Text Char,Normal Sentence Char"/>
    <w:basedOn w:val="DefaultParagraphFont"/>
    <w:link w:val="ListParagraph"/>
    <w:uiPriority w:val="34"/>
    <w:rsid w:val="009205F6"/>
    <w:rPr>
      <w:rFonts w:ascii="Times New Roman" w:eastAsia="Times New Roman" w:hAnsi="Times New Roman" w:cs="Times New Roman"/>
      <w:kern w:val="0"/>
      <w:sz w:val="20"/>
      <w:szCs w:val="20"/>
      <w14:ligatures w14:val="none"/>
    </w:rPr>
  </w:style>
  <w:style w:type="paragraph" w:styleId="TableofFigures">
    <w:name w:val="table of figures"/>
    <w:basedOn w:val="Normal"/>
    <w:next w:val="Normal"/>
    <w:uiPriority w:val="99"/>
    <w:unhideWhenUsed/>
    <w:rsid w:val="0025015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01080">
      <w:bodyDiv w:val="1"/>
      <w:marLeft w:val="0"/>
      <w:marRight w:val="0"/>
      <w:marTop w:val="0"/>
      <w:marBottom w:val="0"/>
      <w:divBdr>
        <w:top w:val="none" w:sz="0" w:space="0" w:color="auto"/>
        <w:left w:val="none" w:sz="0" w:space="0" w:color="auto"/>
        <w:bottom w:val="none" w:sz="0" w:space="0" w:color="auto"/>
        <w:right w:val="none" w:sz="0" w:space="0" w:color="auto"/>
      </w:divBdr>
    </w:div>
    <w:div w:id="358630061">
      <w:bodyDiv w:val="1"/>
      <w:marLeft w:val="0"/>
      <w:marRight w:val="0"/>
      <w:marTop w:val="0"/>
      <w:marBottom w:val="0"/>
      <w:divBdr>
        <w:top w:val="none" w:sz="0" w:space="0" w:color="auto"/>
        <w:left w:val="none" w:sz="0" w:space="0" w:color="auto"/>
        <w:bottom w:val="none" w:sz="0" w:space="0" w:color="auto"/>
        <w:right w:val="none" w:sz="0" w:space="0" w:color="auto"/>
      </w:divBdr>
    </w:div>
    <w:div w:id="547494094">
      <w:bodyDiv w:val="1"/>
      <w:marLeft w:val="0"/>
      <w:marRight w:val="0"/>
      <w:marTop w:val="0"/>
      <w:marBottom w:val="0"/>
      <w:divBdr>
        <w:top w:val="none" w:sz="0" w:space="0" w:color="auto"/>
        <w:left w:val="none" w:sz="0" w:space="0" w:color="auto"/>
        <w:bottom w:val="none" w:sz="0" w:space="0" w:color="auto"/>
        <w:right w:val="none" w:sz="0" w:space="0" w:color="auto"/>
      </w:divBdr>
    </w:div>
    <w:div w:id="590553097">
      <w:bodyDiv w:val="1"/>
      <w:marLeft w:val="0"/>
      <w:marRight w:val="0"/>
      <w:marTop w:val="0"/>
      <w:marBottom w:val="0"/>
      <w:divBdr>
        <w:top w:val="none" w:sz="0" w:space="0" w:color="auto"/>
        <w:left w:val="none" w:sz="0" w:space="0" w:color="auto"/>
        <w:bottom w:val="none" w:sz="0" w:space="0" w:color="auto"/>
        <w:right w:val="none" w:sz="0" w:space="0" w:color="auto"/>
      </w:divBdr>
    </w:div>
    <w:div w:id="1031955870">
      <w:bodyDiv w:val="1"/>
      <w:marLeft w:val="0"/>
      <w:marRight w:val="0"/>
      <w:marTop w:val="0"/>
      <w:marBottom w:val="0"/>
      <w:divBdr>
        <w:top w:val="none" w:sz="0" w:space="0" w:color="auto"/>
        <w:left w:val="none" w:sz="0" w:space="0" w:color="auto"/>
        <w:bottom w:val="none" w:sz="0" w:space="0" w:color="auto"/>
        <w:right w:val="none" w:sz="0" w:space="0" w:color="auto"/>
      </w:divBdr>
    </w:div>
    <w:div w:id="1865702794">
      <w:bodyDiv w:val="1"/>
      <w:marLeft w:val="0"/>
      <w:marRight w:val="0"/>
      <w:marTop w:val="0"/>
      <w:marBottom w:val="0"/>
      <w:divBdr>
        <w:top w:val="none" w:sz="0" w:space="0" w:color="auto"/>
        <w:left w:val="none" w:sz="0" w:space="0" w:color="auto"/>
        <w:bottom w:val="none" w:sz="0" w:space="0" w:color="auto"/>
        <w:right w:val="none" w:sz="0" w:space="0" w:color="auto"/>
      </w:divBdr>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6" ma:contentTypeDescription="Create a new document." ma:contentTypeScope="" ma:versionID="2ed83f62f0d1681052340db29e193215">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b54f10f4e79eec172ed26ef1834b760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9C6F9-D78B-45DB-A14A-700DF1434E48}">
  <ds:schemaRefs>
    <ds:schemaRef ds:uri="http://schemas.openxmlformats.org/package/2006/metadata/core-properties"/>
    <ds:schemaRef ds:uri="ca181a51-b58f-4101-967e-bee951ab042e"/>
    <ds:schemaRef ds:uri="http://purl.org/dc/elements/1.1/"/>
    <ds:schemaRef ds:uri="http://schemas.microsoft.com/office/2006/metadata/properties"/>
    <ds:schemaRef ds:uri="a84c8341-80aa-4b48-9373-d3a3de2ad48e"/>
    <ds:schemaRef ds:uri="http://schemas.microsoft.com/office/infopath/2007/PartnerControls"/>
    <ds:schemaRef ds:uri="http://www.w3.org/XML/1998/namespace"/>
    <ds:schemaRef ds:uri="http://schemas.microsoft.com/office/2006/documentManagement/types"/>
    <ds:schemaRef ds:uri="http://purl.org/dc/dcmitype/"/>
    <ds:schemaRef ds:uri="http://purl.org/dc/terms/"/>
  </ds:schemaRefs>
</ds:datastoreItem>
</file>

<file path=customXml/itemProps2.xml><?xml version="1.0" encoding="utf-8"?>
<ds:datastoreItem xmlns:ds="http://schemas.openxmlformats.org/officeDocument/2006/customXml" ds:itemID="{FAFA337C-C4E1-4044-A147-5418714D4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4.xml><?xml version="1.0" encoding="utf-8"?>
<ds:datastoreItem xmlns:ds="http://schemas.openxmlformats.org/officeDocument/2006/customXml" ds:itemID="{DE9268F1-2BC5-4F78-A2A9-E0CAD308BD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2</TotalTime>
  <Pages>18</Pages>
  <Words>5351</Words>
  <Characters>33083</Characters>
  <Application>Microsoft Office Word</Application>
  <DocSecurity>0</DocSecurity>
  <Lines>275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38358</CharactersWithSpaces>
  <SharedDoc>false</SharedDoc>
  <HLinks>
    <vt:vector size="204" baseType="variant">
      <vt:variant>
        <vt:i4>1507382</vt:i4>
      </vt:variant>
      <vt:variant>
        <vt:i4>200</vt:i4>
      </vt:variant>
      <vt:variant>
        <vt:i4>0</vt:i4>
      </vt:variant>
      <vt:variant>
        <vt:i4>5</vt:i4>
      </vt:variant>
      <vt:variant>
        <vt:lpwstr/>
      </vt:variant>
      <vt:variant>
        <vt:lpwstr>_Toc196855444</vt:lpwstr>
      </vt:variant>
      <vt:variant>
        <vt:i4>1507382</vt:i4>
      </vt:variant>
      <vt:variant>
        <vt:i4>194</vt:i4>
      </vt:variant>
      <vt:variant>
        <vt:i4>0</vt:i4>
      </vt:variant>
      <vt:variant>
        <vt:i4>5</vt:i4>
      </vt:variant>
      <vt:variant>
        <vt:lpwstr/>
      </vt:variant>
      <vt:variant>
        <vt:lpwstr>_Toc196855443</vt:lpwstr>
      </vt:variant>
      <vt:variant>
        <vt:i4>1507382</vt:i4>
      </vt:variant>
      <vt:variant>
        <vt:i4>188</vt:i4>
      </vt:variant>
      <vt:variant>
        <vt:i4>0</vt:i4>
      </vt:variant>
      <vt:variant>
        <vt:i4>5</vt:i4>
      </vt:variant>
      <vt:variant>
        <vt:lpwstr/>
      </vt:variant>
      <vt:variant>
        <vt:lpwstr>_Toc196855442</vt:lpwstr>
      </vt:variant>
      <vt:variant>
        <vt:i4>1507382</vt:i4>
      </vt:variant>
      <vt:variant>
        <vt:i4>182</vt:i4>
      </vt:variant>
      <vt:variant>
        <vt:i4>0</vt:i4>
      </vt:variant>
      <vt:variant>
        <vt:i4>5</vt:i4>
      </vt:variant>
      <vt:variant>
        <vt:lpwstr/>
      </vt:variant>
      <vt:variant>
        <vt:lpwstr>_Toc196855441</vt:lpwstr>
      </vt:variant>
      <vt:variant>
        <vt:i4>1507382</vt:i4>
      </vt:variant>
      <vt:variant>
        <vt:i4>176</vt:i4>
      </vt:variant>
      <vt:variant>
        <vt:i4>0</vt:i4>
      </vt:variant>
      <vt:variant>
        <vt:i4>5</vt:i4>
      </vt:variant>
      <vt:variant>
        <vt:lpwstr/>
      </vt:variant>
      <vt:variant>
        <vt:lpwstr>_Toc196855440</vt:lpwstr>
      </vt:variant>
      <vt:variant>
        <vt:i4>1048630</vt:i4>
      </vt:variant>
      <vt:variant>
        <vt:i4>170</vt:i4>
      </vt:variant>
      <vt:variant>
        <vt:i4>0</vt:i4>
      </vt:variant>
      <vt:variant>
        <vt:i4>5</vt:i4>
      </vt:variant>
      <vt:variant>
        <vt:lpwstr/>
      </vt:variant>
      <vt:variant>
        <vt:lpwstr>_Toc196855439</vt:lpwstr>
      </vt:variant>
      <vt:variant>
        <vt:i4>1048630</vt:i4>
      </vt:variant>
      <vt:variant>
        <vt:i4>164</vt:i4>
      </vt:variant>
      <vt:variant>
        <vt:i4>0</vt:i4>
      </vt:variant>
      <vt:variant>
        <vt:i4>5</vt:i4>
      </vt:variant>
      <vt:variant>
        <vt:lpwstr/>
      </vt:variant>
      <vt:variant>
        <vt:lpwstr>_Toc196855438</vt:lpwstr>
      </vt:variant>
      <vt:variant>
        <vt:i4>1048630</vt:i4>
      </vt:variant>
      <vt:variant>
        <vt:i4>158</vt:i4>
      </vt:variant>
      <vt:variant>
        <vt:i4>0</vt:i4>
      </vt:variant>
      <vt:variant>
        <vt:i4>5</vt:i4>
      </vt:variant>
      <vt:variant>
        <vt:lpwstr/>
      </vt:variant>
      <vt:variant>
        <vt:lpwstr>_Toc196855437</vt:lpwstr>
      </vt:variant>
      <vt:variant>
        <vt:i4>1048630</vt:i4>
      </vt:variant>
      <vt:variant>
        <vt:i4>152</vt:i4>
      </vt:variant>
      <vt:variant>
        <vt:i4>0</vt:i4>
      </vt:variant>
      <vt:variant>
        <vt:i4>5</vt:i4>
      </vt:variant>
      <vt:variant>
        <vt:lpwstr/>
      </vt:variant>
      <vt:variant>
        <vt:lpwstr>_Toc196855436</vt:lpwstr>
      </vt:variant>
      <vt:variant>
        <vt:i4>1048630</vt:i4>
      </vt:variant>
      <vt:variant>
        <vt:i4>146</vt:i4>
      </vt:variant>
      <vt:variant>
        <vt:i4>0</vt:i4>
      </vt:variant>
      <vt:variant>
        <vt:i4>5</vt:i4>
      </vt:variant>
      <vt:variant>
        <vt:lpwstr/>
      </vt:variant>
      <vt:variant>
        <vt:lpwstr>_Toc196855435</vt:lpwstr>
      </vt:variant>
      <vt:variant>
        <vt:i4>1048630</vt:i4>
      </vt:variant>
      <vt:variant>
        <vt:i4>140</vt:i4>
      </vt:variant>
      <vt:variant>
        <vt:i4>0</vt:i4>
      </vt:variant>
      <vt:variant>
        <vt:i4>5</vt:i4>
      </vt:variant>
      <vt:variant>
        <vt:lpwstr/>
      </vt:variant>
      <vt:variant>
        <vt:lpwstr>_Toc196855434</vt:lpwstr>
      </vt:variant>
      <vt:variant>
        <vt:i4>1048630</vt:i4>
      </vt:variant>
      <vt:variant>
        <vt:i4>134</vt:i4>
      </vt:variant>
      <vt:variant>
        <vt:i4>0</vt:i4>
      </vt:variant>
      <vt:variant>
        <vt:i4>5</vt:i4>
      </vt:variant>
      <vt:variant>
        <vt:lpwstr/>
      </vt:variant>
      <vt:variant>
        <vt:lpwstr>_Toc196855433</vt:lpwstr>
      </vt:variant>
      <vt:variant>
        <vt:i4>1048630</vt:i4>
      </vt:variant>
      <vt:variant>
        <vt:i4>128</vt:i4>
      </vt:variant>
      <vt:variant>
        <vt:i4>0</vt:i4>
      </vt:variant>
      <vt:variant>
        <vt:i4>5</vt:i4>
      </vt:variant>
      <vt:variant>
        <vt:lpwstr/>
      </vt:variant>
      <vt:variant>
        <vt:lpwstr>_Toc196855432</vt:lpwstr>
      </vt:variant>
      <vt:variant>
        <vt:i4>1048630</vt:i4>
      </vt:variant>
      <vt:variant>
        <vt:i4>122</vt:i4>
      </vt:variant>
      <vt:variant>
        <vt:i4>0</vt:i4>
      </vt:variant>
      <vt:variant>
        <vt:i4>5</vt:i4>
      </vt:variant>
      <vt:variant>
        <vt:lpwstr/>
      </vt:variant>
      <vt:variant>
        <vt:lpwstr>_Toc196855431</vt:lpwstr>
      </vt:variant>
      <vt:variant>
        <vt:i4>1048630</vt:i4>
      </vt:variant>
      <vt:variant>
        <vt:i4>116</vt:i4>
      </vt:variant>
      <vt:variant>
        <vt:i4>0</vt:i4>
      </vt:variant>
      <vt:variant>
        <vt:i4>5</vt:i4>
      </vt:variant>
      <vt:variant>
        <vt:lpwstr/>
      </vt:variant>
      <vt:variant>
        <vt:lpwstr>_Toc196855430</vt:lpwstr>
      </vt:variant>
      <vt:variant>
        <vt:i4>1114166</vt:i4>
      </vt:variant>
      <vt:variant>
        <vt:i4>110</vt:i4>
      </vt:variant>
      <vt:variant>
        <vt:i4>0</vt:i4>
      </vt:variant>
      <vt:variant>
        <vt:i4>5</vt:i4>
      </vt:variant>
      <vt:variant>
        <vt:lpwstr/>
      </vt:variant>
      <vt:variant>
        <vt:lpwstr>_Toc196855429</vt:lpwstr>
      </vt:variant>
      <vt:variant>
        <vt:i4>1114166</vt:i4>
      </vt:variant>
      <vt:variant>
        <vt:i4>104</vt:i4>
      </vt:variant>
      <vt:variant>
        <vt:i4>0</vt:i4>
      </vt:variant>
      <vt:variant>
        <vt:i4>5</vt:i4>
      </vt:variant>
      <vt:variant>
        <vt:lpwstr/>
      </vt:variant>
      <vt:variant>
        <vt:lpwstr>_Toc196855428</vt:lpwstr>
      </vt:variant>
      <vt:variant>
        <vt:i4>1114166</vt:i4>
      </vt:variant>
      <vt:variant>
        <vt:i4>98</vt:i4>
      </vt:variant>
      <vt:variant>
        <vt:i4>0</vt:i4>
      </vt:variant>
      <vt:variant>
        <vt:i4>5</vt:i4>
      </vt:variant>
      <vt:variant>
        <vt:lpwstr/>
      </vt:variant>
      <vt:variant>
        <vt:lpwstr>_Toc196855427</vt:lpwstr>
      </vt:variant>
      <vt:variant>
        <vt:i4>1114166</vt:i4>
      </vt:variant>
      <vt:variant>
        <vt:i4>92</vt:i4>
      </vt:variant>
      <vt:variant>
        <vt:i4>0</vt:i4>
      </vt:variant>
      <vt:variant>
        <vt:i4>5</vt:i4>
      </vt:variant>
      <vt:variant>
        <vt:lpwstr/>
      </vt:variant>
      <vt:variant>
        <vt:lpwstr>_Toc196855426</vt:lpwstr>
      </vt:variant>
      <vt:variant>
        <vt:i4>1114166</vt:i4>
      </vt:variant>
      <vt:variant>
        <vt:i4>86</vt:i4>
      </vt:variant>
      <vt:variant>
        <vt:i4>0</vt:i4>
      </vt:variant>
      <vt:variant>
        <vt:i4>5</vt:i4>
      </vt:variant>
      <vt:variant>
        <vt:lpwstr/>
      </vt:variant>
      <vt:variant>
        <vt:lpwstr>_Toc196855425</vt:lpwstr>
      </vt:variant>
      <vt:variant>
        <vt:i4>1114166</vt:i4>
      </vt:variant>
      <vt:variant>
        <vt:i4>80</vt:i4>
      </vt:variant>
      <vt:variant>
        <vt:i4>0</vt:i4>
      </vt:variant>
      <vt:variant>
        <vt:i4>5</vt:i4>
      </vt:variant>
      <vt:variant>
        <vt:lpwstr/>
      </vt:variant>
      <vt:variant>
        <vt:lpwstr>_Toc196855424</vt:lpwstr>
      </vt:variant>
      <vt:variant>
        <vt:i4>1114166</vt:i4>
      </vt:variant>
      <vt:variant>
        <vt:i4>74</vt:i4>
      </vt:variant>
      <vt:variant>
        <vt:i4>0</vt:i4>
      </vt:variant>
      <vt:variant>
        <vt:i4>5</vt:i4>
      </vt:variant>
      <vt:variant>
        <vt:lpwstr/>
      </vt:variant>
      <vt:variant>
        <vt:lpwstr>_Toc196855423</vt:lpwstr>
      </vt:variant>
      <vt:variant>
        <vt:i4>1114166</vt:i4>
      </vt:variant>
      <vt:variant>
        <vt:i4>68</vt:i4>
      </vt:variant>
      <vt:variant>
        <vt:i4>0</vt:i4>
      </vt:variant>
      <vt:variant>
        <vt:i4>5</vt:i4>
      </vt:variant>
      <vt:variant>
        <vt:lpwstr/>
      </vt:variant>
      <vt:variant>
        <vt:lpwstr>_Toc196855422</vt:lpwstr>
      </vt:variant>
      <vt:variant>
        <vt:i4>1114166</vt:i4>
      </vt:variant>
      <vt:variant>
        <vt:i4>62</vt:i4>
      </vt:variant>
      <vt:variant>
        <vt:i4>0</vt:i4>
      </vt:variant>
      <vt:variant>
        <vt:i4>5</vt:i4>
      </vt:variant>
      <vt:variant>
        <vt:lpwstr/>
      </vt:variant>
      <vt:variant>
        <vt:lpwstr>_Toc196855421</vt:lpwstr>
      </vt:variant>
      <vt:variant>
        <vt:i4>1114166</vt:i4>
      </vt:variant>
      <vt:variant>
        <vt:i4>56</vt:i4>
      </vt:variant>
      <vt:variant>
        <vt:i4>0</vt:i4>
      </vt:variant>
      <vt:variant>
        <vt:i4>5</vt:i4>
      </vt:variant>
      <vt:variant>
        <vt:lpwstr/>
      </vt:variant>
      <vt:variant>
        <vt:lpwstr>_Toc196855420</vt:lpwstr>
      </vt:variant>
      <vt:variant>
        <vt:i4>1179702</vt:i4>
      </vt:variant>
      <vt:variant>
        <vt:i4>50</vt:i4>
      </vt:variant>
      <vt:variant>
        <vt:i4>0</vt:i4>
      </vt:variant>
      <vt:variant>
        <vt:i4>5</vt:i4>
      </vt:variant>
      <vt:variant>
        <vt:lpwstr/>
      </vt:variant>
      <vt:variant>
        <vt:lpwstr>_Toc196855419</vt:lpwstr>
      </vt:variant>
      <vt:variant>
        <vt:i4>1179702</vt:i4>
      </vt:variant>
      <vt:variant>
        <vt:i4>44</vt:i4>
      </vt:variant>
      <vt:variant>
        <vt:i4>0</vt:i4>
      </vt:variant>
      <vt:variant>
        <vt:i4>5</vt:i4>
      </vt:variant>
      <vt:variant>
        <vt:lpwstr/>
      </vt:variant>
      <vt:variant>
        <vt:lpwstr>_Toc196855418</vt:lpwstr>
      </vt:variant>
      <vt:variant>
        <vt:i4>1179702</vt:i4>
      </vt:variant>
      <vt:variant>
        <vt:i4>38</vt:i4>
      </vt:variant>
      <vt:variant>
        <vt:i4>0</vt:i4>
      </vt:variant>
      <vt:variant>
        <vt:i4>5</vt:i4>
      </vt:variant>
      <vt:variant>
        <vt:lpwstr/>
      </vt:variant>
      <vt:variant>
        <vt:lpwstr>_Toc196855417</vt:lpwstr>
      </vt:variant>
      <vt:variant>
        <vt:i4>1179702</vt:i4>
      </vt:variant>
      <vt:variant>
        <vt:i4>32</vt:i4>
      </vt:variant>
      <vt:variant>
        <vt:i4>0</vt:i4>
      </vt:variant>
      <vt:variant>
        <vt:i4>5</vt:i4>
      </vt:variant>
      <vt:variant>
        <vt:lpwstr/>
      </vt:variant>
      <vt:variant>
        <vt:lpwstr>_Toc196855416</vt:lpwstr>
      </vt:variant>
      <vt:variant>
        <vt:i4>1179702</vt:i4>
      </vt:variant>
      <vt:variant>
        <vt:i4>26</vt:i4>
      </vt:variant>
      <vt:variant>
        <vt:i4>0</vt:i4>
      </vt:variant>
      <vt:variant>
        <vt:i4>5</vt:i4>
      </vt:variant>
      <vt:variant>
        <vt:lpwstr/>
      </vt:variant>
      <vt:variant>
        <vt:lpwstr>_Toc196855415</vt:lpwstr>
      </vt:variant>
      <vt:variant>
        <vt:i4>1179702</vt:i4>
      </vt:variant>
      <vt:variant>
        <vt:i4>20</vt:i4>
      </vt:variant>
      <vt:variant>
        <vt:i4>0</vt:i4>
      </vt:variant>
      <vt:variant>
        <vt:i4>5</vt:i4>
      </vt:variant>
      <vt:variant>
        <vt:lpwstr/>
      </vt:variant>
      <vt:variant>
        <vt:lpwstr>_Toc196855414</vt:lpwstr>
      </vt:variant>
      <vt:variant>
        <vt:i4>1179702</vt:i4>
      </vt:variant>
      <vt:variant>
        <vt:i4>14</vt:i4>
      </vt:variant>
      <vt:variant>
        <vt:i4>0</vt:i4>
      </vt:variant>
      <vt:variant>
        <vt:i4>5</vt:i4>
      </vt:variant>
      <vt:variant>
        <vt:lpwstr/>
      </vt:variant>
      <vt:variant>
        <vt:lpwstr>_Toc196855413</vt:lpwstr>
      </vt:variant>
      <vt:variant>
        <vt:i4>1179702</vt:i4>
      </vt:variant>
      <vt:variant>
        <vt:i4>8</vt:i4>
      </vt:variant>
      <vt:variant>
        <vt:i4>0</vt:i4>
      </vt:variant>
      <vt:variant>
        <vt:i4>5</vt:i4>
      </vt:variant>
      <vt:variant>
        <vt:lpwstr/>
      </vt:variant>
      <vt:variant>
        <vt:lpwstr>_Toc196855412</vt:lpwstr>
      </vt:variant>
      <vt:variant>
        <vt:i4>1179702</vt:i4>
      </vt:variant>
      <vt:variant>
        <vt:i4>2</vt:i4>
      </vt:variant>
      <vt:variant>
        <vt:i4>0</vt:i4>
      </vt:variant>
      <vt:variant>
        <vt:i4>5</vt:i4>
      </vt:variant>
      <vt:variant>
        <vt:lpwstr/>
      </vt:variant>
      <vt:variant>
        <vt:lpwstr>_Toc196855411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Alam, Raisa (EHS)</cp:lastModifiedBy>
  <cp:revision>4</cp:revision>
  <cp:lastPrinted>2025-05-09T14:52:00Z</cp:lastPrinted>
  <dcterms:created xsi:type="dcterms:W3CDTF">2025-05-09T14:49:00Z</dcterms:created>
  <dcterms:modified xsi:type="dcterms:W3CDTF">2025-05-09T14:52:00Z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