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254E9E" w:rsidRDefault="00254E9E" w:rsidP="000F315B">
      <w:pPr>
        <w:pStyle w:val="ExecOffice"/>
        <w:framePr w:w="6926" w:wrap="notBeside" w:vAnchor="page" w:x="2884" w:y="711"/>
      </w:pPr>
      <w:r>
        <w:t>Bureau of Health Care Safety and Quality</w:t>
      </w:r>
    </w:p>
    <w:p w:rsidR="002B39D0" w:rsidRDefault="002B39D0" w:rsidP="000F315B">
      <w:pPr>
        <w:pStyle w:val="ExecOffice"/>
        <w:framePr w:w="6926" w:wrap="notBeside" w:vAnchor="page" w:x="2884" w:y="711"/>
      </w:pPr>
      <w:r>
        <w:t>67 Forest Street</w:t>
      </w:r>
    </w:p>
    <w:p w:rsidR="002B39D0" w:rsidRDefault="002B39D0" w:rsidP="000F315B">
      <w:pPr>
        <w:pStyle w:val="ExecOffice"/>
        <w:framePr w:w="6926" w:wrap="notBeside" w:vAnchor="page" w:x="2884" w:y="711"/>
      </w:pPr>
      <w:r>
        <w:t>Marlborough, MA 01752</w:t>
      </w:r>
    </w:p>
    <w:p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7A426EE" wp14:editId="5F764483">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rsidR="009908FF" w:rsidRDefault="008D14FC" w:rsidP="0072610D">
      <w:r>
        <w:t xml:space="preserve">                                                                                                                                                                                                                                                                                                                                                                                                                                                                                                                                                           </w:t>
      </w:r>
    </w:p>
    <w:p w:rsidR="00033154" w:rsidRDefault="00033154" w:rsidP="0072610D"/>
    <w:p w:rsidR="00033154" w:rsidRDefault="00096A41" w:rsidP="0072610D">
      <w:r>
        <w:rPr>
          <w:noProof/>
        </w:rPr>
        <mc:AlternateContent>
          <mc:Choice Requires="wps">
            <w:drawing>
              <wp:anchor distT="0" distB="0" distL="114300" distR="114300" simplePos="0" relativeHeight="251657216" behindDoc="0" locked="0" layoutInCell="1" allowOverlap="1" wp14:anchorId="572F3D70" wp14:editId="4A54E873">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637" w:rsidRDefault="001D4637" w:rsidP="00FC6B42">
                            <w:pPr>
                              <w:pStyle w:val="Governor"/>
                              <w:spacing w:after="0"/>
                              <w:rPr>
                                <w:sz w:val="16"/>
                              </w:rPr>
                            </w:pPr>
                          </w:p>
                          <w:p w:rsidR="001D4637" w:rsidRDefault="001D4637" w:rsidP="00FC6B42">
                            <w:pPr>
                              <w:pStyle w:val="Governor"/>
                              <w:spacing w:after="0"/>
                              <w:rPr>
                                <w:sz w:val="16"/>
                              </w:rPr>
                            </w:pPr>
                            <w:r>
                              <w:rPr>
                                <w:sz w:val="16"/>
                              </w:rPr>
                              <w:t>CHARLES D. BAKER</w:t>
                            </w:r>
                          </w:p>
                          <w:p w:rsidR="001D4637" w:rsidRDefault="001D4637" w:rsidP="00FC6B42">
                            <w:pPr>
                              <w:pStyle w:val="Governor"/>
                            </w:pPr>
                            <w:r>
                              <w:t>Governor</w:t>
                            </w:r>
                          </w:p>
                          <w:p w:rsidR="001D4637" w:rsidRDefault="001D4637" w:rsidP="00FC6B42">
                            <w:pPr>
                              <w:pStyle w:val="Governor"/>
                              <w:spacing w:after="0"/>
                              <w:rPr>
                                <w:sz w:val="16"/>
                              </w:rPr>
                            </w:pPr>
                            <w:r>
                              <w:rPr>
                                <w:sz w:val="16"/>
                              </w:rPr>
                              <w:t>KARYN E. POLITO</w:t>
                            </w:r>
                          </w:p>
                          <w:p w:rsidR="001D4637" w:rsidRDefault="001D4637" w:rsidP="00FC6B42">
                            <w:pPr>
                              <w:pStyle w:val="Governor"/>
                            </w:pPr>
                            <w:r>
                              <w:t>Lieutenant Governor</w:t>
                            </w:r>
                          </w:p>
                          <w:p w:rsidR="001D4637" w:rsidRDefault="001D4637" w:rsidP="00FC6B42">
                            <w:pPr>
                              <w:pStyle w:val="Governor"/>
                            </w:pPr>
                          </w:p>
                          <w:p w:rsidR="001D4637" w:rsidRDefault="001D4637" w:rsidP="00FC6B42">
                            <w:pPr>
                              <w:pStyle w:val="Governor"/>
                            </w:pPr>
                          </w:p>
                          <w:p w:rsidR="001D4637" w:rsidRDefault="001D4637" w:rsidP="00FC6B42">
                            <w:pPr>
                              <w:pStyle w:val="Governor"/>
                            </w:pPr>
                          </w:p>
                          <w:p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F3D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rsidR="001D4637" w:rsidRDefault="001D4637" w:rsidP="00FC6B42">
                      <w:pPr>
                        <w:pStyle w:val="Governor"/>
                        <w:spacing w:after="0"/>
                        <w:rPr>
                          <w:sz w:val="16"/>
                        </w:rPr>
                      </w:pPr>
                    </w:p>
                    <w:p w:rsidR="001D4637" w:rsidRDefault="001D4637" w:rsidP="00FC6B42">
                      <w:pPr>
                        <w:pStyle w:val="Governor"/>
                        <w:spacing w:after="0"/>
                        <w:rPr>
                          <w:sz w:val="16"/>
                        </w:rPr>
                      </w:pPr>
                      <w:r>
                        <w:rPr>
                          <w:sz w:val="16"/>
                        </w:rPr>
                        <w:t>CHARLES D. BAKER</w:t>
                      </w:r>
                    </w:p>
                    <w:p w:rsidR="001D4637" w:rsidRDefault="001D4637" w:rsidP="00FC6B42">
                      <w:pPr>
                        <w:pStyle w:val="Governor"/>
                      </w:pPr>
                      <w:r>
                        <w:t>Governor</w:t>
                      </w:r>
                    </w:p>
                    <w:p w:rsidR="001D4637" w:rsidRDefault="001D4637" w:rsidP="00FC6B42">
                      <w:pPr>
                        <w:pStyle w:val="Governor"/>
                        <w:spacing w:after="0"/>
                        <w:rPr>
                          <w:sz w:val="16"/>
                        </w:rPr>
                      </w:pPr>
                      <w:r>
                        <w:rPr>
                          <w:sz w:val="16"/>
                        </w:rPr>
                        <w:t>KARYN E. POLITO</w:t>
                      </w:r>
                    </w:p>
                    <w:p w:rsidR="001D4637" w:rsidRDefault="001D4637" w:rsidP="00FC6B42">
                      <w:pPr>
                        <w:pStyle w:val="Governor"/>
                      </w:pPr>
                      <w:r>
                        <w:t>Lieutenant Governor</w:t>
                      </w:r>
                    </w:p>
                    <w:p w:rsidR="001D4637" w:rsidRDefault="001D4637" w:rsidP="00FC6B42">
                      <w:pPr>
                        <w:pStyle w:val="Governor"/>
                      </w:pPr>
                    </w:p>
                    <w:p w:rsidR="001D4637" w:rsidRDefault="001D4637" w:rsidP="00FC6B42">
                      <w:pPr>
                        <w:pStyle w:val="Governor"/>
                      </w:pPr>
                    </w:p>
                    <w:p w:rsidR="001D4637" w:rsidRDefault="001D4637" w:rsidP="00FC6B42">
                      <w:pPr>
                        <w:pStyle w:val="Governor"/>
                      </w:pPr>
                    </w:p>
                    <w:p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6659CC" wp14:editId="0F8FAEAB">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4637" w:rsidRDefault="001D4637" w:rsidP="00FC6B42">
                            <w:pPr>
                              <w:pStyle w:val="Governor"/>
                              <w:spacing w:after="0"/>
                              <w:rPr>
                                <w:sz w:val="16"/>
                              </w:rPr>
                            </w:pPr>
                          </w:p>
                          <w:p w:rsidR="001D4637" w:rsidRPr="003A7AFC" w:rsidRDefault="001D4637" w:rsidP="00FC6B42">
                            <w:pPr>
                              <w:pStyle w:val="Weld"/>
                            </w:pPr>
                            <w:r>
                              <w:t>MARYLOU SUDDERS</w:t>
                            </w:r>
                          </w:p>
                          <w:p w:rsidR="001D4637" w:rsidRDefault="001D4637" w:rsidP="00FC6B42">
                            <w:pPr>
                              <w:pStyle w:val="Governor"/>
                            </w:pPr>
                            <w:r>
                              <w:t>Secretary</w:t>
                            </w:r>
                          </w:p>
                          <w:p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D4637" w:rsidRDefault="001D4637" w:rsidP="00FC6B42">
                            <w:pPr>
                              <w:jc w:val="center"/>
                              <w:rPr>
                                <w:rFonts w:ascii="Arial Rounded MT Bold" w:hAnsi="Arial Rounded MT Bold"/>
                                <w:sz w:val="14"/>
                                <w:szCs w:val="14"/>
                              </w:rPr>
                            </w:pPr>
                          </w:p>
                          <w:p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6659CC"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rsidR="001D4637" w:rsidRDefault="001D4637" w:rsidP="00FC6B42">
                      <w:pPr>
                        <w:pStyle w:val="Governor"/>
                        <w:spacing w:after="0"/>
                        <w:rPr>
                          <w:sz w:val="16"/>
                        </w:rPr>
                      </w:pPr>
                    </w:p>
                    <w:p w:rsidR="001D4637" w:rsidRPr="003A7AFC" w:rsidRDefault="001D4637" w:rsidP="00FC6B42">
                      <w:pPr>
                        <w:pStyle w:val="Weld"/>
                      </w:pPr>
                      <w:r>
                        <w:t>MARYLOU SUDDERS</w:t>
                      </w:r>
                    </w:p>
                    <w:p w:rsidR="001D4637" w:rsidRDefault="001D4637" w:rsidP="00FC6B42">
                      <w:pPr>
                        <w:pStyle w:val="Governor"/>
                      </w:pPr>
                      <w:r>
                        <w:t>Secretary</w:t>
                      </w:r>
                    </w:p>
                    <w:p w:rsidR="001D4637" w:rsidRDefault="001D4637"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D4637" w:rsidRDefault="001D4637" w:rsidP="00FC6B42">
                      <w:pPr>
                        <w:jc w:val="center"/>
                        <w:rPr>
                          <w:rFonts w:ascii="Arial Rounded MT Bold" w:hAnsi="Arial Rounded MT Bold"/>
                          <w:sz w:val="14"/>
                          <w:szCs w:val="14"/>
                        </w:rPr>
                      </w:pPr>
                    </w:p>
                    <w:p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1D4637" w:rsidRPr="00FC6B42" w:rsidRDefault="001D4637" w:rsidP="00FC6B42">
                      <w:pPr>
                        <w:jc w:val="center"/>
                        <w:rPr>
                          <w:rFonts w:ascii="Arial Rounded MT Bold" w:hAnsi="Arial Rounded MT Bold"/>
                          <w:sz w:val="14"/>
                          <w:szCs w:val="14"/>
                        </w:rPr>
                      </w:pPr>
                    </w:p>
                  </w:txbxContent>
                </v:textbox>
              </v:shape>
            </w:pict>
          </mc:Fallback>
        </mc:AlternateContent>
      </w:r>
    </w:p>
    <w:p w:rsidR="00033154" w:rsidRDefault="00033154" w:rsidP="0072610D"/>
    <w:p w:rsidR="00033154" w:rsidRDefault="00033154" w:rsidP="0072610D"/>
    <w:p w:rsidR="00033154" w:rsidRDefault="00033154" w:rsidP="0072610D"/>
    <w:p w:rsidR="0041020F" w:rsidRDefault="0041020F" w:rsidP="0072610D"/>
    <w:p w:rsidR="002C3CC5" w:rsidRDefault="002C3CC5" w:rsidP="002C3CC5"/>
    <w:p w:rsidR="002C3CC5" w:rsidRDefault="002C3CC5" w:rsidP="002C3CC5">
      <w:pPr>
        <w:jc w:val="center"/>
        <w:rPr>
          <w:b/>
          <w:bCs/>
          <w:color w:val="000000"/>
          <w:sz w:val="23"/>
          <w:szCs w:val="23"/>
        </w:rPr>
      </w:pPr>
      <w:r>
        <w:rPr>
          <w:b/>
          <w:bCs/>
          <w:color w:val="000000"/>
          <w:sz w:val="23"/>
          <w:szCs w:val="23"/>
        </w:rPr>
        <w:t>MEMORANDUM</w:t>
      </w:r>
    </w:p>
    <w:p w:rsidR="002C3CC5" w:rsidRDefault="002C3CC5" w:rsidP="002C3CC5">
      <w:pPr>
        <w:jc w:val="center"/>
      </w:pPr>
    </w:p>
    <w:p w:rsidR="002C3CC5" w:rsidRDefault="002C3CC5" w:rsidP="002C3CC5">
      <w:r>
        <w:t>To:</w:t>
      </w:r>
      <w:r>
        <w:tab/>
      </w:r>
      <w:r>
        <w:tab/>
        <w:t>Long-Term Care Facilities</w:t>
      </w:r>
    </w:p>
    <w:p w:rsidR="002C3CC5" w:rsidRDefault="002C3CC5" w:rsidP="002C3CC5"/>
    <w:p w:rsidR="002C3CC5" w:rsidRPr="00CF1A48" w:rsidRDefault="002C3CC5" w:rsidP="002C3CC5">
      <w:r>
        <w:t>From:</w:t>
      </w:r>
      <w:r>
        <w:tab/>
      </w:r>
      <w:r>
        <w:tab/>
        <w:t xml:space="preserve">Elizabeth Kelley </w:t>
      </w:r>
    </w:p>
    <w:p w:rsidR="002C3CC5" w:rsidRDefault="002C3CC5" w:rsidP="002C3CC5">
      <w:r w:rsidRPr="00CF1A48">
        <w:tab/>
      </w:r>
      <w:r w:rsidRPr="00CF1A48">
        <w:tab/>
      </w:r>
      <w:r>
        <w:t xml:space="preserve">Director, </w:t>
      </w:r>
      <w:r w:rsidRPr="00CF1A48">
        <w:t>Bureau of Health Care Safety and Quality</w:t>
      </w:r>
      <w:r>
        <w:t xml:space="preserve"> </w:t>
      </w:r>
    </w:p>
    <w:p w:rsidR="002C3CC5" w:rsidRDefault="002C3CC5" w:rsidP="002C3CC5"/>
    <w:p w:rsidR="002C3CC5" w:rsidRDefault="002C3CC5" w:rsidP="002C3CC5">
      <w:r>
        <w:t>Date:</w:t>
      </w:r>
      <w:r>
        <w:tab/>
      </w:r>
      <w:r>
        <w:tab/>
        <w:t>December 20, 2019</w:t>
      </w:r>
      <w:r w:rsidR="00BB6887">
        <w:t xml:space="preserve">; Reissued with clarifications </w:t>
      </w:r>
      <w:r w:rsidR="00B4289F">
        <w:t>on</w:t>
      </w:r>
      <w:r w:rsidR="00B6698A">
        <w:t xml:space="preserve"> </w:t>
      </w:r>
      <w:r w:rsidR="0087472E">
        <w:t>November 6, 2020</w:t>
      </w:r>
      <w:bookmarkStart w:id="0" w:name="_GoBack"/>
      <w:bookmarkEnd w:id="0"/>
    </w:p>
    <w:p w:rsidR="002C3CC5" w:rsidRDefault="002C3CC5" w:rsidP="002C3CC5"/>
    <w:p w:rsidR="002C3CC5" w:rsidRDefault="002C3CC5" w:rsidP="002C3CC5">
      <w:pPr>
        <w:pBdr>
          <w:bottom w:val="single" w:sz="12" w:space="1" w:color="auto"/>
        </w:pBdr>
        <w:ind w:left="1440" w:hanging="1440"/>
      </w:pPr>
      <w:r>
        <w:t>Subject:</w:t>
      </w:r>
      <w:r>
        <w:tab/>
      </w:r>
      <w:r w:rsidRPr="0063516F">
        <w:t>Enforcement of Requirements regarding Notice to th</w:t>
      </w:r>
      <w:r w:rsidRPr="0036705D">
        <w:t>e Bureau</w:t>
      </w:r>
      <w:r w:rsidRPr="0063516F">
        <w:t xml:space="preserve"> of the Permanent Removal of LTCF Beds from Service and the related Permanent Reduction in Number of Beds on the LTCF License</w:t>
      </w:r>
    </w:p>
    <w:p w:rsidR="002C3CC5" w:rsidRPr="00F365E2" w:rsidRDefault="002C3CC5" w:rsidP="002C3CC5">
      <w:pPr>
        <w:pBdr>
          <w:bottom w:val="single" w:sz="12" w:space="1" w:color="auto"/>
        </w:pBdr>
        <w:ind w:left="1440" w:hanging="1440"/>
        <w:rPr>
          <w:i/>
        </w:rPr>
      </w:pPr>
    </w:p>
    <w:p w:rsidR="002C3CC5" w:rsidRDefault="002C3CC5" w:rsidP="002C3CC5"/>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The purpo</w:t>
      </w:r>
      <w:r>
        <w:rPr>
          <w:rFonts w:ascii="Times New Roman" w:hAnsi="Times New Roman"/>
          <w:sz w:val="24"/>
          <w:szCs w:val="24"/>
        </w:rPr>
        <w:t>se of this memorandum is</w:t>
      </w:r>
      <w:r w:rsidRPr="0063516F">
        <w:rPr>
          <w:rFonts w:ascii="Times New Roman" w:hAnsi="Times New Roman"/>
          <w:sz w:val="24"/>
          <w:szCs w:val="24"/>
        </w:rPr>
        <w:t xml:space="preserve"> to provide information regarding the </w:t>
      </w:r>
      <w:r w:rsidRPr="00516880">
        <w:rPr>
          <w:rFonts w:ascii="Times New Roman" w:hAnsi="Times New Roman"/>
          <w:sz w:val="24"/>
          <w:szCs w:val="24"/>
        </w:rPr>
        <w:t xml:space="preserve">Bureau of Health Care Safety and </w:t>
      </w:r>
      <w:r w:rsidRPr="0036705D">
        <w:rPr>
          <w:rFonts w:ascii="Times New Roman" w:hAnsi="Times New Roman"/>
          <w:sz w:val="24"/>
          <w:szCs w:val="24"/>
        </w:rPr>
        <w:t>Quality’s (the “Bureau”) process</w:t>
      </w:r>
      <w:r w:rsidRPr="0063516F">
        <w:rPr>
          <w:rFonts w:ascii="Times New Roman" w:hAnsi="Times New Roman"/>
          <w:sz w:val="24"/>
          <w:szCs w:val="24"/>
        </w:rPr>
        <w:t xml:space="preserve"> for enforcing the state long-term care facility (“LTCF”) licensure requirements regarding notice of permanent removal of LTCF beds from service and the related permanent reduction on the LTCF license of the number of beds the licensee is authorized to operate</w:t>
      </w:r>
      <w:r>
        <w:rPr>
          <w:rFonts w:ascii="Times New Roman" w:hAnsi="Times New Roman"/>
          <w:sz w:val="24"/>
          <w:szCs w:val="24"/>
        </w:rPr>
        <w:t xml:space="preserve"> at the facility.  This memorandum also provide</w:t>
      </w:r>
      <w:r w:rsidRPr="0036705D">
        <w:rPr>
          <w:rFonts w:ascii="Times New Roman" w:hAnsi="Times New Roman"/>
          <w:sz w:val="24"/>
          <w:szCs w:val="24"/>
        </w:rPr>
        <w:t>s a reminder</w:t>
      </w:r>
      <w:r>
        <w:rPr>
          <w:rFonts w:ascii="Times New Roman" w:hAnsi="Times New Roman"/>
          <w:sz w:val="24"/>
          <w:szCs w:val="24"/>
        </w:rPr>
        <w:t xml:space="preserve"> about the LTCF license renewal process.  This </w:t>
      </w:r>
      <w:r w:rsidRPr="00516880">
        <w:rPr>
          <w:rFonts w:ascii="Times New Roman" w:hAnsi="Times New Roman"/>
          <w:sz w:val="24"/>
          <w:szCs w:val="24"/>
        </w:rPr>
        <w:t>memorandum is</w:t>
      </w:r>
      <w:r w:rsidRPr="0063516F">
        <w:rPr>
          <w:rFonts w:ascii="Times New Roman" w:hAnsi="Times New Roman"/>
          <w:sz w:val="24"/>
          <w:szCs w:val="24"/>
        </w:rPr>
        <w:t xml:space="preserve"> not a rule or regulation.  The Bureau may revise, change, update, or rescind this </w:t>
      </w:r>
      <w:r>
        <w:rPr>
          <w:rFonts w:ascii="Times New Roman" w:hAnsi="Times New Roman"/>
          <w:sz w:val="24"/>
          <w:szCs w:val="24"/>
        </w:rPr>
        <w:t xml:space="preserve">memorandum </w:t>
      </w:r>
      <w:r w:rsidRPr="0063516F">
        <w:rPr>
          <w:rFonts w:ascii="Times New Roman" w:hAnsi="Times New Roman"/>
          <w:sz w:val="24"/>
          <w:szCs w:val="24"/>
        </w:rPr>
        <w:t xml:space="preserve">at any time.  </w:t>
      </w:r>
    </w:p>
    <w:p w:rsidR="002C3CC5" w:rsidRPr="0063516F"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 xml:space="preserve">1.   </w:t>
      </w:r>
      <w:r w:rsidRPr="0063516F">
        <w:rPr>
          <w:rFonts w:ascii="Times New Roman" w:hAnsi="Times New Roman"/>
          <w:sz w:val="24"/>
          <w:szCs w:val="24"/>
          <w:u w:val="single"/>
        </w:rPr>
        <w:t xml:space="preserve">Regulatory Requirements for Licensee to Notify Bureau of Permanent Removal of Beds from Service  </w:t>
      </w:r>
    </w:p>
    <w:p w:rsidR="002C3CC5" w:rsidRPr="0063516F" w:rsidRDefault="002C3CC5" w:rsidP="002C3CC5">
      <w:pPr>
        <w:pStyle w:val="NoSpacing"/>
        <w:rPr>
          <w:rFonts w:ascii="Times New Roman" w:hAnsi="Times New Roman"/>
          <w:sz w:val="24"/>
          <w:szCs w:val="24"/>
          <w:u w:val="single"/>
        </w:rPr>
      </w:pPr>
    </w:p>
    <w:p w:rsidR="002C3CC5" w:rsidRPr="0063516F" w:rsidRDefault="00BB6887" w:rsidP="002C3CC5">
      <w:pPr>
        <w:pStyle w:val="NoSpacing"/>
        <w:rPr>
          <w:rFonts w:ascii="Times New Roman" w:hAnsi="Times New Roman"/>
          <w:sz w:val="24"/>
          <w:szCs w:val="24"/>
        </w:rPr>
      </w:pPr>
      <w:r>
        <w:rPr>
          <w:rFonts w:ascii="Times New Roman" w:hAnsi="Times New Roman"/>
          <w:sz w:val="24"/>
          <w:szCs w:val="24"/>
        </w:rPr>
        <w:t xml:space="preserve">As stated in the </w:t>
      </w:r>
      <w:r w:rsidR="00833831">
        <w:rPr>
          <w:rFonts w:ascii="Times New Roman" w:hAnsi="Times New Roman"/>
          <w:sz w:val="24"/>
          <w:szCs w:val="24"/>
        </w:rPr>
        <w:t>December 11, 2018 Circular Letter 18-12-682 (the “Circular Letter”), to align operation</w:t>
      </w:r>
      <w:r w:rsidR="007C0111">
        <w:rPr>
          <w:rFonts w:ascii="Times New Roman" w:hAnsi="Times New Roman"/>
          <w:sz w:val="24"/>
          <w:szCs w:val="24"/>
        </w:rPr>
        <w:t>al</w:t>
      </w:r>
      <w:r w:rsidR="00833831">
        <w:rPr>
          <w:rFonts w:ascii="Times New Roman" w:hAnsi="Times New Roman"/>
          <w:sz w:val="24"/>
          <w:szCs w:val="24"/>
        </w:rPr>
        <w:t xml:space="preserve"> processes with the intent and wording of 105 CMR 153</w:t>
      </w:r>
      <w:r w:rsidR="007C0111">
        <w:rPr>
          <w:rFonts w:ascii="Times New Roman" w:hAnsi="Times New Roman"/>
          <w:sz w:val="24"/>
          <w:szCs w:val="24"/>
        </w:rPr>
        <w:t>.</w:t>
      </w:r>
      <w:r w:rsidR="00833831">
        <w:rPr>
          <w:rFonts w:ascii="Times New Roman" w:hAnsi="Times New Roman"/>
          <w:sz w:val="24"/>
          <w:szCs w:val="24"/>
        </w:rPr>
        <w:t xml:space="preserve">028, effective </w:t>
      </w:r>
      <w:r w:rsidR="00B4289F" w:rsidRPr="00B4289F">
        <w:rPr>
          <w:rFonts w:ascii="Times New Roman" w:hAnsi="Times New Roman"/>
          <w:sz w:val="24"/>
          <w:szCs w:val="24"/>
        </w:rPr>
        <w:t>January 1, 2019,</w:t>
      </w:r>
      <w:r w:rsidR="007C0111">
        <w:rPr>
          <w:rFonts w:ascii="Times New Roman" w:hAnsi="Times New Roman"/>
          <w:sz w:val="24"/>
          <w:szCs w:val="24"/>
        </w:rPr>
        <w:t xml:space="preserve"> </w:t>
      </w:r>
      <w:r w:rsidR="002C3CC5" w:rsidRPr="0063516F">
        <w:rPr>
          <w:rFonts w:ascii="Times New Roman" w:hAnsi="Times New Roman"/>
          <w:sz w:val="24"/>
          <w:szCs w:val="24"/>
        </w:rPr>
        <w:t xml:space="preserve">a LTCF licensee must submit to the Bureau written notification of </w:t>
      </w:r>
      <w:r w:rsidR="002C3CC5" w:rsidRPr="0063516F">
        <w:rPr>
          <w:rFonts w:ascii="Times New Roman" w:hAnsi="Times New Roman"/>
          <w:b/>
          <w:sz w:val="24"/>
          <w:szCs w:val="24"/>
        </w:rPr>
        <w:t>any</w:t>
      </w:r>
      <w:r w:rsidR="002C3CC5" w:rsidRPr="0063516F">
        <w:rPr>
          <w:rFonts w:ascii="Times New Roman" w:hAnsi="Times New Roman"/>
          <w:sz w:val="24"/>
          <w:szCs w:val="24"/>
        </w:rPr>
        <w:t xml:space="preserve"> permanent reduction in the number of beds in operation at its facility</w:t>
      </w:r>
      <w:r w:rsidR="00833831">
        <w:rPr>
          <w:rFonts w:ascii="Times New Roman" w:hAnsi="Times New Roman"/>
          <w:sz w:val="24"/>
          <w:szCs w:val="24"/>
        </w:rPr>
        <w:t xml:space="preserve"> as required by 105 CMR 153.028(C)</w:t>
      </w:r>
      <w:r w:rsidR="002C3CC5" w:rsidRPr="0063516F">
        <w:rPr>
          <w:rFonts w:ascii="Times New Roman" w:hAnsi="Times New Roman"/>
          <w:sz w:val="24"/>
          <w:szCs w:val="24"/>
        </w:rPr>
        <w:t xml:space="preserve">.  </w:t>
      </w:r>
      <w:r w:rsidR="00833831">
        <w:rPr>
          <w:rFonts w:ascii="Times New Roman" w:hAnsi="Times New Roman"/>
          <w:sz w:val="24"/>
          <w:szCs w:val="24"/>
        </w:rPr>
        <w:t>As was also stated in the Circular Letter and in</w:t>
      </w:r>
      <w:r w:rsidR="002C3CC5" w:rsidRPr="0063516F">
        <w:rPr>
          <w:rFonts w:ascii="Times New Roman" w:hAnsi="Times New Roman"/>
          <w:sz w:val="24"/>
          <w:szCs w:val="24"/>
        </w:rPr>
        <w:t xml:space="preserve"> 105 CMR 153.028(F), discontinuance of the operation of an entire unit of a LTCF for </w:t>
      </w:r>
      <w:r w:rsidR="002C3CC5" w:rsidRPr="0063516F">
        <w:rPr>
          <w:rFonts w:ascii="Times New Roman" w:hAnsi="Times New Roman"/>
          <w:b/>
          <w:sz w:val="24"/>
          <w:szCs w:val="24"/>
        </w:rPr>
        <w:t>any</w:t>
      </w:r>
      <w:r w:rsidR="002C3CC5" w:rsidRPr="0063516F">
        <w:rPr>
          <w:rFonts w:ascii="Times New Roman" w:hAnsi="Times New Roman"/>
          <w:sz w:val="24"/>
          <w:szCs w:val="24"/>
        </w:rPr>
        <w:t xml:space="preserve"> period of time </w:t>
      </w:r>
      <w:r w:rsidR="002C3CC5" w:rsidRPr="0063516F">
        <w:rPr>
          <w:rFonts w:ascii="Times New Roman" w:hAnsi="Times New Roman"/>
          <w:b/>
          <w:sz w:val="24"/>
          <w:szCs w:val="24"/>
        </w:rPr>
        <w:t>must</w:t>
      </w:r>
      <w:r w:rsidR="002C3CC5" w:rsidRPr="0063516F">
        <w:rPr>
          <w:rFonts w:ascii="Times New Roman" w:hAnsi="Times New Roman"/>
          <w:sz w:val="24"/>
          <w:szCs w:val="24"/>
        </w:rPr>
        <w:t xml:space="preserve"> be treated as a permanent reduction in the number of beds the licensee is authorized to operate at the facility.  </w:t>
      </w:r>
    </w:p>
    <w:p w:rsidR="002C3CC5" w:rsidRDefault="002C3CC5" w:rsidP="002C3CC5">
      <w:pPr>
        <w:pStyle w:val="NoSpacing"/>
        <w:tabs>
          <w:tab w:val="left" w:pos="4226"/>
        </w:tabs>
        <w:rPr>
          <w:rFonts w:ascii="Times New Roman" w:hAnsi="Times New Roman"/>
          <w:sz w:val="24"/>
          <w:szCs w:val="24"/>
        </w:rPr>
      </w:pPr>
      <w:r w:rsidRPr="0063516F">
        <w:rPr>
          <w:rFonts w:ascii="Times New Roman" w:hAnsi="Times New Roman"/>
          <w:sz w:val="24"/>
          <w:szCs w:val="24"/>
        </w:rPr>
        <w:lastRenderedPageBreak/>
        <w:tab/>
      </w:r>
    </w:p>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 xml:space="preserve">2.   </w:t>
      </w:r>
      <w:r w:rsidRPr="0063516F">
        <w:rPr>
          <w:rFonts w:ascii="Times New Roman" w:hAnsi="Times New Roman"/>
          <w:sz w:val="24"/>
          <w:szCs w:val="24"/>
          <w:u w:val="single"/>
        </w:rPr>
        <w:t>Notice Requirement and Consequence</w:t>
      </w:r>
      <w:r>
        <w:rPr>
          <w:rFonts w:ascii="Times New Roman" w:hAnsi="Times New Roman"/>
          <w:sz w:val="24"/>
          <w:szCs w:val="24"/>
          <w:u w:val="single"/>
        </w:rPr>
        <w:t>s</w:t>
      </w:r>
      <w:r w:rsidRPr="0063516F">
        <w:rPr>
          <w:rFonts w:ascii="Times New Roman" w:hAnsi="Times New Roman"/>
          <w:sz w:val="24"/>
          <w:szCs w:val="24"/>
          <w:u w:val="single"/>
        </w:rPr>
        <w:t xml:space="preserve"> of Failure to Notify </w:t>
      </w:r>
    </w:p>
    <w:p w:rsidR="002C3CC5" w:rsidRPr="0063516F" w:rsidRDefault="002C3CC5" w:rsidP="002C3CC5">
      <w:pPr>
        <w:pStyle w:val="NoSpacing"/>
        <w:jc w:val="center"/>
        <w:rPr>
          <w:rFonts w:ascii="Times New Roman" w:hAnsi="Times New Roman"/>
          <w:sz w:val="24"/>
          <w:szCs w:val="24"/>
        </w:rPr>
      </w:pPr>
    </w:p>
    <w:p w:rsidR="002C3CC5" w:rsidRPr="0063516F" w:rsidRDefault="00833831" w:rsidP="002C3CC5">
      <w:pPr>
        <w:pStyle w:val="NoSpacing"/>
        <w:rPr>
          <w:rFonts w:ascii="Times New Roman" w:hAnsi="Times New Roman"/>
          <w:sz w:val="24"/>
          <w:szCs w:val="24"/>
        </w:rPr>
      </w:pPr>
      <w:r w:rsidRPr="007C0111">
        <w:rPr>
          <w:rFonts w:ascii="Times New Roman" w:hAnsi="Times New Roman"/>
          <w:b/>
          <w:sz w:val="24"/>
          <w:szCs w:val="24"/>
        </w:rPr>
        <w:t>A.</w:t>
      </w:r>
      <w:r>
        <w:rPr>
          <w:rFonts w:ascii="Times New Roman" w:hAnsi="Times New Roman"/>
          <w:sz w:val="24"/>
          <w:szCs w:val="24"/>
        </w:rPr>
        <w:t xml:space="preserve">  </w:t>
      </w:r>
      <w:r w:rsidRPr="007C0111">
        <w:rPr>
          <w:rFonts w:ascii="Times New Roman" w:hAnsi="Times New Roman"/>
          <w:b/>
          <w:sz w:val="24"/>
          <w:szCs w:val="24"/>
        </w:rPr>
        <w:t>Notice Requirement</w:t>
      </w:r>
      <w:r>
        <w:rPr>
          <w:rFonts w:ascii="Times New Roman" w:hAnsi="Times New Roman"/>
          <w:sz w:val="24"/>
          <w:szCs w:val="24"/>
        </w:rPr>
        <w:t xml:space="preserve"> – As stated above and in the applicable regulation, w</w:t>
      </w:r>
      <w:r w:rsidR="002C3CC5" w:rsidRPr="0063516F">
        <w:rPr>
          <w:rFonts w:ascii="Times New Roman" w:hAnsi="Times New Roman"/>
          <w:sz w:val="24"/>
          <w:szCs w:val="24"/>
        </w:rPr>
        <w:t xml:space="preserve">henever a LTCF licensee permanently takes beds in service at its facility out of service, which includes </w:t>
      </w:r>
      <w:r w:rsidR="003C14A7">
        <w:rPr>
          <w:rFonts w:ascii="Times New Roman" w:hAnsi="Times New Roman"/>
          <w:sz w:val="24"/>
          <w:szCs w:val="24"/>
        </w:rPr>
        <w:t>discontinuing operations of an</w:t>
      </w:r>
      <w:r w:rsidR="002C3CC5" w:rsidRPr="0063516F">
        <w:rPr>
          <w:rFonts w:ascii="Times New Roman" w:hAnsi="Times New Roman"/>
          <w:sz w:val="24"/>
          <w:szCs w:val="24"/>
        </w:rPr>
        <w:t xml:space="preserve"> entire unit for any period of time, the LTCF licensure regulation requires that the licensee notify the Bureau in writing (the “required notice”). </w:t>
      </w:r>
    </w:p>
    <w:p w:rsidR="002C3CC5" w:rsidRPr="0063516F" w:rsidRDefault="002C3CC5" w:rsidP="002C3CC5">
      <w:pPr>
        <w:pStyle w:val="NoSpacing"/>
        <w:rPr>
          <w:rFonts w:ascii="Times New Roman" w:hAnsi="Times New Roman"/>
          <w:sz w:val="24"/>
          <w:szCs w:val="24"/>
        </w:rPr>
      </w:pPr>
    </w:p>
    <w:p w:rsidR="002C3CC5" w:rsidRPr="0063516F" w:rsidRDefault="00833831" w:rsidP="002C3CC5">
      <w:pPr>
        <w:pStyle w:val="NoSpacing"/>
        <w:rPr>
          <w:rFonts w:ascii="Times New Roman" w:hAnsi="Times New Roman"/>
          <w:sz w:val="24"/>
          <w:szCs w:val="24"/>
        </w:rPr>
      </w:pPr>
      <w:r w:rsidRPr="007C0111">
        <w:rPr>
          <w:rFonts w:ascii="Times New Roman" w:hAnsi="Times New Roman"/>
          <w:b/>
          <w:sz w:val="24"/>
          <w:szCs w:val="24"/>
        </w:rPr>
        <w:t>B.</w:t>
      </w:r>
      <w:r>
        <w:rPr>
          <w:rFonts w:ascii="Times New Roman" w:hAnsi="Times New Roman"/>
          <w:sz w:val="24"/>
          <w:szCs w:val="24"/>
        </w:rPr>
        <w:t xml:space="preserve">   </w:t>
      </w:r>
      <w:r w:rsidRPr="007C0111">
        <w:rPr>
          <w:rFonts w:ascii="Times New Roman" w:hAnsi="Times New Roman"/>
          <w:b/>
          <w:sz w:val="24"/>
          <w:szCs w:val="24"/>
        </w:rPr>
        <w:t>Consequences of Failure to Notify</w:t>
      </w:r>
      <w:r>
        <w:rPr>
          <w:rFonts w:ascii="Times New Roman" w:hAnsi="Times New Roman"/>
          <w:sz w:val="24"/>
          <w:szCs w:val="24"/>
        </w:rPr>
        <w:t xml:space="preserve"> –</w:t>
      </w:r>
      <w:r w:rsidR="00B4289F">
        <w:rPr>
          <w:rFonts w:ascii="Times New Roman" w:hAnsi="Times New Roman"/>
          <w:sz w:val="24"/>
          <w:szCs w:val="24"/>
        </w:rPr>
        <w:t xml:space="preserve"> </w:t>
      </w:r>
      <w:r w:rsidR="00B4289F" w:rsidRPr="00B4289F">
        <w:rPr>
          <w:rFonts w:ascii="Times New Roman" w:hAnsi="Times New Roman"/>
          <w:sz w:val="24"/>
          <w:szCs w:val="24"/>
        </w:rPr>
        <w:t xml:space="preserve">Effective January 20, 2020, if </w:t>
      </w:r>
      <w:r w:rsidR="002C3CC5" w:rsidRPr="0063516F">
        <w:rPr>
          <w:rFonts w:ascii="Times New Roman" w:hAnsi="Times New Roman"/>
          <w:sz w:val="24"/>
          <w:szCs w:val="24"/>
        </w:rPr>
        <w:t>during a survey</w:t>
      </w:r>
      <w:r w:rsidR="003C14A7">
        <w:rPr>
          <w:rFonts w:ascii="Times New Roman" w:hAnsi="Times New Roman"/>
          <w:sz w:val="24"/>
          <w:szCs w:val="24"/>
        </w:rPr>
        <w:t xml:space="preserve"> a </w:t>
      </w:r>
      <w:r w:rsidR="002C3CC5" w:rsidRPr="0063516F">
        <w:rPr>
          <w:rFonts w:ascii="Times New Roman" w:hAnsi="Times New Roman"/>
          <w:sz w:val="24"/>
          <w:szCs w:val="24"/>
        </w:rPr>
        <w:t>surveyor finds that the number of beds in service is less than the number of beds on the licensee’s LTCF license, the surveyor may inquir</w:t>
      </w:r>
      <w:r w:rsidR="002C3CC5">
        <w:rPr>
          <w:rFonts w:ascii="Times New Roman" w:hAnsi="Times New Roman"/>
          <w:sz w:val="24"/>
          <w:szCs w:val="24"/>
        </w:rPr>
        <w:t xml:space="preserve">e </w:t>
      </w:r>
      <w:r w:rsidR="002C3CC5" w:rsidRPr="0063516F">
        <w:rPr>
          <w:rFonts w:ascii="Times New Roman" w:hAnsi="Times New Roman"/>
          <w:sz w:val="24"/>
          <w:szCs w:val="24"/>
        </w:rPr>
        <w:t xml:space="preserve">as to the reason for the discrepancy.  If the beds are permanently, rather than temporarily, out of service and the licensee has not submitted the required notice to the Bureau, the licensee will be cited for violating 105 CMR 153.028(C) and fined $50 for the violation.  In addition, </w:t>
      </w:r>
      <w:r w:rsidR="003C14A7">
        <w:rPr>
          <w:rFonts w:ascii="Times New Roman" w:hAnsi="Times New Roman"/>
          <w:sz w:val="24"/>
          <w:szCs w:val="24"/>
        </w:rPr>
        <w:t xml:space="preserve">if the beds are permanently out of service, </w:t>
      </w:r>
      <w:r w:rsidR="002C3CC5" w:rsidRPr="0063516F">
        <w:rPr>
          <w:rFonts w:ascii="Times New Roman" w:hAnsi="Times New Roman"/>
          <w:sz w:val="24"/>
          <w:szCs w:val="24"/>
        </w:rPr>
        <w:t xml:space="preserve">the Bureau will re-issue the LTFC license with the reduced bed </w:t>
      </w:r>
      <w:r w:rsidR="003C14A7">
        <w:rPr>
          <w:rFonts w:ascii="Times New Roman" w:hAnsi="Times New Roman"/>
          <w:sz w:val="24"/>
          <w:szCs w:val="24"/>
        </w:rPr>
        <w:t>quota</w:t>
      </w:r>
      <w:r w:rsidR="002C3CC5" w:rsidRPr="0063516F">
        <w:rPr>
          <w:rFonts w:ascii="Times New Roman" w:hAnsi="Times New Roman"/>
          <w:sz w:val="24"/>
          <w:szCs w:val="24"/>
        </w:rPr>
        <w:t xml:space="preserve">, even if the standard survey takes place after the issuance of a renewal LTCF license.   </w:t>
      </w:r>
    </w:p>
    <w:p w:rsidR="002C3CC5" w:rsidRPr="0063516F" w:rsidRDefault="002C3CC5" w:rsidP="002C3CC5">
      <w:pPr>
        <w:pStyle w:val="NoSpacing"/>
        <w:jc w:val="center"/>
        <w:rPr>
          <w:rFonts w:ascii="Times New Roman" w:hAnsi="Times New Roman"/>
          <w:sz w:val="24"/>
          <w:szCs w:val="24"/>
        </w:rPr>
      </w:pPr>
    </w:p>
    <w:p w:rsidR="002C3CC5" w:rsidRPr="0063516F" w:rsidRDefault="002C3CC5" w:rsidP="002C3CC5">
      <w:pPr>
        <w:pStyle w:val="NoSpacing"/>
        <w:tabs>
          <w:tab w:val="left" w:pos="3957"/>
        </w:tabs>
        <w:rPr>
          <w:rFonts w:ascii="Times New Roman" w:hAnsi="Times New Roman"/>
          <w:sz w:val="24"/>
          <w:szCs w:val="24"/>
        </w:rPr>
      </w:pPr>
      <w:r w:rsidRPr="0063516F">
        <w:rPr>
          <w:rFonts w:ascii="Times New Roman" w:hAnsi="Times New Roman"/>
          <w:sz w:val="24"/>
          <w:szCs w:val="24"/>
        </w:rPr>
        <w:t xml:space="preserve">3.    </w:t>
      </w:r>
      <w:r w:rsidRPr="0063516F">
        <w:rPr>
          <w:rFonts w:ascii="Times New Roman" w:hAnsi="Times New Roman"/>
          <w:sz w:val="24"/>
          <w:szCs w:val="24"/>
          <w:u w:val="single"/>
        </w:rPr>
        <w:t>Reporting the Permanent Reduction</w:t>
      </w:r>
      <w:r w:rsidRPr="0063516F">
        <w:rPr>
          <w:rFonts w:ascii="Times New Roman" w:hAnsi="Times New Roman"/>
          <w:sz w:val="24"/>
          <w:szCs w:val="24"/>
        </w:rPr>
        <w:tab/>
      </w:r>
    </w:p>
    <w:p w:rsidR="002C3CC5" w:rsidRPr="0063516F"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 xml:space="preserve">In addition to reflecting the permanent reduction in beds on the licensee’s LTCF license, the facility’s revised operating capacity will be reported to MassHealth and the Center for Health Information Analysis (“CHIA”).  </w:t>
      </w:r>
    </w:p>
    <w:p w:rsidR="002C3CC5" w:rsidRPr="0063516F"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 xml:space="preserve">4.   </w:t>
      </w:r>
      <w:r w:rsidRPr="0063516F">
        <w:rPr>
          <w:rFonts w:ascii="Times New Roman" w:hAnsi="Times New Roman"/>
          <w:sz w:val="24"/>
          <w:szCs w:val="24"/>
          <w:u w:val="single"/>
        </w:rPr>
        <w:t>Effective date</w:t>
      </w:r>
    </w:p>
    <w:p w:rsidR="002C3CC5" w:rsidRPr="0063516F"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 xml:space="preserve">The changes outlined </w:t>
      </w:r>
      <w:r w:rsidR="00633849">
        <w:rPr>
          <w:rFonts w:ascii="Times New Roman" w:hAnsi="Times New Roman"/>
          <w:sz w:val="24"/>
          <w:szCs w:val="24"/>
        </w:rPr>
        <w:t>in section 2</w:t>
      </w:r>
      <w:r w:rsidR="002B1393">
        <w:rPr>
          <w:rFonts w:ascii="Times New Roman" w:hAnsi="Times New Roman"/>
          <w:sz w:val="24"/>
          <w:szCs w:val="24"/>
        </w:rPr>
        <w:t>.B</w:t>
      </w:r>
      <w:r w:rsidR="00633849">
        <w:rPr>
          <w:rFonts w:ascii="Times New Roman" w:hAnsi="Times New Roman"/>
          <w:sz w:val="24"/>
          <w:szCs w:val="24"/>
        </w:rPr>
        <w:t xml:space="preserve"> </w:t>
      </w:r>
      <w:r w:rsidR="002B1393">
        <w:rPr>
          <w:rFonts w:ascii="Times New Roman" w:hAnsi="Times New Roman"/>
          <w:sz w:val="24"/>
          <w:szCs w:val="24"/>
        </w:rPr>
        <w:t>went</w:t>
      </w:r>
      <w:r w:rsidRPr="0063516F">
        <w:rPr>
          <w:rFonts w:ascii="Times New Roman" w:hAnsi="Times New Roman"/>
          <w:sz w:val="24"/>
          <w:szCs w:val="24"/>
        </w:rPr>
        <w:t xml:space="preserve"> </w:t>
      </w:r>
      <w:r>
        <w:rPr>
          <w:rFonts w:ascii="Times New Roman" w:hAnsi="Times New Roman"/>
          <w:sz w:val="24"/>
          <w:szCs w:val="24"/>
        </w:rPr>
        <w:t>into effect on January 20, 20</w:t>
      </w:r>
      <w:r w:rsidR="001E70BE">
        <w:rPr>
          <w:rFonts w:ascii="Times New Roman" w:hAnsi="Times New Roman"/>
          <w:sz w:val="24"/>
          <w:szCs w:val="24"/>
        </w:rPr>
        <w:t>20</w:t>
      </w:r>
      <w:r w:rsidRPr="0063516F">
        <w:rPr>
          <w:rFonts w:ascii="Times New Roman" w:hAnsi="Times New Roman"/>
          <w:sz w:val="24"/>
          <w:szCs w:val="24"/>
        </w:rPr>
        <w:t xml:space="preserve">, which </w:t>
      </w:r>
      <w:r w:rsidR="001D35E2">
        <w:rPr>
          <w:rFonts w:ascii="Times New Roman" w:hAnsi="Times New Roman"/>
          <w:sz w:val="24"/>
          <w:szCs w:val="24"/>
        </w:rPr>
        <w:t>wa</w:t>
      </w:r>
      <w:r w:rsidRPr="0063516F">
        <w:rPr>
          <w:rFonts w:ascii="Times New Roman" w:hAnsi="Times New Roman"/>
          <w:sz w:val="24"/>
          <w:szCs w:val="24"/>
        </w:rPr>
        <w:t>s thirty calendar days</w:t>
      </w:r>
      <w:r>
        <w:rPr>
          <w:rFonts w:ascii="Times New Roman" w:hAnsi="Times New Roman"/>
          <w:sz w:val="24"/>
          <w:szCs w:val="24"/>
        </w:rPr>
        <w:t xml:space="preserve"> after the date this </w:t>
      </w:r>
      <w:r w:rsidR="00541B0B">
        <w:rPr>
          <w:rFonts w:ascii="Times New Roman" w:hAnsi="Times New Roman"/>
          <w:sz w:val="24"/>
          <w:szCs w:val="24"/>
        </w:rPr>
        <w:t xml:space="preserve">memorandum </w:t>
      </w:r>
      <w:r w:rsidR="001D35E2">
        <w:rPr>
          <w:rFonts w:ascii="Times New Roman" w:hAnsi="Times New Roman"/>
          <w:sz w:val="24"/>
          <w:szCs w:val="24"/>
        </w:rPr>
        <w:t>was first issued</w:t>
      </w:r>
      <w:r w:rsidRPr="0063516F">
        <w:rPr>
          <w:rFonts w:ascii="Times New Roman" w:hAnsi="Times New Roman"/>
          <w:sz w:val="24"/>
          <w:szCs w:val="24"/>
        </w:rPr>
        <w:t>.</w:t>
      </w:r>
    </w:p>
    <w:p w:rsidR="002C3CC5" w:rsidRPr="0063516F" w:rsidRDefault="002C3CC5" w:rsidP="002C3CC5">
      <w:pPr>
        <w:pStyle w:val="NoSpacing"/>
        <w:rPr>
          <w:rFonts w:ascii="Times New Roman" w:hAnsi="Times New Roman"/>
          <w:sz w:val="24"/>
          <w:szCs w:val="24"/>
        </w:rPr>
      </w:pPr>
    </w:p>
    <w:p w:rsidR="002C3CC5" w:rsidRDefault="002C3CC5" w:rsidP="002C3CC5">
      <w:r w:rsidRPr="0063516F">
        <w:rPr>
          <w:szCs w:val="24"/>
        </w:rPr>
        <w:t xml:space="preserve">5.   </w:t>
      </w:r>
      <w:r>
        <w:rPr>
          <w:u w:val="single"/>
        </w:rPr>
        <w:t xml:space="preserve">Reminder </w:t>
      </w:r>
      <w:r w:rsidRPr="00D52AEE">
        <w:rPr>
          <w:u w:val="single"/>
        </w:rPr>
        <w:t>regarding LTCF License Renewal</w:t>
      </w:r>
      <w:r>
        <w:rPr>
          <w:u w:val="single"/>
        </w:rPr>
        <w:t xml:space="preserve"> Process</w:t>
      </w:r>
    </w:p>
    <w:p w:rsidR="002C3CC5" w:rsidRDefault="002C3CC5" w:rsidP="002C3CC5"/>
    <w:p w:rsidR="002C3CC5" w:rsidRDefault="002C3CC5" w:rsidP="002C3CC5">
      <w:r>
        <w:t xml:space="preserve">As a reminder, effective January 1, 2019, an application for a renewal license no longer includes a form to request approval to treat beds as temporarily rather than permanently out of service.  Any such approval previously received by a licensee expires at the end of the licensure term during which </w:t>
      </w:r>
      <w:r w:rsidRPr="00D52AEE">
        <w:t>the</w:t>
      </w:r>
      <w:r>
        <w:t xml:space="preserve"> approval was received</w:t>
      </w:r>
      <w:r w:rsidR="003C14A7">
        <w:t xml:space="preserve"> or on the date indicated on the approval form</w:t>
      </w:r>
      <w:r w:rsidR="00DA3E45">
        <w:t>.  I</w:t>
      </w:r>
      <w:r w:rsidR="00EF157F">
        <w:t xml:space="preserve">f facility operations are transferred to a new operator/licensee prior to the expiration of the current </w:t>
      </w:r>
      <w:r w:rsidR="00294232">
        <w:t>operator/</w:t>
      </w:r>
      <w:r w:rsidR="00EF157F">
        <w:t xml:space="preserve">licensee’s facility license, </w:t>
      </w:r>
      <w:r w:rsidR="00B10282">
        <w:t xml:space="preserve">any such approval received </w:t>
      </w:r>
      <w:r w:rsidR="00294232">
        <w:t xml:space="preserve">by the </w:t>
      </w:r>
      <w:r w:rsidR="00B10282">
        <w:t>current operator expires at the close of business on the day prior to the</w:t>
      </w:r>
      <w:r w:rsidR="00EF157F">
        <w:t xml:space="preserve"> effective date of the new operator</w:t>
      </w:r>
      <w:r w:rsidR="003E5035">
        <w:t>/licensee</w:t>
      </w:r>
      <w:r w:rsidR="00DA3E45">
        <w:t>’s license</w:t>
      </w:r>
      <w:r w:rsidR="00B10282">
        <w:t>;</w:t>
      </w:r>
      <w:r w:rsidR="00EF157F">
        <w:t xml:space="preserve"> approvals under the old process are not transferrable to a new </w:t>
      </w:r>
      <w:r w:rsidR="00B10282">
        <w:t>operator/</w:t>
      </w:r>
      <w:r w:rsidR="003E5035">
        <w:t>licensee</w:t>
      </w:r>
      <w:r w:rsidR="00EF157F">
        <w:t xml:space="preserve">. As stated in the “Frequently Asked Questions” document posted on April 1, 2019, </w:t>
      </w:r>
      <w:r>
        <w:t xml:space="preserve">any request to renew a previous approval will not be processed.  </w:t>
      </w:r>
      <w:r w:rsidR="00EF157F">
        <w:t>In most cases, u</w:t>
      </w:r>
      <w:r w:rsidR="000F44DF">
        <w:t>pon expiration of an</w:t>
      </w:r>
      <w:r w:rsidR="00EF157F">
        <w:t xml:space="preserve"> approval</w:t>
      </w:r>
      <w:r w:rsidR="000F44DF">
        <w:t xml:space="preserve"> issued prior to January 1, 2019</w:t>
      </w:r>
      <w:r w:rsidR="00EF157F">
        <w:t xml:space="preserve"> to treat beds at a facility as temporarily rather than permanently out of service, the </w:t>
      </w:r>
      <w:r w:rsidR="000F44DF">
        <w:t>permanent reduction requirement will be applied and those</w:t>
      </w:r>
      <w:r w:rsidR="00EF157F">
        <w:t xml:space="preserve"> </w:t>
      </w:r>
      <w:r w:rsidR="00633849">
        <w:t>b</w:t>
      </w:r>
      <w:r>
        <w:t>eds will be taken off the facility license when the license is renewed.</w:t>
      </w:r>
    </w:p>
    <w:p w:rsidR="002F3037" w:rsidRDefault="002F3037" w:rsidP="002C3CC5"/>
    <w:p w:rsidR="003C14A7" w:rsidRPr="00E251BF" w:rsidRDefault="003C14A7" w:rsidP="002C3CC5"/>
    <w:p w:rsidR="002C3CC5"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r>
        <w:rPr>
          <w:rFonts w:ascii="Times New Roman" w:hAnsi="Times New Roman"/>
          <w:sz w:val="24"/>
          <w:szCs w:val="24"/>
        </w:rPr>
        <w:lastRenderedPageBreak/>
        <w:t xml:space="preserve">6.  </w:t>
      </w:r>
      <w:r w:rsidRPr="0063516F">
        <w:rPr>
          <w:rFonts w:ascii="Times New Roman" w:hAnsi="Times New Roman"/>
          <w:sz w:val="24"/>
          <w:szCs w:val="24"/>
          <w:u w:val="single"/>
        </w:rPr>
        <w:t xml:space="preserve">Contents of Required Notice and Determining Whether Beds are Permanently </w:t>
      </w:r>
      <w:r w:rsidR="00CD4441" w:rsidRPr="0063516F">
        <w:rPr>
          <w:rFonts w:ascii="Times New Roman" w:hAnsi="Times New Roman"/>
          <w:sz w:val="24"/>
          <w:szCs w:val="24"/>
          <w:u w:val="single"/>
        </w:rPr>
        <w:t>out</w:t>
      </w:r>
      <w:r w:rsidRPr="0063516F">
        <w:rPr>
          <w:rFonts w:ascii="Times New Roman" w:hAnsi="Times New Roman"/>
          <w:sz w:val="24"/>
          <w:szCs w:val="24"/>
          <w:u w:val="single"/>
        </w:rPr>
        <w:t xml:space="preserve"> of Service</w:t>
      </w:r>
    </w:p>
    <w:p w:rsidR="002C3CC5" w:rsidRPr="0063516F"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r w:rsidRPr="0063516F">
        <w:rPr>
          <w:rFonts w:ascii="Times New Roman" w:hAnsi="Times New Roman"/>
          <w:sz w:val="24"/>
          <w:szCs w:val="24"/>
        </w:rPr>
        <w:t>If you have questions about what the required notice about a permanent reduction must include or whe</w:t>
      </w:r>
      <w:r w:rsidR="003C14A7">
        <w:rPr>
          <w:rFonts w:ascii="Times New Roman" w:hAnsi="Times New Roman"/>
          <w:sz w:val="24"/>
          <w:szCs w:val="24"/>
        </w:rPr>
        <w:t>ther</w:t>
      </w:r>
      <w:r w:rsidRPr="0063516F">
        <w:rPr>
          <w:rFonts w:ascii="Times New Roman" w:hAnsi="Times New Roman"/>
          <w:sz w:val="24"/>
          <w:szCs w:val="24"/>
        </w:rPr>
        <w:t xml:space="preserve"> beds at a LTCF are permanently out of service, please see the responses to frequently asked questions (FAQs) about beds out of service at open LTCFs posted by the Bureau here </w:t>
      </w:r>
      <w:r w:rsidR="003C14A7">
        <w:rPr>
          <w:rFonts w:ascii="Times New Roman" w:hAnsi="Times New Roman"/>
          <w:sz w:val="24"/>
          <w:szCs w:val="24"/>
        </w:rPr>
        <w:t xml:space="preserve">-- </w:t>
      </w:r>
      <w:hyperlink r:id="rId9" w:history="1">
        <w:r w:rsidRPr="002F3037">
          <w:rPr>
            <w:rStyle w:val="Hyperlink"/>
            <w:rFonts w:ascii="Times New Roman" w:hAnsi="Times New Roman"/>
            <w:sz w:val="24"/>
            <w:szCs w:val="24"/>
          </w:rPr>
          <w:t>https://www.mass.gov/info-details/frequently-asked-questions-about-beds-out-of-service-at-open-long-term-care-facilities</w:t>
        </w:r>
      </w:hyperlink>
      <w:r w:rsidRPr="002F3037">
        <w:rPr>
          <w:rFonts w:ascii="Times New Roman" w:hAnsi="Times New Roman"/>
          <w:sz w:val="24"/>
          <w:szCs w:val="24"/>
        </w:rPr>
        <w:t>.</w:t>
      </w:r>
    </w:p>
    <w:p w:rsidR="002C3CC5" w:rsidRPr="0063516F" w:rsidRDefault="002C3CC5" w:rsidP="002C3CC5">
      <w:pPr>
        <w:pStyle w:val="NoSpacing"/>
        <w:rPr>
          <w:rFonts w:ascii="Times New Roman" w:hAnsi="Times New Roman"/>
          <w:sz w:val="24"/>
          <w:szCs w:val="24"/>
        </w:rPr>
      </w:pPr>
    </w:p>
    <w:p w:rsidR="002C3CC5" w:rsidRPr="0063516F" w:rsidRDefault="002C3CC5" w:rsidP="002C3CC5">
      <w:pPr>
        <w:pStyle w:val="NoSpacing"/>
        <w:rPr>
          <w:rFonts w:ascii="Times New Roman" w:hAnsi="Times New Roman"/>
          <w:sz w:val="24"/>
          <w:szCs w:val="24"/>
        </w:rPr>
      </w:pPr>
    </w:p>
    <w:p w:rsidR="002C3CC5" w:rsidRDefault="002C3CC5" w:rsidP="002C3CC5">
      <w:pPr>
        <w:pStyle w:val="NoSpacing"/>
        <w:rPr>
          <w:rFonts w:ascii="Times New Roman" w:hAnsi="Times New Roman"/>
          <w:sz w:val="24"/>
          <w:szCs w:val="24"/>
          <w:u w:val="single"/>
        </w:rPr>
      </w:pPr>
      <w:r w:rsidRPr="0063516F">
        <w:rPr>
          <w:rFonts w:ascii="Times New Roman" w:hAnsi="Times New Roman"/>
          <w:sz w:val="24"/>
          <w:szCs w:val="24"/>
          <w:u w:val="single"/>
        </w:rPr>
        <w:t>Questions</w:t>
      </w:r>
    </w:p>
    <w:p w:rsidR="002F3037" w:rsidRPr="0063516F" w:rsidRDefault="002F3037" w:rsidP="002C3CC5">
      <w:pPr>
        <w:pStyle w:val="NoSpacing"/>
        <w:rPr>
          <w:rFonts w:ascii="Times New Roman" w:hAnsi="Times New Roman"/>
          <w:sz w:val="24"/>
          <w:szCs w:val="24"/>
        </w:rPr>
      </w:pPr>
    </w:p>
    <w:p w:rsidR="002E10E4" w:rsidRPr="002C3CC5" w:rsidRDefault="002C3CC5" w:rsidP="002C3CC5">
      <w:pPr>
        <w:pStyle w:val="NoSpacing"/>
      </w:pPr>
      <w:r w:rsidRPr="0063516F">
        <w:rPr>
          <w:rFonts w:ascii="Times New Roman" w:hAnsi="Times New Roman"/>
          <w:sz w:val="24"/>
          <w:szCs w:val="24"/>
        </w:rPr>
        <w:t xml:space="preserve">Please contact </w:t>
      </w:r>
      <w:hyperlink r:id="rId10" w:history="1">
        <w:r w:rsidRPr="0063516F">
          <w:rPr>
            <w:rStyle w:val="Hyperlink"/>
            <w:rFonts w:ascii="Times New Roman" w:hAnsi="Times New Roman"/>
            <w:sz w:val="24"/>
            <w:szCs w:val="24"/>
          </w:rPr>
          <w:t>DPH.BHCSQ@MassMail.State.MA.US</w:t>
        </w:r>
      </w:hyperlink>
      <w:r w:rsidRPr="0063516F">
        <w:rPr>
          <w:rFonts w:ascii="Times New Roman" w:hAnsi="Times New Roman"/>
          <w:sz w:val="24"/>
          <w:szCs w:val="24"/>
        </w:rPr>
        <w:t xml:space="preserve"> if you have any questions about </w:t>
      </w:r>
      <w:r>
        <w:rPr>
          <w:rFonts w:ascii="Times New Roman" w:hAnsi="Times New Roman"/>
          <w:sz w:val="24"/>
          <w:szCs w:val="24"/>
        </w:rPr>
        <w:t>the information in this memorandum.</w:t>
      </w:r>
    </w:p>
    <w:sectPr w:rsidR="002E10E4" w:rsidRPr="002C3CC5" w:rsidSect="005C5C52">
      <w:footerReference w:type="defaul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9B4" w:rsidRDefault="00AE49B4" w:rsidP="0041020F">
      <w:r>
        <w:separator/>
      </w:r>
    </w:p>
  </w:endnote>
  <w:endnote w:type="continuationSeparator" w:id="0">
    <w:p w:rsidR="00AE49B4" w:rsidRDefault="00AE49B4"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1576"/>
      <w:docPartObj>
        <w:docPartGallery w:val="Page Numbers (Bottom of Page)"/>
        <w:docPartUnique/>
      </w:docPartObj>
    </w:sdtPr>
    <w:sdtEndPr>
      <w:rPr>
        <w:noProof/>
      </w:rPr>
    </w:sdtEndPr>
    <w:sdtContent>
      <w:p w:rsidR="00C114FE" w:rsidRDefault="00C114FE">
        <w:pPr>
          <w:pStyle w:val="Footer"/>
          <w:jc w:val="right"/>
        </w:pPr>
        <w:r>
          <w:fldChar w:fldCharType="begin"/>
        </w:r>
        <w:r>
          <w:instrText xml:space="preserve"> PAGE   \* MERGEFORMAT </w:instrText>
        </w:r>
        <w:r>
          <w:fldChar w:fldCharType="separate"/>
        </w:r>
        <w:r w:rsidR="00B6698A">
          <w:rPr>
            <w:noProof/>
          </w:rPr>
          <w:t>1</w:t>
        </w:r>
        <w:r>
          <w:rPr>
            <w:noProof/>
          </w:rPr>
          <w:fldChar w:fldCharType="end"/>
        </w:r>
      </w:p>
    </w:sdtContent>
  </w:sdt>
  <w:p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9B4" w:rsidRDefault="00AE49B4" w:rsidP="0041020F">
      <w:r>
        <w:separator/>
      </w:r>
    </w:p>
  </w:footnote>
  <w:footnote w:type="continuationSeparator" w:id="0">
    <w:p w:rsidR="00AE49B4" w:rsidRDefault="00AE49B4" w:rsidP="0041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3F6285"/>
    <w:multiLevelType w:val="hybridMultilevel"/>
    <w:tmpl w:val="9AB245B6"/>
    <w:lvl w:ilvl="0" w:tplc="2A067434">
      <w:start w:val="67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2C6A"/>
    <w:rsid w:val="00025D10"/>
    <w:rsid w:val="00027D10"/>
    <w:rsid w:val="00033154"/>
    <w:rsid w:val="00033A05"/>
    <w:rsid w:val="00035E4E"/>
    <w:rsid w:val="00042048"/>
    <w:rsid w:val="00046E07"/>
    <w:rsid w:val="000537DA"/>
    <w:rsid w:val="00060965"/>
    <w:rsid w:val="000659DF"/>
    <w:rsid w:val="00076F76"/>
    <w:rsid w:val="00093CFB"/>
    <w:rsid w:val="00096A41"/>
    <w:rsid w:val="00097F8B"/>
    <w:rsid w:val="000D70A0"/>
    <w:rsid w:val="000F315B"/>
    <w:rsid w:val="000F44DF"/>
    <w:rsid w:val="001036F5"/>
    <w:rsid w:val="001068EC"/>
    <w:rsid w:val="001228CA"/>
    <w:rsid w:val="001372FC"/>
    <w:rsid w:val="0015268B"/>
    <w:rsid w:val="0016470B"/>
    <w:rsid w:val="00175945"/>
    <w:rsid w:val="00177C77"/>
    <w:rsid w:val="001A56F7"/>
    <w:rsid w:val="001A795A"/>
    <w:rsid w:val="001D0AA6"/>
    <w:rsid w:val="001D35E2"/>
    <w:rsid w:val="001D4637"/>
    <w:rsid w:val="001E0C52"/>
    <w:rsid w:val="001E70BE"/>
    <w:rsid w:val="001F0C6B"/>
    <w:rsid w:val="00234E68"/>
    <w:rsid w:val="00240D65"/>
    <w:rsid w:val="00245255"/>
    <w:rsid w:val="00252E04"/>
    <w:rsid w:val="002548EB"/>
    <w:rsid w:val="00254E9E"/>
    <w:rsid w:val="00276957"/>
    <w:rsid w:val="00276DCC"/>
    <w:rsid w:val="00280207"/>
    <w:rsid w:val="0028224A"/>
    <w:rsid w:val="00294232"/>
    <w:rsid w:val="002A469D"/>
    <w:rsid w:val="002B1393"/>
    <w:rsid w:val="002B39D0"/>
    <w:rsid w:val="002C3CC5"/>
    <w:rsid w:val="002C4EB0"/>
    <w:rsid w:val="002C69E9"/>
    <w:rsid w:val="002E10E4"/>
    <w:rsid w:val="002F3037"/>
    <w:rsid w:val="002F3319"/>
    <w:rsid w:val="002F7248"/>
    <w:rsid w:val="00323D2F"/>
    <w:rsid w:val="00365087"/>
    <w:rsid w:val="0037004E"/>
    <w:rsid w:val="00385812"/>
    <w:rsid w:val="00392D0B"/>
    <w:rsid w:val="00396016"/>
    <w:rsid w:val="003A0693"/>
    <w:rsid w:val="003A5A33"/>
    <w:rsid w:val="003A7AFC"/>
    <w:rsid w:val="003B2DA6"/>
    <w:rsid w:val="003C14A7"/>
    <w:rsid w:val="003C60EF"/>
    <w:rsid w:val="003D36D0"/>
    <w:rsid w:val="003D4B02"/>
    <w:rsid w:val="003E49D8"/>
    <w:rsid w:val="003E5035"/>
    <w:rsid w:val="003F6E27"/>
    <w:rsid w:val="00401098"/>
    <w:rsid w:val="0041020F"/>
    <w:rsid w:val="004540CD"/>
    <w:rsid w:val="00466C26"/>
    <w:rsid w:val="00471AE3"/>
    <w:rsid w:val="004813AC"/>
    <w:rsid w:val="004A5069"/>
    <w:rsid w:val="004B37A0"/>
    <w:rsid w:val="004D3682"/>
    <w:rsid w:val="004D42DD"/>
    <w:rsid w:val="004D6B39"/>
    <w:rsid w:val="004E1A3E"/>
    <w:rsid w:val="0052522E"/>
    <w:rsid w:val="005258D6"/>
    <w:rsid w:val="00541B0B"/>
    <w:rsid w:val="005448AA"/>
    <w:rsid w:val="00555F0E"/>
    <w:rsid w:val="005774FD"/>
    <w:rsid w:val="00591275"/>
    <w:rsid w:val="005B5DDD"/>
    <w:rsid w:val="005C0734"/>
    <w:rsid w:val="005C5C52"/>
    <w:rsid w:val="005E301F"/>
    <w:rsid w:val="005F64CB"/>
    <w:rsid w:val="00633849"/>
    <w:rsid w:val="00657C6E"/>
    <w:rsid w:val="006B03CE"/>
    <w:rsid w:val="006D06D9"/>
    <w:rsid w:val="006D77A6"/>
    <w:rsid w:val="00701BE1"/>
    <w:rsid w:val="00702109"/>
    <w:rsid w:val="007022B5"/>
    <w:rsid w:val="00715E32"/>
    <w:rsid w:val="007179C3"/>
    <w:rsid w:val="00723DD8"/>
    <w:rsid w:val="0072610D"/>
    <w:rsid w:val="0074763E"/>
    <w:rsid w:val="007820BD"/>
    <w:rsid w:val="007B3F4B"/>
    <w:rsid w:val="007B7347"/>
    <w:rsid w:val="007C0111"/>
    <w:rsid w:val="007D10F3"/>
    <w:rsid w:val="00802EDB"/>
    <w:rsid w:val="008112B8"/>
    <w:rsid w:val="00812310"/>
    <w:rsid w:val="008159B1"/>
    <w:rsid w:val="00833831"/>
    <w:rsid w:val="00846711"/>
    <w:rsid w:val="008515EC"/>
    <w:rsid w:val="00852805"/>
    <w:rsid w:val="00853463"/>
    <w:rsid w:val="00872816"/>
    <w:rsid w:val="0087472E"/>
    <w:rsid w:val="00885627"/>
    <w:rsid w:val="008C7CED"/>
    <w:rsid w:val="008C7D71"/>
    <w:rsid w:val="008D14FC"/>
    <w:rsid w:val="008F11CC"/>
    <w:rsid w:val="008F12EA"/>
    <w:rsid w:val="008F4710"/>
    <w:rsid w:val="008F4F14"/>
    <w:rsid w:val="00915B3A"/>
    <w:rsid w:val="00923088"/>
    <w:rsid w:val="00974AFA"/>
    <w:rsid w:val="009817B7"/>
    <w:rsid w:val="0098517F"/>
    <w:rsid w:val="009908FF"/>
    <w:rsid w:val="00995505"/>
    <w:rsid w:val="009D4343"/>
    <w:rsid w:val="00A01790"/>
    <w:rsid w:val="00A03C71"/>
    <w:rsid w:val="00A5368F"/>
    <w:rsid w:val="00A65101"/>
    <w:rsid w:val="00A87CDA"/>
    <w:rsid w:val="00A93207"/>
    <w:rsid w:val="00AA16B2"/>
    <w:rsid w:val="00AB7300"/>
    <w:rsid w:val="00AE49B4"/>
    <w:rsid w:val="00B10282"/>
    <w:rsid w:val="00B14902"/>
    <w:rsid w:val="00B25C5D"/>
    <w:rsid w:val="00B403BF"/>
    <w:rsid w:val="00B4289F"/>
    <w:rsid w:val="00B608D9"/>
    <w:rsid w:val="00B6698A"/>
    <w:rsid w:val="00BA4055"/>
    <w:rsid w:val="00BA7FB6"/>
    <w:rsid w:val="00BB6887"/>
    <w:rsid w:val="00BC6E67"/>
    <w:rsid w:val="00BD1A76"/>
    <w:rsid w:val="00BE2FC2"/>
    <w:rsid w:val="00BE7C19"/>
    <w:rsid w:val="00C032FB"/>
    <w:rsid w:val="00C038E9"/>
    <w:rsid w:val="00C114FE"/>
    <w:rsid w:val="00C133B1"/>
    <w:rsid w:val="00C20BFE"/>
    <w:rsid w:val="00C21C40"/>
    <w:rsid w:val="00C30274"/>
    <w:rsid w:val="00C8606F"/>
    <w:rsid w:val="00CC1778"/>
    <w:rsid w:val="00CD4441"/>
    <w:rsid w:val="00CE575B"/>
    <w:rsid w:val="00CF3DE8"/>
    <w:rsid w:val="00CF41B1"/>
    <w:rsid w:val="00D00FBD"/>
    <w:rsid w:val="00D0493F"/>
    <w:rsid w:val="00D15984"/>
    <w:rsid w:val="00D17F45"/>
    <w:rsid w:val="00D3531E"/>
    <w:rsid w:val="00D40670"/>
    <w:rsid w:val="00D5582E"/>
    <w:rsid w:val="00D56F91"/>
    <w:rsid w:val="00D60785"/>
    <w:rsid w:val="00D62237"/>
    <w:rsid w:val="00D8671C"/>
    <w:rsid w:val="00D950DD"/>
    <w:rsid w:val="00DA3E45"/>
    <w:rsid w:val="00DA57C3"/>
    <w:rsid w:val="00DC1995"/>
    <w:rsid w:val="00DC3855"/>
    <w:rsid w:val="00DC441A"/>
    <w:rsid w:val="00DD05A4"/>
    <w:rsid w:val="00DD7A10"/>
    <w:rsid w:val="00DE1F24"/>
    <w:rsid w:val="00DE25BF"/>
    <w:rsid w:val="00DE7E95"/>
    <w:rsid w:val="00E16C90"/>
    <w:rsid w:val="00E173F4"/>
    <w:rsid w:val="00E242A8"/>
    <w:rsid w:val="00E274B8"/>
    <w:rsid w:val="00E32FC3"/>
    <w:rsid w:val="00E51DFB"/>
    <w:rsid w:val="00E72707"/>
    <w:rsid w:val="00E76E9D"/>
    <w:rsid w:val="00EB385D"/>
    <w:rsid w:val="00ED7D1E"/>
    <w:rsid w:val="00EE1E65"/>
    <w:rsid w:val="00EF157F"/>
    <w:rsid w:val="00F0586E"/>
    <w:rsid w:val="00F12C13"/>
    <w:rsid w:val="00F36665"/>
    <w:rsid w:val="00F43932"/>
    <w:rsid w:val="00F43E64"/>
    <w:rsid w:val="00F81588"/>
    <w:rsid w:val="00F93F79"/>
    <w:rsid w:val="00FC0B1E"/>
    <w:rsid w:val="00FC1B01"/>
    <w:rsid w:val="00FC4811"/>
    <w:rsid w:val="00FC6B42"/>
    <w:rsid w:val="00FD6A75"/>
    <w:rsid w:val="00FF51CF"/>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F8F71"/>
  <w15:docId w15:val="{0D54BF68-306F-4643-9E13-8ADB3196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EndnoteText">
    <w:name w:val="endnote text"/>
    <w:basedOn w:val="Normal"/>
    <w:link w:val="EndnoteTextChar"/>
    <w:rsid w:val="00DC1995"/>
    <w:rPr>
      <w:sz w:val="20"/>
    </w:rPr>
  </w:style>
  <w:style w:type="character" w:customStyle="1" w:styleId="EndnoteTextChar">
    <w:name w:val="Endnote Text Char"/>
    <w:basedOn w:val="DefaultParagraphFont"/>
    <w:link w:val="EndnoteText"/>
    <w:rsid w:val="00DC1995"/>
  </w:style>
  <w:style w:type="character" w:styleId="EndnoteReference">
    <w:name w:val="endnote reference"/>
    <w:basedOn w:val="DefaultParagraphFont"/>
    <w:rsid w:val="00DC1995"/>
    <w:rPr>
      <w:vertAlign w:val="superscript"/>
    </w:rPr>
  </w:style>
  <w:style w:type="paragraph" w:styleId="ListParagraph">
    <w:name w:val="List Paragraph"/>
    <w:basedOn w:val="Normal"/>
    <w:uiPriority w:val="34"/>
    <w:qFormat/>
    <w:rsid w:val="00DC1995"/>
    <w:pPr>
      <w:ind w:left="720"/>
      <w:contextualSpacing/>
    </w:pPr>
  </w:style>
  <w:style w:type="paragraph" w:styleId="NormalWeb">
    <w:name w:val="Normal (Web)"/>
    <w:basedOn w:val="Normal"/>
    <w:uiPriority w:val="99"/>
    <w:unhideWhenUsed/>
    <w:rsid w:val="00A03C71"/>
    <w:pPr>
      <w:spacing w:before="100" w:beforeAutospacing="1" w:after="100" w:afterAutospacing="1"/>
    </w:pPr>
    <w:rPr>
      <w:szCs w:val="24"/>
    </w:rPr>
  </w:style>
  <w:style w:type="paragraph" w:styleId="NoSpacing">
    <w:name w:val="No Spacing"/>
    <w:uiPriority w:val="1"/>
    <w:qFormat/>
    <w:rsid w:val="002C3CC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H.BHCSQ@MassMail.State.MA.US" TargetMode="External"/><Relationship Id="rId4" Type="http://schemas.openxmlformats.org/officeDocument/2006/relationships/settings" Target="settings.xml"/><Relationship Id="rId9" Type="http://schemas.openxmlformats.org/officeDocument/2006/relationships/hyperlink" Target="https://www.mass.gov/info-details/frequently-asked-questions-about-beds-out-of-service-at-open-long-term-care-fac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3C49-2AF2-4364-8BDF-88BE4D6D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Circular Letter: DHCQ 19-1-685</vt:lpstr>
    </vt:vector>
  </TitlesOfParts>
  <Company>Commonwealth of Massachusetts</Company>
  <LinksUpToDate>false</LinksUpToDate>
  <CharactersWithSpaces>6271</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19-1-685</dc:title>
  <dc:creator>DPH</dc:creator>
  <cp:lastModifiedBy>Callahan, Marita (DPH)</cp:lastModifiedBy>
  <cp:revision>2</cp:revision>
  <cp:lastPrinted>2020-02-19T15:58:00Z</cp:lastPrinted>
  <dcterms:created xsi:type="dcterms:W3CDTF">2020-11-06T18:00:00Z</dcterms:created>
  <dcterms:modified xsi:type="dcterms:W3CDTF">2020-11-06T18:00:00Z</dcterms:modified>
</cp:coreProperties>
</file>