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38" w:rsidRDefault="00B75D38" w:rsidP="00B75D38">
      <w:pPr>
        <w:spacing w:after="0"/>
      </w:pPr>
      <w:bookmarkStart w:id="0" w:name="_GoBack"/>
      <w:bookmarkEnd w:id="0"/>
      <w:r>
        <w:t>COMMONWEALTH OF MASSACHUSETTS</w:t>
      </w:r>
    </w:p>
    <w:p w:rsidR="00B75D38" w:rsidRDefault="00B75D38" w:rsidP="00B75D38">
      <w:pPr>
        <w:spacing w:after="0"/>
      </w:pPr>
    </w:p>
    <w:p w:rsidR="00B75D38" w:rsidRDefault="00B75D38" w:rsidP="00B75D38">
      <w:pPr>
        <w:spacing w:after="0"/>
        <w:jc w:val="left"/>
        <w:rPr>
          <w:b/>
        </w:rPr>
      </w:pPr>
      <w:r>
        <w:t>Suffolk, ss</w:t>
      </w:r>
      <w:r>
        <w:tab/>
      </w:r>
      <w:r>
        <w:tab/>
      </w:r>
      <w:r>
        <w:tab/>
      </w:r>
      <w:r>
        <w:tab/>
      </w:r>
      <w:r>
        <w:tab/>
      </w:r>
      <w:r w:rsidRPr="006C0AC4">
        <w:rPr>
          <w:b/>
        </w:rPr>
        <w:t>Division of Administrative Law Appeals</w:t>
      </w:r>
    </w:p>
    <w:p w:rsidR="00B75D38" w:rsidRDefault="00B75D38" w:rsidP="00B75D38">
      <w:pPr>
        <w:spacing w:after="0"/>
        <w:jc w:val="left"/>
        <w:rPr>
          <w:b/>
        </w:rPr>
      </w:pPr>
    </w:p>
    <w:p w:rsidR="00B75D38" w:rsidRDefault="00F46155" w:rsidP="00B75D38">
      <w:pPr>
        <w:spacing w:after="0"/>
        <w:jc w:val="left"/>
      </w:pPr>
      <w:r>
        <w:rPr>
          <w:b/>
        </w:rPr>
        <w:t>Nancy Perrault</w:t>
      </w:r>
      <w:r w:rsidR="00B75D38">
        <w:rPr>
          <w:b/>
        </w:rPr>
        <w:t>,</w:t>
      </w:r>
      <w:r w:rsidR="00B75D38" w:rsidRPr="005426B7">
        <w:t xml:space="preserve"> </w:t>
      </w:r>
      <w:r w:rsidR="00B75D38">
        <w:tab/>
      </w:r>
      <w:r w:rsidR="00B75D38">
        <w:tab/>
      </w:r>
      <w:r w:rsidR="00B75D38">
        <w:tab/>
      </w:r>
      <w:r w:rsidR="00B75D38">
        <w:tab/>
      </w:r>
      <w:r w:rsidR="00B75D38">
        <w:tab/>
      </w:r>
    </w:p>
    <w:p w:rsidR="00B75D38" w:rsidRDefault="00B75D38" w:rsidP="00B75D38">
      <w:pPr>
        <w:spacing w:after="0"/>
        <w:ind w:firstLine="720"/>
        <w:jc w:val="left"/>
        <w:rPr>
          <w:b/>
        </w:rPr>
      </w:pPr>
      <w:r>
        <w:t>Petitioner</w:t>
      </w:r>
    </w:p>
    <w:p w:rsidR="00B75D38" w:rsidRDefault="00B75D38" w:rsidP="00B75D38">
      <w:pPr>
        <w:spacing w:after="0"/>
        <w:jc w:val="left"/>
      </w:pPr>
      <w:r>
        <w:rPr>
          <w:b/>
        </w:rPr>
        <w:tab/>
      </w:r>
      <w:r>
        <w:tab/>
      </w:r>
      <w:r>
        <w:tab/>
      </w:r>
      <w:r>
        <w:tab/>
      </w:r>
      <w:r>
        <w:tab/>
      </w:r>
    </w:p>
    <w:p w:rsidR="00B75D38" w:rsidRDefault="00B75D38" w:rsidP="00B75D38">
      <w:pPr>
        <w:spacing w:after="0"/>
        <w:jc w:val="left"/>
      </w:pPr>
      <w:r>
        <w:t>v.</w:t>
      </w:r>
      <w:r>
        <w:tab/>
      </w:r>
      <w:r>
        <w:tab/>
      </w:r>
      <w:r>
        <w:tab/>
      </w:r>
      <w:r>
        <w:tab/>
      </w:r>
      <w:r>
        <w:tab/>
      </w:r>
      <w:r>
        <w:tab/>
        <w:t xml:space="preserve">Docket Nos. </w:t>
      </w:r>
      <w:r>
        <w:tab/>
        <w:t>CR-</w:t>
      </w:r>
      <w:r w:rsidR="0094357A">
        <w:t>15-32</w:t>
      </w:r>
    </w:p>
    <w:p w:rsidR="00B75D38" w:rsidRDefault="00B75D38" w:rsidP="00B75D38">
      <w:pPr>
        <w:spacing w:after="0"/>
        <w:jc w:val="left"/>
      </w:pPr>
      <w:r>
        <w:tab/>
      </w:r>
      <w:r>
        <w:tab/>
      </w:r>
      <w:r>
        <w:tab/>
      </w:r>
      <w:r>
        <w:tab/>
      </w:r>
      <w:r>
        <w:tab/>
      </w:r>
      <w:r>
        <w:tab/>
        <w:t>Date Issued:</w:t>
      </w:r>
      <w:r>
        <w:tab/>
      </w:r>
      <w:r w:rsidR="0094357A">
        <w:t>Ju</w:t>
      </w:r>
      <w:r w:rsidR="005E78FF">
        <w:t>l</w:t>
      </w:r>
      <w:r w:rsidR="00E37671">
        <w:t>.</w:t>
      </w:r>
      <w:r w:rsidR="00F70E6C">
        <w:t xml:space="preserve"> 2</w:t>
      </w:r>
      <w:r w:rsidR="005E78FF">
        <w:t>1</w:t>
      </w:r>
      <w:r>
        <w:t>, 201</w:t>
      </w:r>
      <w:r w:rsidR="0094357A">
        <w:t>7</w:t>
      </w:r>
      <w:r>
        <w:tab/>
      </w:r>
      <w:r>
        <w:tab/>
      </w:r>
    </w:p>
    <w:p w:rsidR="00B75D38" w:rsidRDefault="00B75D38" w:rsidP="00B75D38">
      <w:pPr>
        <w:spacing w:after="0"/>
        <w:jc w:val="left"/>
        <w:rPr>
          <w:b/>
        </w:rPr>
      </w:pPr>
      <w:r>
        <w:rPr>
          <w:b/>
        </w:rPr>
        <w:t xml:space="preserve">Massachusetts Teachers’ </w:t>
      </w:r>
    </w:p>
    <w:p w:rsidR="00B75D38" w:rsidRDefault="00B75D38" w:rsidP="00B75D38">
      <w:pPr>
        <w:spacing w:after="0"/>
        <w:jc w:val="left"/>
        <w:rPr>
          <w:b/>
        </w:rPr>
      </w:pPr>
      <w:r>
        <w:rPr>
          <w:b/>
        </w:rPr>
        <w:t>Retirement System,</w:t>
      </w:r>
    </w:p>
    <w:p w:rsidR="00B75D38" w:rsidRDefault="00B75D38" w:rsidP="00B75D38">
      <w:pPr>
        <w:spacing w:after="0"/>
        <w:jc w:val="left"/>
      </w:pPr>
      <w:r>
        <w:rPr>
          <w:b/>
        </w:rPr>
        <w:tab/>
      </w:r>
      <w:r>
        <w:t>Respondent</w:t>
      </w:r>
    </w:p>
    <w:p w:rsidR="00B75D38" w:rsidRDefault="00B75D38" w:rsidP="00B75D38">
      <w:pPr>
        <w:spacing w:after="0"/>
        <w:jc w:val="left"/>
      </w:pPr>
    </w:p>
    <w:p w:rsidR="00B75D38" w:rsidRPr="006C0AC4" w:rsidRDefault="00B75D38" w:rsidP="00B75D38">
      <w:pPr>
        <w:spacing w:after="0"/>
        <w:jc w:val="left"/>
        <w:rPr>
          <w:b/>
        </w:rPr>
      </w:pPr>
      <w:r w:rsidRPr="006C0AC4">
        <w:rPr>
          <w:b/>
        </w:rPr>
        <w:t>Appearance for Petitioner:</w:t>
      </w:r>
    </w:p>
    <w:p w:rsidR="00B75D38" w:rsidRDefault="00B75D38" w:rsidP="00B75D38">
      <w:pPr>
        <w:spacing w:after="0"/>
        <w:jc w:val="left"/>
      </w:pPr>
    </w:p>
    <w:p w:rsidR="00B75D38" w:rsidRDefault="00B75D38" w:rsidP="00B75D38">
      <w:pPr>
        <w:spacing w:after="0"/>
        <w:jc w:val="left"/>
      </w:pPr>
      <w:r>
        <w:tab/>
      </w:r>
      <w:r w:rsidR="0094357A">
        <w:t>Daniel Fogarty</w:t>
      </w:r>
      <w:r>
        <w:t>, Esq.</w:t>
      </w:r>
    </w:p>
    <w:p w:rsidR="00B75D38" w:rsidRPr="00523838" w:rsidRDefault="00B75D38" w:rsidP="00B75D38">
      <w:pPr>
        <w:spacing w:after="0"/>
        <w:jc w:val="left"/>
      </w:pPr>
      <w:r>
        <w:tab/>
        <w:t>Sandulli Grace, P.C.</w:t>
      </w:r>
    </w:p>
    <w:p w:rsidR="00B75D38" w:rsidRDefault="00B75D38" w:rsidP="00B75D38">
      <w:pPr>
        <w:spacing w:after="0"/>
        <w:jc w:val="left"/>
      </w:pPr>
      <w:r>
        <w:tab/>
        <w:t>44 School Street, Suite 1100</w:t>
      </w:r>
    </w:p>
    <w:p w:rsidR="00B75D38" w:rsidRDefault="00B75D38" w:rsidP="00B75D38">
      <w:pPr>
        <w:spacing w:after="0"/>
        <w:jc w:val="left"/>
      </w:pPr>
      <w:r>
        <w:tab/>
        <w:t>Boston, MA 02108</w:t>
      </w:r>
    </w:p>
    <w:p w:rsidR="00B75D38" w:rsidRDefault="00B75D38" w:rsidP="00B75D38">
      <w:pPr>
        <w:spacing w:after="0"/>
        <w:jc w:val="left"/>
      </w:pPr>
    </w:p>
    <w:p w:rsidR="00B75D38" w:rsidRPr="006C0AC4" w:rsidRDefault="00B75D38" w:rsidP="00B75D38">
      <w:pPr>
        <w:spacing w:after="0"/>
        <w:jc w:val="left"/>
        <w:rPr>
          <w:b/>
        </w:rPr>
      </w:pPr>
      <w:r w:rsidRPr="006C0AC4">
        <w:rPr>
          <w:b/>
        </w:rPr>
        <w:t>Appearance for Respondent:</w:t>
      </w:r>
    </w:p>
    <w:p w:rsidR="00B75D38" w:rsidRPr="006C0AC4" w:rsidRDefault="00B75D38" w:rsidP="00B75D38">
      <w:pPr>
        <w:spacing w:after="0"/>
        <w:jc w:val="left"/>
      </w:pPr>
    </w:p>
    <w:p w:rsidR="00B75D38" w:rsidRDefault="00B75D38" w:rsidP="00B75D38">
      <w:pPr>
        <w:spacing w:after="0"/>
        <w:jc w:val="left"/>
      </w:pPr>
      <w:r>
        <w:tab/>
        <w:t>James O’Leary, Esq.</w:t>
      </w:r>
    </w:p>
    <w:p w:rsidR="006F4822" w:rsidRDefault="00B75D38" w:rsidP="00B75D38">
      <w:pPr>
        <w:spacing w:after="0"/>
        <w:jc w:val="left"/>
      </w:pPr>
      <w:r>
        <w:tab/>
      </w:r>
      <w:r w:rsidR="006F4822" w:rsidRPr="006F4822">
        <w:t>500 Rutherford Ave</w:t>
      </w:r>
      <w:r w:rsidR="006F4822">
        <w:t>.,</w:t>
      </w:r>
      <w:r w:rsidR="006F4822" w:rsidRPr="006F4822">
        <w:t xml:space="preserve"> #210</w:t>
      </w:r>
    </w:p>
    <w:p w:rsidR="00B75D38" w:rsidRDefault="006F4822" w:rsidP="006F4822">
      <w:pPr>
        <w:spacing w:after="0"/>
        <w:ind w:firstLine="720"/>
        <w:jc w:val="left"/>
      </w:pPr>
      <w:r w:rsidRPr="006F4822">
        <w:t>Charlestown, MA 02129</w:t>
      </w:r>
    </w:p>
    <w:p w:rsidR="00B75D38" w:rsidRDefault="00B75D38" w:rsidP="00B75D38">
      <w:pPr>
        <w:spacing w:after="0"/>
        <w:jc w:val="left"/>
      </w:pPr>
    </w:p>
    <w:p w:rsidR="00B75D38" w:rsidRPr="006C0AC4" w:rsidRDefault="00B75D38" w:rsidP="00B75D38">
      <w:pPr>
        <w:spacing w:after="0"/>
        <w:jc w:val="left"/>
        <w:rPr>
          <w:b/>
        </w:rPr>
      </w:pPr>
      <w:r w:rsidRPr="006C0AC4">
        <w:rPr>
          <w:b/>
        </w:rPr>
        <w:t>Administrative Magistrate:</w:t>
      </w:r>
    </w:p>
    <w:p w:rsidR="00B75D38" w:rsidRPr="006C0AC4" w:rsidRDefault="00B75D38" w:rsidP="00B75D38">
      <w:pPr>
        <w:spacing w:after="0"/>
        <w:jc w:val="left"/>
        <w:rPr>
          <w:b/>
        </w:rPr>
      </w:pPr>
      <w:r w:rsidRPr="006C0AC4">
        <w:rPr>
          <w:b/>
        </w:rPr>
        <w:tab/>
      </w:r>
    </w:p>
    <w:p w:rsidR="00B75D38" w:rsidRPr="00D12D71" w:rsidRDefault="00B75D38" w:rsidP="00D12D71">
      <w:pPr>
        <w:spacing w:after="0"/>
        <w:jc w:val="left"/>
        <w:rPr>
          <w:b/>
        </w:rPr>
      </w:pPr>
      <w:r w:rsidRPr="006C0AC4">
        <w:rPr>
          <w:b/>
        </w:rPr>
        <w:tab/>
        <w:t>Kenneth J. Forton, Esq.</w:t>
      </w:r>
    </w:p>
    <w:p w:rsidR="00B75D38" w:rsidRDefault="00B75D38" w:rsidP="00B75D38">
      <w:pPr>
        <w:spacing w:after="0"/>
        <w:rPr>
          <w:b/>
          <w:u w:val="single"/>
        </w:rPr>
      </w:pPr>
    </w:p>
    <w:p w:rsidR="00B75D38" w:rsidRPr="00DC2FC7" w:rsidRDefault="00B75D38" w:rsidP="00B75D38">
      <w:pPr>
        <w:spacing w:after="0" w:line="480" w:lineRule="auto"/>
      </w:pPr>
      <w:r w:rsidRPr="00DC2FC7">
        <w:rPr>
          <w:b/>
        </w:rPr>
        <w:t>SUMMARY</w:t>
      </w:r>
    </w:p>
    <w:p w:rsidR="00B75D38" w:rsidRDefault="00B75D38" w:rsidP="00B75D38">
      <w:pPr>
        <w:spacing w:after="0"/>
        <w:jc w:val="left"/>
      </w:pPr>
      <w:r w:rsidRPr="00DC2FC7">
        <w:tab/>
        <w:t xml:space="preserve">Petitioner is not entitled to the special buyback interest rate when purchasing her prior service because she did not make payment by the deadline </w:t>
      </w:r>
      <w:r w:rsidR="009E5C05" w:rsidRPr="00DC2FC7">
        <w:t xml:space="preserve">stated </w:t>
      </w:r>
      <w:r w:rsidR="00B943D3">
        <w:t>i</w:t>
      </w:r>
      <w:r w:rsidR="009E5C05" w:rsidRPr="00DC2FC7">
        <w:t xml:space="preserve">n the </w:t>
      </w:r>
      <w:r w:rsidR="000A422E">
        <w:t>MTRS</w:t>
      </w:r>
      <w:r w:rsidR="00B943D3">
        <w:t xml:space="preserve"> </w:t>
      </w:r>
      <w:r w:rsidR="009E5C05" w:rsidRPr="00DC2FC7">
        <w:t>invoice</w:t>
      </w:r>
      <w:r w:rsidR="0008555A">
        <w:t>, and the applicable interest rate had since been increased by the Legislature to the twice-as-high actuarial assumed rate</w:t>
      </w:r>
      <w:r w:rsidRPr="00DC2FC7">
        <w:t xml:space="preserve">. </w:t>
      </w:r>
      <w:r w:rsidR="008423B1">
        <w:t xml:space="preserve"> </w:t>
      </w:r>
      <w:r w:rsidR="0030198A" w:rsidRPr="0030198A">
        <w:rPr>
          <w:i/>
        </w:rPr>
        <w:t>See</w:t>
      </w:r>
      <w:r w:rsidR="0030198A">
        <w:t xml:space="preserve"> G.L. c. 32, § 3(8)(b); Acts 2011, c. 176, § 9.  </w:t>
      </w:r>
      <w:r w:rsidRPr="00DC2FC7">
        <w:t>MTRS owed Petitioner no duty to confirm receipt o</w:t>
      </w:r>
      <w:r w:rsidR="00DC2FC7" w:rsidRPr="00DC2FC7">
        <w:t>f the invoices that it sent her.</w:t>
      </w:r>
    </w:p>
    <w:p w:rsidR="00B75D38" w:rsidRDefault="00B75D38" w:rsidP="00B75D38">
      <w:pPr>
        <w:spacing w:after="0"/>
        <w:jc w:val="left"/>
      </w:pPr>
    </w:p>
    <w:p w:rsidR="00B75D38" w:rsidRPr="00820F51" w:rsidRDefault="00B75D38" w:rsidP="00B75D38">
      <w:pPr>
        <w:spacing w:line="276" w:lineRule="auto"/>
        <w:rPr>
          <w:b/>
        </w:rPr>
      </w:pPr>
      <w:r w:rsidRPr="00820F51">
        <w:rPr>
          <w:b/>
        </w:rPr>
        <w:t>DECISION</w:t>
      </w:r>
    </w:p>
    <w:p w:rsidR="00B75D38" w:rsidRDefault="00B75D38" w:rsidP="00B75D38">
      <w:pPr>
        <w:spacing w:after="0" w:line="480" w:lineRule="auto"/>
        <w:jc w:val="left"/>
      </w:pPr>
      <w:r w:rsidRPr="00820F51">
        <w:tab/>
        <w:t xml:space="preserve">On </w:t>
      </w:r>
      <w:r w:rsidR="007B50C4" w:rsidRPr="00820F51">
        <w:t>April 13, 2016</w:t>
      </w:r>
      <w:r w:rsidRPr="00820F51">
        <w:t xml:space="preserve">, the Petitioner, </w:t>
      </w:r>
      <w:r w:rsidR="007B50C4" w:rsidRPr="00820F51">
        <w:t>Nancy Perrault</w:t>
      </w:r>
      <w:r w:rsidRPr="00820F51">
        <w:t>, timely appealed under G.L. c. 32, § 16(4) the decision of the Respondent, Massachuset</w:t>
      </w:r>
      <w:r w:rsidR="00E37671">
        <w:t>ts Teachers’ Retirement System</w:t>
      </w:r>
      <w:r w:rsidRPr="00820F51">
        <w:t>, denying the Petitioner’s request to ad</w:t>
      </w:r>
      <w:r w:rsidR="008D5F79">
        <w:t>just her creditable service buy</w:t>
      </w:r>
      <w:r w:rsidRPr="00820F51">
        <w:t xml:space="preserve">back interest rate.  On </w:t>
      </w:r>
      <w:r w:rsidR="00820F51" w:rsidRPr="00820F51">
        <w:t>November 23, 2015</w:t>
      </w:r>
      <w:r w:rsidRPr="00820F51">
        <w:t xml:space="preserve">, </w:t>
      </w:r>
      <w:r w:rsidR="0030699E">
        <w:t xml:space="preserve">DALA ordered the </w:t>
      </w:r>
      <w:r w:rsidRPr="00820F51">
        <w:t>part</w:t>
      </w:r>
      <w:r w:rsidR="0030699E">
        <w:t>ies</w:t>
      </w:r>
      <w:r w:rsidRPr="00820F51">
        <w:t xml:space="preserve"> to submit evidence in support of </w:t>
      </w:r>
      <w:r w:rsidR="0030699E">
        <w:t xml:space="preserve">their </w:t>
      </w:r>
      <w:r w:rsidRPr="00820F51">
        <w:lastRenderedPageBreak/>
        <w:t>position</w:t>
      </w:r>
      <w:r w:rsidR="0030699E">
        <w:t>s</w:t>
      </w:r>
      <w:r w:rsidRPr="00820F51">
        <w:t>.  Petitioner filed her pre-hearing memorandum</w:t>
      </w:r>
      <w:r w:rsidR="00261A62">
        <w:t>,</w:t>
      </w:r>
      <w:r w:rsidRPr="00820F51">
        <w:t xml:space="preserve"> </w:t>
      </w:r>
      <w:r w:rsidR="00261A62" w:rsidRPr="00820F51">
        <w:t>which I marked “A” for identification</w:t>
      </w:r>
      <w:r w:rsidR="00261A62">
        <w:t>,</w:t>
      </w:r>
      <w:r w:rsidR="00261A62" w:rsidRPr="00820F51">
        <w:t xml:space="preserve"> </w:t>
      </w:r>
      <w:r w:rsidR="00820F51" w:rsidRPr="00820F51">
        <w:t xml:space="preserve">and ten proposed exhibits </w:t>
      </w:r>
      <w:r w:rsidRPr="00820F51">
        <w:t xml:space="preserve">on </w:t>
      </w:r>
      <w:r w:rsidR="00820F51" w:rsidRPr="00820F51">
        <w:t>December 23, 2015</w:t>
      </w:r>
      <w:r w:rsidRPr="00820F51">
        <w:t xml:space="preserve">. </w:t>
      </w:r>
      <w:r w:rsidR="0054207F">
        <w:t xml:space="preserve"> </w:t>
      </w:r>
      <w:r w:rsidRPr="00820F51">
        <w:t xml:space="preserve">On </w:t>
      </w:r>
      <w:r w:rsidR="00820F51" w:rsidRPr="00820F51">
        <w:t>March 16, 2016</w:t>
      </w:r>
      <w:r w:rsidRPr="00820F51">
        <w:t>, the Respondent submitted a response to the Petitioner’s pre-hearing memorandum</w:t>
      </w:r>
      <w:r w:rsidR="00C41ED4">
        <w:t>, which I marked “B” for identification,</w:t>
      </w:r>
      <w:r w:rsidR="00820F51" w:rsidRPr="00820F51">
        <w:t xml:space="preserve"> and five proposed exhibits</w:t>
      </w:r>
      <w:r w:rsidRPr="00820F51">
        <w:t>.</w:t>
      </w:r>
      <w:r>
        <w:t xml:space="preserve">  </w:t>
      </w:r>
    </w:p>
    <w:p w:rsidR="00FB6896" w:rsidRPr="00C41ED4" w:rsidRDefault="004E3174" w:rsidP="00C41ED4">
      <w:pPr>
        <w:spacing w:after="0" w:line="480" w:lineRule="auto"/>
        <w:ind w:firstLine="720"/>
        <w:jc w:val="left"/>
        <w:rPr>
          <w:rFonts w:eastAsia="Times New Roman" w:cs="Times New Roman"/>
          <w:szCs w:val="24"/>
        </w:rPr>
      </w:pPr>
      <w:r w:rsidRPr="004E3174">
        <w:rPr>
          <w:rFonts w:eastAsia="Calibri" w:cs="Times New Roman"/>
          <w:szCs w:val="24"/>
        </w:rPr>
        <w:t xml:space="preserve">I held an evidentiary hearing on </w:t>
      </w:r>
      <w:r>
        <w:rPr>
          <w:rFonts w:eastAsia="Calibri" w:cs="Times New Roman"/>
          <w:szCs w:val="24"/>
        </w:rPr>
        <w:t>April 13, 2016</w:t>
      </w:r>
      <w:r w:rsidRPr="004E3174">
        <w:rPr>
          <w:rFonts w:eastAsia="Calibri" w:cs="Times New Roman"/>
          <w:szCs w:val="24"/>
        </w:rPr>
        <w:t xml:space="preserve">, </w:t>
      </w:r>
      <w:r w:rsidRPr="004E3174">
        <w:rPr>
          <w:rFonts w:eastAsia="Times New Roman" w:cs="Times New Roman"/>
          <w:szCs w:val="24"/>
        </w:rPr>
        <w:t xml:space="preserve">at DALA, One Congress Street, Boston, Massachusetts; I digitally recorded it.  I admitted </w:t>
      </w:r>
      <w:r>
        <w:rPr>
          <w:rFonts w:eastAsia="Times New Roman" w:cs="Times New Roman"/>
          <w:szCs w:val="24"/>
        </w:rPr>
        <w:t>17</w:t>
      </w:r>
      <w:r w:rsidRPr="004E3174">
        <w:rPr>
          <w:rFonts w:eastAsia="Times New Roman" w:cs="Times New Roman"/>
          <w:szCs w:val="24"/>
        </w:rPr>
        <w:t xml:space="preserve"> documents into evidence.  (Exhibits 1-1</w:t>
      </w:r>
      <w:r>
        <w:rPr>
          <w:rFonts w:eastAsia="Times New Roman" w:cs="Times New Roman"/>
          <w:szCs w:val="24"/>
        </w:rPr>
        <w:t>7</w:t>
      </w:r>
      <w:r w:rsidRPr="004E3174">
        <w:rPr>
          <w:rFonts w:eastAsia="Times New Roman" w:cs="Times New Roman"/>
          <w:szCs w:val="24"/>
        </w:rPr>
        <w:t>.)  The Petitioner testified</w:t>
      </w:r>
      <w:r>
        <w:rPr>
          <w:rFonts w:eastAsia="Times New Roman" w:cs="Times New Roman"/>
          <w:szCs w:val="24"/>
        </w:rPr>
        <w:t>, as did her husband Alan Perrault</w:t>
      </w:r>
      <w:r w:rsidRPr="004E3174">
        <w:rPr>
          <w:rFonts w:eastAsia="Times New Roman" w:cs="Times New Roman"/>
          <w:szCs w:val="24"/>
        </w:rPr>
        <w:t xml:space="preserve">.  The Board called no witnesses.  </w:t>
      </w:r>
      <w:r w:rsidR="00C41ED4">
        <w:rPr>
          <w:rFonts w:eastAsia="Times New Roman" w:cs="Times New Roman"/>
          <w:szCs w:val="24"/>
        </w:rPr>
        <w:t>The administrative record closed upon receipt of the parties’ post-hearing briefs, which I have marked “C” and “D” for identification.</w:t>
      </w:r>
    </w:p>
    <w:p w:rsidR="00B75D38" w:rsidRPr="00F97332" w:rsidRDefault="00B75D38" w:rsidP="00B75D38">
      <w:pPr>
        <w:spacing w:after="0"/>
        <w:rPr>
          <w:b/>
          <w:u w:val="single"/>
        </w:rPr>
      </w:pPr>
      <w:r w:rsidRPr="00F97332">
        <w:rPr>
          <w:b/>
          <w:u w:val="single"/>
        </w:rPr>
        <w:t>FINDINGS OF FACT</w:t>
      </w:r>
    </w:p>
    <w:p w:rsidR="00B75D38" w:rsidRDefault="00B75D38" w:rsidP="00B75D38">
      <w:pPr>
        <w:spacing w:after="0"/>
      </w:pPr>
    </w:p>
    <w:p w:rsidR="00B75D38" w:rsidRPr="00B858A4" w:rsidRDefault="004F79B4" w:rsidP="00B75D38">
      <w:pPr>
        <w:spacing w:after="0" w:line="480" w:lineRule="auto"/>
        <w:ind w:firstLine="720"/>
        <w:jc w:val="left"/>
      </w:pPr>
      <w:r>
        <w:t>Based on the</w:t>
      </w:r>
      <w:r w:rsidR="00B75D38" w:rsidRPr="00B858A4">
        <w:t xml:space="preserve"> evidence presented by the parties, I make the following findings of fact:</w:t>
      </w:r>
    </w:p>
    <w:p w:rsidR="00226761" w:rsidRDefault="00FF528D" w:rsidP="00B75D38">
      <w:pPr>
        <w:pStyle w:val="ListParagraph"/>
        <w:numPr>
          <w:ilvl w:val="0"/>
          <w:numId w:val="1"/>
        </w:numPr>
        <w:spacing w:after="0" w:line="480" w:lineRule="auto"/>
        <w:ind w:left="0" w:firstLine="720"/>
        <w:jc w:val="left"/>
      </w:pPr>
      <w:r w:rsidRPr="008F01BA">
        <w:t xml:space="preserve">Nancy Perrault </w:t>
      </w:r>
      <w:r w:rsidR="00226761">
        <w:t>is a first grade teacher in the Town of Methuen.  (N. Perrault testimony.)</w:t>
      </w:r>
    </w:p>
    <w:p w:rsidR="00B75D38" w:rsidRPr="00364C3E" w:rsidRDefault="005B3528" w:rsidP="00B75D38">
      <w:pPr>
        <w:pStyle w:val="ListParagraph"/>
        <w:numPr>
          <w:ilvl w:val="0"/>
          <w:numId w:val="1"/>
        </w:numPr>
        <w:spacing w:after="0" w:line="480" w:lineRule="auto"/>
        <w:ind w:left="0" w:firstLine="720"/>
        <w:jc w:val="left"/>
      </w:pPr>
      <w:r>
        <w:t>After she graduated college, i</w:t>
      </w:r>
      <w:r w:rsidR="00226761">
        <w:t xml:space="preserve">n 1977, 1978, and 1979, </w:t>
      </w:r>
      <w:r w:rsidR="00364C3E">
        <w:t>Ms. Perrault worked as a substitute teacher and as an instructional assistant in Methuen Public Schools</w:t>
      </w:r>
      <w:r w:rsidR="008D5F79">
        <w:rPr>
          <w:rFonts w:cs="Times New Roman"/>
          <w:szCs w:val="24"/>
        </w:rPr>
        <w:t xml:space="preserve">.  </w:t>
      </w:r>
      <w:r>
        <w:rPr>
          <w:rFonts w:cs="Times New Roman"/>
          <w:szCs w:val="24"/>
        </w:rPr>
        <w:t xml:space="preserve">She was not eligible for membership in MTRS or in her local retirement system during this period.  </w:t>
      </w:r>
      <w:r w:rsidR="008D5F79">
        <w:rPr>
          <w:rFonts w:cs="Times New Roman"/>
          <w:szCs w:val="24"/>
        </w:rPr>
        <w:t>(N. Perrault testimony</w:t>
      </w:r>
      <w:r w:rsidR="00D3065A">
        <w:rPr>
          <w:rFonts w:cs="Times New Roman"/>
          <w:szCs w:val="24"/>
        </w:rPr>
        <w:t xml:space="preserve">; </w:t>
      </w:r>
      <w:r w:rsidR="008D5F79">
        <w:t>Ex. 3</w:t>
      </w:r>
      <w:r w:rsidR="00323123" w:rsidRPr="008F01BA">
        <w:rPr>
          <w:rFonts w:cs="Times New Roman"/>
        </w:rPr>
        <w:t>.)</w:t>
      </w:r>
    </w:p>
    <w:p w:rsidR="00364C3E" w:rsidRPr="00364C3E" w:rsidRDefault="00364C3E" w:rsidP="00B75D38">
      <w:pPr>
        <w:pStyle w:val="ListParagraph"/>
        <w:numPr>
          <w:ilvl w:val="0"/>
          <w:numId w:val="1"/>
        </w:numPr>
        <w:spacing w:after="0" w:line="480" w:lineRule="auto"/>
        <w:ind w:left="0" w:firstLine="720"/>
        <w:jc w:val="left"/>
      </w:pPr>
      <w:r>
        <w:rPr>
          <w:rFonts w:cs="Times New Roman"/>
        </w:rPr>
        <w:t>After that, she taught at a parochial school, St. Augustine’s School</w:t>
      </w:r>
      <w:r w:rsidR="005B3528">
        <w:rPr>
          <w:rFonts w:cs="Times New Roman"/>
        </w:rPr>
        <w:t>,</w:t>
      </w:r>
      <w:r w:rsidR="005B3528" w:rsidRPr="005B3528">
        <w:rPr>
          <w:rFonts w:cs="Times New Roman"/>
        </w:rPr>
        <w:t xml:space="preserve"> </w:t>
      </w:r>
      <w:r w:rsidR="005B3528">
        <w:rPr>
          <w:rFonts w:cs="Times New Roman"/>
        </w:rPr>
        <w:t>in Lawrence for six and a half years</w:t>
      </w:r>
      <w:r>
        <w:rPr>
          <w:rFonts w:cs="Times New Roman"/>
        </w:rPr>
        <w:t>.  (N. Perrault testimony.)</w:t>
      </w:r>
    </w:p>
    <w:p w:rsidR="00364C3E" w:rsidRPr="00DA6344" w:rsidRDefault="00364C3E" w:rsidP="00B75D38">
      <w:pPr>
        <w:pStyle w:val="ListParagraph"/>
        <w:numPr>
          <w:ilvl w:val="0"/>
          <w:numId w:val="1"/>
        </w:numPr>
        <w:spacing w:after="0" w:line="480" w:lineRule="auto"/>
        <w:ind w:left="0" w:firstLine="720"/>
        <w:jc w:val="left"/>
      </w:pPr>
      <w:r>
        <w:rPr>
          <w:rFonts w:cs="Times New Roman"/>
        </w:rPr>
        <w:t xml:space="preserve">When she began teaching full-time in Methuen she became a member of MTRS. </w:t>
      </w:r>
      <w:r w:rsidR="005B3528">
        <w:rPr>
          <w:rFonts w:cs="Times New Roman"/>
        </w:rPr>
        <w:t xml:space="preserve"> (Stipulation.)</w:t>
      </w:r>
    </w:p>
    <w:p w:rsidR="00BC3B1B" w:rsidRPr="00DF360A" w:rsidRDefault="0082744A" w:rsidP="00BC3B1B">
      <w:pPr>
        <w:pStyle w:val="ListParagraph"/>
        <w:numPr>
          <w:ilvl w:val="0"/>
          <w:numId w:val="1"/>
        </w:numPr>
        <w:spacing w:after="0" w:line="480" w:lineRule="auto"/>
        <w:ind w:left="0" w:firstLine="720"/>
        <w:jc w:val="left"/>
      </w:pPr>
      <w:r>
        <w:rPr>
          <w:rFonts w:cs="Times New Roman"/>
          <w:szCs w:val="24"/>
        </w:rPr>
        <w:lastRenderedPageBreak/>
        <w:t xml:space="preserve">  </w:t>
      </w:r>
      <w:r w:rsidR="0054207F" w:rsidRPr="00DF360A">
        <w:rPr>
          <w:rFonts w:cs="Times New Roman"/>
          <w:szCs w:val="24"/>
        </w:rPr>
        <w:t>Ms. Perrault</w:t>
      </w:r>
      <w:r w:rsidRPr="00DF360A">
        <w:rPr>
          <w:rFonts w:cs="Times New Roman"/>
          <w:szCs w:val="24"/>
        </w:rPr>
        <w:t xml:space="preserve"> was notified by </w:t>
      </w:r>
      <w:r w:rsidR="0030699E">
        <w:rPr>
          <w:rFonts w:cs="Times New Roman"/>
          <w:szCs w:val="24"/>
        </w:rPr>
        <w:t xml:space="preserve">the </w:t>
      </w:r>
      <w:r w:rsidRPr="00DF360A">
        <w:rPr>
          <w:rFonts w:cs="Times New Roman"/>
          <w:szCs w:val="24"/>
        </w:rPr>
        <w:t>M</w:t>
      </w:r>
      <w:r w:rsidR="009859ED" w:rsidRPr="00DF360A">
        <w:rPr>
          <w:rFonts w:cs="Times New Roman"/>
          <w:szCs w:val="24"/>
        </w:rPr>
        <w:t xml:space="preserve">arlborough </w:t>
      </w:r>
      <w:r w:rsidRPr="00DF360A">
        <w:rPr>
          <w:rFonts w:cs="Times New Roman"/>
          <w:szCs w:val="24"/>
        </w:rPr>
        <w:t>E</w:t>
      </w:r>
      <w:r w:rsidR="009859ED" w:rsidRPr="00DF360A">
        <w:rPr>
          <w:rFonts w:cs="Times New Roman"/>
          <w:szCs w:val="24"/>
        </w:rPr>
        <w:t xml:space="preserve">ducators </w:t>
      </w:r>
      <w:r w:rsidRPr="00DF360A">
        <w:rPr>
          <w:rFonts w:cs="Times New Roman"/>
          <w:szCs w:val="24"/>
        </w:rPr>
        <w:t>A</w:t>
      </w:r>
      <w:r w:rsidR="0030699E">
        <w:rPr>
          <w:rFonts w:cs="Times New Roman"/>
          <w:szCs w:val="24"/>
        </w:rPr>
        <w:t xml:space="preserve">ssociation </w:t>
      </w:r>
      <w:r w:rsidRPr="00DF360A">
        <w:rPr>
          <w:rFonts w:cs="Times New Roman"/>
          <w:szCs w:val="24"/>
        </w:rPr>
        <w:t xml:space="preserve">and </w:t>
      </w:r>
      <w:r w:rsidR="00117BA6" w:rsidRPr="00DF360A">
        <w:rPr>
          <w:rFonts w:cs="Times New Roman"/>
          <w:szCs w:val="24"/>
        </w:rPr>
        <w:t xml:space="preserve">the </w:t>
      </w:r>
      <w:r w:rsidRPr="00DF360A">
        <w:rPr>
          <w:rFonts w:cs="Times New Roman"/>
          <w:szCs w:val="24"/>
        </w:rPr>
        <w:t>M</w:t>
      </w:r>
      <w:r w:rsidR="00423646" w:rsidRPr="00DF360A">
        <w:rPr>
          <w:rFonts w:cs="Times New Roman"/>
          <w:szCs w:val="24"/>
        </w:rPr>
        <w:t xml:space="preserve">assachusetts </w:t>
      </w:r>
      <w:r w:rsidRPr="00DF360A">
        <w:rPr>
          <w:rFonts w:cs="Times New Roman"/>
          <w:szCs w:val="24"/>
        </w:rPr>
        <w:t>T</w:t>
      </w:r>
      <w:r w:rsidR="00423646" w:rsidRPr="00DF360A">
        <w:rPr>
          <w:rFonts w:cs="Times New Roman"/>
          <w:szCs w:val="24"/>
        </w:rPr>
        <w:t>eachers</w:t>
      </w:r>
      <w:r w:rsidR="0030699E">
        <w:rPr>
          <w:rFonts w:cs="Times New Roman"/>
          <w:szCs w:val="24"/>
        </w:rPr>
        <w:t>’</w:t>
      </w:r>
      <w:r w:rsidR="00423646" w:rsidRPr="00DF360A">
        <w:rPr>
          <w:rFonts w:cs="Times New Roman"/>
          <w:szCs w:val="24"/>
        </w:rPr>
        <w:t xml:space="preserve"> </w:t>
      </w:r>
      <w:r w:rsidRPr="00DF360A">
        <w:rPr>
          <w:rFonts w:cs="Times New Roman"/>
          <w:szCs w:val="24"/>
        </w:rPr>
        <w:t>A</w:t>
      </w:r>
      <w:r w:rsidR="00423646" w:rsidRPr="00DF360A">
        <w:rPr>
          <w:rFonts w:cs="Times New Roman"/>
          <w:szCs w:val="24"/>
        </w:rPr>
        <w:t>ssociation</w:t>
      </w:r>
      <w:r w:rsidRPr="00DF360A">
        <w:rPr>
          <w:rFonts w:cs="Times New Roman"/>
          <w:szCs w:val="24"/>
        </w:rPr>
        <w:t xml:space="preserve"> at an informational meeting </w:t>
      </w:r>
      <w:r w:rsidR="0030699E">
        <w:rPr>
          <w:rFonts w:cs="Times New Roman"/>
          <w:szCs w:val="24"/>
        </w:rPr>
        <w:t xml:space="preserve">that changes had been made to the </w:t>
      </w:r>
      <w:r w:rsidR="00117BA6" w:rsidRPr="00DF360A">
        <w:rPr>
          <w:rFonts w:cs="Times New Roman"/>
          <w:szCs w:val="24"/>
        </w:rPr>
        <w:t xml:space="preserve">retirement law </w:t>
      </w:r>
      <w:r w:rsidR="0030699E">
        <w:rPr>
          <w:rFonts w:cs="Times New Roman"/>
          <w:szCs w:val="24"/>
        </w:rPr>
        <w:t xml:space="preserve">that could affect creditable </w:t>
      </w:r>
      <w:r w:rsidR="00AE0685" w:rsidRPr="00DF360A">
        <w:rPr>
          <w:rFonts w:cs="Times New Roman"/>
          <w:szCs w:val="24"/>
        </w:rPr>
        <w:t xml:space="preserve">service purchases.  The </w:t>
      </w:r>
      <w:r w:rsidRPr="00DF360A">
        <w:rPr>
          <w:rFonts w:cs="Times New Roman"/>
          <w:szCs w:val="24"/>
        </w:rPr>
        <w:t xml:space="preserve">interest rate </w:t>
      </w:r>
      <w:r w:rsidR="00AE0685" w:rsidRPr="00DF360A">
        <w:rPr>
          <w:rFonts w:cs="Times New Roman"/>
          <w:szCs w:val="24"/>
        </w:rPr>
        <w:t>applicable to service purchases was increasing from the then</w:t>
      </w:r>
      <w:r w:rsidR="00B77E8D">
        <w:rPr>
          <w:rFonts w:cs="Times New Roman"/>
          <w:szCs w:val="24"/>
        </w:rPr>
        <w:t>-</w:t>
      </w:r>
      <w:r w:rsidR="00AE0685" w:rsidRPr="00DF360A">
        <w:rPr>
          <w:rFonts w:cs="Times New Roman"/>
          <w:szCs w:val="24"/>
        </w:rPr>
        <w:t xml:space="preserve">current </w:t>
      </w:r>
      <w:r w:rsidRPr="00DF360A">
        <w:rPr>
          <w:rFonts w:cs="Times New Roman"/>
          <w:szCs w:val="24"/>
        </w:rPr>
        <w:t xml:space="preserve">4.125% buyback rate to </w:t>
      </w:r>
      <w:r w:rsidR="00AE0685" w:rsidRPr="00DF360A">
        <w:rPr>
          <w:rFonts w:cs="Times New Roman"/>
          <w:szCs w:val="24"/>
        </w:rPr>
        <w:t>th</w:t>
      </w:r>
      <w:r w:rsidRPr="00DF360A">
        <w:rPr>
          <w:rFonts w:cs="Times New Roman"/>
          <w:szCs w:val="24"/>
        </w:rPr>
        <w:t xml:space="preserve">e 8.25% actuarial rate as </w:t>
      </w:r>
      <w:r w:rsidR="00AE0685" w:rsidRPr="00DF360A">
        <w:rPr>
          <w:rFonts w:cs="Times New Roman"/>
          <w:szCs w:val="24"/>
        </w:rPr>
        <w:t xml:space="preserve">of </w:t>
      </w:r>
      <w:r w:rsidRPr="00DF360A">
        <w:rPr>
          <w:rFonts w:cs="Times New Roman"/>
          <w:szCs w:val="24"/>
        </w:rPr>
        <w:t xml:space="preserve">April 2, 2013. </w:t>
      </w:r>
      <w:r w:rsidR="00EB13C7" w:rsidRPr="00DF360A">
        <w:rPr>
          <w:rFonts w:cs="Times New Roman"/>
          <w:szCs w:val="24"/>
        </w:rPr>
        <w:t xml:space="preserve"> </w:t>
      </w:r>
      <w:r w:rsidR="0030198A" w:rsidRPr="0030198A">
        <w:rPr>
          <w:rFonts w:cs="Times New Roman"/>
          <w:i/>
          <w:szCs w:val="24"/>
        </w:rPr>
        <w:t>See</w:t>
      </w:r>
      <w:r w:rsidR="0030198A">
        <w:rPr>
          <w:rFonts w:cs="Times New Roman"/>
          <w:szCs w:val="24"/>
        </w:rPr>
        <w:t xml:space="preserve"> Acts 2011, c. 176, § 9.  </w:t>
      </w:r>
      <w:r w:rsidR="007D1C29" w:rsidRPr="00DF360A">
        <w:rPr>
          <w:rFonts w:cs="Times New Roman"/>
          <w:szCs w:val="24"/>
        </w:rPr>
        <w:t>(N. Perrault testimony</w:t>
      </w:r>
      <w:r w:rsidRPr="00DF360A">
        <w:rPr>
          <w:rFonts w:cs="Times New Roman"/>
          <w:szCs w:val="24"/>
        </w:rPr>
        <w:t>.)</w:t>
      </w:r>
    </w:p>
    <w:p w:rsidR="00EB13C7" w:rsidRPr="007C3DF0" w:rsidRDefault="00DF360A" w:rsidP="0054207F">
      <w:pPr>
        <w:pStyle w:val="ListParagraph"/>
        <w:numPr>
          <w:ilvl w:val="0"/>
          <w:numId w:val="1"/>
        </w:numPr>
        <w:spacing w:after="0" w:line="480" w:lineRule="auto"/>
        <w:ind w:left="0" w:firstLine="720"/>
        <w:jc w:val="left"/>
      </w:pPr>
      <w:r>
        <w:rPr>
          <w:rFonts w:cs="Times New Roman"/>
          <w:szCs w:val="24"/>
        </w:rPr>
        <w:t>To take advantage of the lower rate</w:t>
      </w:r>
      <w:r w:rsidR="00B77E8D">
        <w:rPr>
          <w:rFonts w:cs="Times New Roman"/>
          <w:szCs w:val="24"/>
        </w:rPr>
        <w:t>,</w:t>
      </w:r>
      <w:r>
        <w:rPr>
          <w:rFonts w:cs="Times New Roman"/>
          <w:szCs w:val="24"/>
        </w:rPr>
        <w:t xml:space="preserve"> Ms. Perrault applied to purchase her 1977-1979 Methuen substitute and part-time service.  She submitted her application on March 1, 2013; it was received by MTRS on March 7, 2013.  (Exs. 3</w:t>
      </w:r>
      <w:r w:rsidR="0094349E">
        <w:rPr>
          <w:rFonts w:cs="Times New Roman"/>
          <w:szCs w:val="24"/>
        </w:rPr>
        <w:t xml:space="preserve">, </w:t>
      </w:r>
      <w:r>
        <w:rPr>
          <w:rFonts w:cs="Times New Roman"/>
          <w:szCs w:val="24"/>
        </w:rPr>
        <w:t>6.)</w:t>
      </w:r>
    </w:p>
    <w:p w:rsidR="0054207F" w:rsidRPr="0054207F" w:rsidRDefault="007C3DF0" w:rsidP="00B75D38">
      <w:pPr>
        <w:pStyle w:val="ListParagraph"/>
        <w:numPr>
          <w:ilvl w:val="0"/>
          <w:numId w:val="1"/>
        </w:numPr>
        <w:spacing w:after="0" w:line="480" w:lineRule="auto"/>
        <w:ind w:left="0" w:firstLine="720"/>
        <w:jc w:val="left"/>
      </w:pPr>
      <w:r>
        <w:rPr>
          <w:rFonts w:cs="Times New Roman"/>
          <w:szCs w:val="24"/>
        </w:rPr>
        <w:t>On May 24, 2013, MTRS sent Ms. Perrault a confirmation letter that her application was received and that the estimated processing time was “</w:t>
      </w:r>
      <w:r w:rsidR="006701D0">
        <w:rPr>
          <w:rFonts w:cs="Times New Roman"/>
          <w:szCs w:val="24"/>
        </w:rPr>
        <w:t xml:space="preserve">12 months or longer.”  </w:t>
      </w:r>
      <w:r w:rsidR="00E5719D">
        <w:rPr>
          <w:rFonts w:cs="Times New Roman"/>
          <w:szCs w:val="24"/>
        </w:rPr>
        <w:t>Th</w:t>
      </w:r>
      <w:r w:rsidR="0054207F">
        <w:rPr>
          <w:rFonts w:cs="Times New Roman"/>
          <w:szCs w:val="24"/>
        </w:rPr>
        <w:t xml:space="preserve">e </w:t>
      </w:r>
      <w:r w:rsidR="00E5719D">
        <w:rPr>
          <w:rFonts w:cs="Times New Roman"/>
          <w:szCs w:val="24"/>
        </w:rPr>
        <w:t>letter state</w:t>
      </w:r>
      <w:r w:rsidR="0054207F">
        <w:rPr>
          <w:rFonts w:cs="Times New Roman"/>
          <w:szCs w:val="24"/>
        </w:rPr>
        <w:t>d</w:t>
      </w:r>
      <w:r>
        <w:rPr>
          <w:rFonts w:cs="Times New Roman"/>
          <w:szCs w:val="24"/>
        </w:rPr>
        <w:t xml:space="preserve"> in bold, “because your application was filed before or on April 2, 2013 – you have reserved your right to an initia</w:t>
      </w:r>
      <w:r w:rsidR="00411709">
        <w:rPr>
          <w:rFonts w:cs="Times New Roman"/>
          <w:szCs w:val="24"/>
        </w:rPr>
        <w:t>l invoice at the lower ‘buyback’</w:t>
      </w:r>
      <w:r>
        <w:rPr>
          <w:rFonts w:cs="Times New Roman"/>
          <w:szCs w:val="24"/>
        </w:rPr>
        <w:t xml:space="preserve"> interest rate.”  It </w:t>
      </w:r>
      <w:r w:rsidR="0054207F">
        <w:rPr>
          <w:rFonts w:cs="Times New Roman"/>
          <w:szCs w:val="24"/>
        </w:rPr>
        <w:t>further explain</w:t>
      </w:r>
      <w:r w:rsidR="009C0522">
        <w:rPr>
          <w:rFonts w:cs="Times New Roman"/>
          <w:szCs w:val="24"/>
        </w:rPr>
        <w:t>ed</w:t>
      </w:r>
      <w:r w:rsidR="0054207F">
        <w:rPr>
          <w:rFonts w:cs="Times New Roman"/>
          <w:szCs w:val="24"/>
        </w:rPr>
        <w:t>:</w:t>
      </w:r>
    </w:p>
    <w:p w:rsidR="0054207F" w:rsidRDefault="0054207F" w:rsidP="0054207F">
      <w:pPr>
        <w:pStyle w:val="ListParagraph"/>
        <w:spacing w:after="0"/>
        <w:ind w:right="720"/>
        <w:jc w:val="left"/>
        <w:rPr>
          <w:rFonts w:cs="Times New Roman"/>
          <w:szCs w:val="24"/>
        </w:rPr>
      </w:pPr>
      <w:r>
        <w:rPr>
          <w:rFonts w:cs="Times New Roman"/>
          <w:szCs w:val="24"/>
        </w:rPr>
        <w:t xml:space="preserve">When you receive your initial invoice, you will have until your invoice due date (60 days from the date we issue your invoice), EITHER to pay in full for your purchase OR to submit both your signed installment plan agreement and your first annual installment payment.  If you </w:t>
      </w:r>
      <w:r w:rsidRPr="0054207F">
        <w:rPr>
          <w:rFonts w:cs="Times New Roman"/>
          <w:i/>
          <w:szCs w:val="24"/>
        </w:rPr>
        <w:t>either</w:t>
      </w:r>
      <w:r>
        <w:rPr>
          <w:rFonts w:cs="Times New Roman"/>
          <w:szCs w:val="24"/>
        </w:rPr>
        <w:t xml:space="preserve"> do not take either action by your invoice due date, </w:t>
      </w:r>
      <w:r w:rsidRPr="0054207F">
        <w:rPr>
          <w:rFonts w:cs="Times New Roman"/>
          <w:i/>
          <w:szCs w:val="24"/>
        </w:rPr>
        <w:t>or</w:t>
      </w:r>
      <w:r>
        <w:rPr>
          <w:rFonts w:cs="Times New Roman"/>
          <w:i/>
          <w:szCs w:val="24"/>
        </w:rPr>
        <w:t xml:space="preserve"> </w:t>
      </w:r>
      <w:r>
        <w:rPr>
          <w:rFonts w:cs="Times New Roman"/>
          <w:szCs w:val="24"/>
        </w:rPr>
        <w:t xml:space="preserve">you default on your installment agreement, and you later wish to purchase this service, you will be subject to the interest rate in effect at that time, which will be actuarial interest. </w:t>
      </w:r>
    </w:p>
    <w:p w:rsidR="0054207F" w:rsidRPr="0054207F" w:rsidRDefault="0054207F" w:rsidP="0054207F">
      <w:pPr>
        <w:pStyle w:val="ListParagraph"/>
        <w:spacing w:after="0"/>
        <w:jc w:val="left"/>
        <w:rPr>
          <w:rFonts w:cs="Times New Roman"/>
          <w:szCs w:val="24"/>
        </w:rPr>
      </w:pPr>
    </w:p>
    <w:p w:rsidR="007C3DF0" w:rsidRPr="000C7210" w:rsidRDefault="0054207F" w:rsidP="0054207F">
      <w:pPr>
        <w:pStyle w:val="ListParagraph"/>
        <w:spacing w:after="0" w:line="480" w:lineRule="auto"/>
        <w:ind w:left="0"/>
        <w:jc w:val="left"/>
      </w:pPr>
      <w:r>
        <w:rPr>
          <w:rFonts w:cs="Times New Roman"/>
          <w:szCs w:val="24"/>
        </w:rPr>
        <w:t>(E</w:t>
      </w:r>
      <w:r w:rsidR="007C3DF0">
        <w:rPr>
          <w:rFonts w:cs="Times New Roman"/>
          <w:szCs w:val="24"/>
        </w:rPr>
        <w:t>x. 5.)</w:t>
      </w:r>
      <w:r>
        <w:rPr>
          <w:rFonts w:cs="Times New Roman"/>
          <w:szCs w:val="24"/>
        </w:rPr>
        <w:t xml:space="preserve"> (</w:t>
      </w:r>
      <w:r w:rsidR="009C0522">
        <w:rPr>
          <w:rFonts w:cs="Times New Roman"/>
          <w:szCs w:val="24"/>
        </w:rPr>
        <w:t>e</w:t>
      </w:r>
      <w:r>
        <w:rPr>
          <w:rFonts w:cs="Times New Roman"/>
          <w:szCs w:val="24"/>
        </w:rPr>
        <w:t>mphasis in original.)</w:t>
      </w:r>
    </w:p>
    <w:p w:rsidR="00BC3B1B" w:rsidRPr="00BC3B1B" w:rsidRDefault="00BC3B1B" w:rsidP="00B75D38">
      <w:pPr>
        <w:pStyle w:val="ListParagraph"/>
        <w:numPr>
          <w:ilvl w:val="0"/>
          <w:numId w:val="1"/>
        </w:numPr>
        <w:spacing w:after="0" w:line="480" w:lineRule="auto"/>
        <w:ind w:left="0" w:firstLine="720"/>
        <w:jc w:val="left"/>
      </w:pPr>
      <w:r>
        <w:rPr>
          <w:rFonts w:cs="Times New Roman"/>
          <w:szCs w:val="24"/>
        </w:rPr>
        <w:t xml:space="preserve">To cope with in excess of 20,000 applications to purchase creditable service that were filed to avoid the increasing interest rate, MTRS adopted a policy of charging the buyback rate as long as the application was postmarked by April 2, 2013 and the member paid the invoice in full or made the first installment payment by the invoice </w:t>
      </w:r>
      <w:r>
        <w:rPr>
          <w:rFonts w:cs="Times New Roman"/>
          <w:szCs w:val="24"/>
        </w:rPr>
        <w:lastRenderedPageBreak/>
        <w:t>due date, which was 60 days from the date the invoice was issued.  This policy was memorialized in a memorandum dated December 20, 2013.  (Ex. 16.)</w:t>
      </w:r>
    </w:p>
    <w:p w:rsidR="00330C24" w:rsidRPr="004D5A6B" w:rsidRDefault="005B3528" w:rsidP="00B75D38">
      <w:pPr>
        <w:pStyle w:val="ListParagraph"/>
        <w:numPr>
          <w:ilvl w:val="0"/>
          <w:numId w:val="1"/>
        </w:numPr>
        <w:spacing w:after="0" w:line="480" w:lineRule="auto"/>
        <w:ind w:left="0" w:firstLine="720"/>
        <w:jc w:val="left"/>
      </w:pPr>
      <w:r>
        <w:rPr>
          <w:rFonts w:cs="Times New Roman"/>
          <w:szCs w:val="24"/>
        </w:rPr>
        <w:t xml:space="preserve">On or about February 21, 2014, </w:t>
      </w:r>
      <w:r w:rsidR="00F17C44">
        <w:rPr>
          <w:rFonts w:cs="Times New Roman"/>
          <w:szCs w:val="24"/>
        </w:rPr>
        <w:t xml:space="preserve">MTRS </w:t>
      </w:r>
      <w:r w:rsidR="00247949">
        <w:rPr>
          <w:rFonts w:cs="Times New Roman"/>
          <w:szCs w:val="24"/>
        </w:rPr>
        <w:t xml:space="preserve">generated an invoice for </w:t>
      </w:r>
      <w:r w:rsidR="00F17C44">
        <w:rPr>
          <w:rFonts w:cs="Times New Roman"/>
          <w:szCs w:val="24"/>
        </w:rPr>
        <w:t xml:space="preserve">Ms. Perrault’s </w:t>
      </w:r>
      <w:r w:rsidR="00247949">
        <w:rPr>
          <w:rFonts w:cs="Times New Roman"/>
          <w:szCs w:val="24"/>
        </w:rPr>
        <w:t xml:space="preserve">purchase request.  Following </w:t>
      </w:r>
      <w:r w:rsidR="00F17C44">
        <w:rPr>
          <w:rFonts w:cs="Times New Roman"/>
          <w:szCs w:val="24"/>
        </w:rPr>
        <w:t>MTRS</w:t>
      </w:r>
      <w:r w:rsidR="00BC6788">
        <w:rPr>
          <w:rFonts w:cs="Times New Roman"/>
          <w:szCs w:val="24"/>
        </w:rPr>
        <w:t>’s</w:t>
      </w:r>
      <w:r w:rsidR="00F17C44">
        <w:rPr>
          <w:rFonts w:cs="Times New Roman"/>
          <w:szCs w:val="24"/>
        </w:rPr>
        <w:t xml:space="preserve"> </w:t>
      </w:r>
      <w:r w:rsidR="00247949">
        <w:rPr>
          <w:rFonts w:cs="Times New Roman"/>
          <w:szCs w:val="24"/>
        </w:rPr>
        <w:t xml:space="preserve">usual </w:t>
      </w:r>
      <w:r w:rsidR="00F17C44">
        <w:rPr>
          <w:rFonts w:cs="Times New Roman"/>
          <w:szCs w:val="24"/>
        </w:rPr>
        <w:t xml:space="preserve">business practices, </w:t>
      </w:r>
      <w:r w:rsidR="00247949">
        <w:rPr>
          <w:rFonts w:cs="Times New Roman"/>
          <w:szCs w:val="24"/>
        </w:rPr>
        <w:t xml:space="preserve">it was </w:t>
      </w:r>
      <w:r w:rsidR="008437DE">
        <w:rPr>
          <w:rFonts w:cs="Times New Roman"/>
          <w:szCs w:val="24"/>
        </w:rPr>
        <w:t xml:space="preserve">promptly </w:t>
      </w:r>
      <w:r w:rsidR="00E664FC">
        <w:rPr>
          <w:rFonts w:cs="Times New Roman"/>
          <w:szCs w:val="24"/>
        </w:rPr>
        <w:t>mailed</w:t>
      </w:r>
      <w:r w:rsidR="00F17C44">
        <w:rPr>
          <w:rFonts w:cs="Times New Roman"/>
          <w:szCs w:val="24"/>
        </w:rPr>
        <w:t xml:space="preserve"> in a windowed envelop</w:t>
      </w:r>
      <w:r w:rsidR="00247949">
        <w:rPr>
          <w:rFonts w:cs="Times New Roman"/>
          <w:szCs w:val="24"/>
        </w:rPr>
        <w:t>e</w:t>
      </w:r>
      <w:r w:rsidR="00F17C44">
        <w:rPr>
          <w:rFonts w:cs="Times New Roman"/>
          <w:szCs w:val="24"/>
        </w:rPr>
        <w:t xml:space="preserve"> with bright</w:t>
      </w:r>
      <w:r w:rsidR="00E664FC">
        <w:rPr>
          <w:rFonts w:cs="Times New Roman"/>
          <w:szCs w:val="24"/>
        </w:rPr>
        <w:t>,</w:t>
      </w:r>
      <w:r w:rsidR="00F17C44">
        <w:rPr>
          <w:rFonts w:cs="Times New Roman"/>
          <w:szCs w:val="24"/>
        </w:rPr>
        <w:t xml:space="preserve"> hot pink inserts detailing the need to select a payment plan before the interest rate doubles.  (Exs. 13, 14, and 15.)</w:t>
      </w:r>
    </w:p>
    <w:p w:rsidR="005B3528" w:rsidRPr="005B3528" w:rsidRDefault="005B3528" w:rsidP="00B75D38">
      <w:pPr>
        <w:pStyle w:val="ListParagraph"/>
        <w:numPr>
          <w:ilvl w:val="0"/>
          <w:numId w:val="1"/>
        </w:numPr>
        <w:spacing w:after="0" w:line="480" w:lineRule="auto"/>
        <w:ind w:left="0" w:firstLine="720"/>
        <w:jc w:val="left"/>
      </w:pPr>
      <w:r>
        <w:rPr>
          <w:rFonts w:cs="Times New Roman"/>
          <w:szCs w:val="24"/>
        </w:rPr>
        <w:t>MTRS calculated that she was entitled to 1.4083 years of service; Ms. Perrault does not dispute this calculation.  (Ex. 8.)</w:t>
      </w:r>
    </w:p>
    <w:p w:rsidR="004D5A6B" w:rsidRPr="004D5A6B" w:rsidRDefault="004D5A6B" w:rsidP="00B75D38">
      <w:pPr>
        <w:pStyle w:val="ListParagraph"/>
        <w:numPr>
          <w:ilvl w:val="0"/>
          <w:numId w:val="1"/>
        </w:numPr>
        <w:spacing w:after="0" w:line="480" w:lineRule="auto"/>
        <w:ind w:left="0" w:firstLine="720"/>
        <w:jc w:val="left"/>
      </w:pPr>
      <w:r>
        <w:rPr>
          <w:rFonts w:cs="Times New Roman"/>
          <w:szCs w:val="24"/>
        </w:rPr>
        <w:t xml:space="preserve">The invoice directed Ms. Perrault to either make a lump-sum payment of $1,816.92 or make her first </w:t>
      </w:r>
      <w:r w:rsidR="005B3528">
        <w:rPr>
          <w:rFonts w:cs="Times New Roman"/>
          <w:szCs w:val="24"/>
        </w:rPr>
        <w:t>of five installment payments of</w:t>
      </w:r>
      <w:r>
        <w:rPr>
          <w:rFonts w:cs="Times New Roman"/>
          <w:szCs w:val="24"/>
        </w:rPr>
        <w:t xml:space="preserve"> $393.34 no later than April 20, 2014.  Next to the box that detailed the payment options, there was a block of text that read:</w:t>
      </w:r>
    </w:p>
    <w:p w:rsidR="004D5A6B" w:rsidRDefault="004D5A6B" w:rsidP="003637FF">
      <w:pPr>
        <w:pStyle w:val="ListParagraph"/>
        <w:spacing w:after="0"/>
        <w:ind w:right="720"/>
        <w:jc w:val="left"/>
        <w:rPr>
          <w:rFonts w:cs="Times New Roman"/>
          <w:szCs w:val="24"/>
        </w:rPr>
      </w:pPr>
      <w:r>
        <w:rPr>
          <w:rFonts w:cs="Times New Roman"/>
          <w:szCs w:val="24"/>
        </w:rPr>
        <w:t>PLEASE NOTE: INTEREST INCREASE ALERT!  If you do not EITHER pay the lump-sum amount OR pay the first installment amount BY THE LATEST DUE DATE AT RIGHT, and you later wish to purchase this service, you will be charged the higher actuarial interest rate.</w:t>
      </w:r>
    </w:p>
    <w:p w:rsidR="004D5A6B" w:rsidRDefault="004D5A6B" w:rsidP="004D5A6B">
      <w:pPr>
        <w:pStyle w:val="ListParagraph"/>
        <w:spacing w:after="0"/>
        <w:jc w:val="left"/>
        <w:rPr>
          <w:rFonts w:cs="Times New Roman"/>
          <w:szCs w:val="24"/>
        </w:rPr>
      </w:pPr>
    </w:p>
    <w:p w:rsidR="004D5A6B" w:rsidRPr="00330C24" w:rsidRDefault="004D5A6B" w:rsidP="00E3783A">
      <w:pPr>
        <w:spacing w:after="0" w:line="480" w:lineRule="auto"/>
        <w:jc w:val="left"/>
      </w:pPr>
      <w:r>
        <w:rPr>
          <w:rFonts w:cs="Times New Roman"/>
          <w:szCs w:val="24"/>
        </w:rPr>
        <w:t>(Ex</w:t>
      </w:r>
      <w:r w:rsidR="00444620">
        <w:rPr>
          <w:rFonts w:cs="Times New Roman"/>
          <w:szCs w:val="24"/>
        </w:rPr>
        <w:t>. 6</w:t>
      </w:r>
      <w:r>
        <w:rPr>
          <w:rFonts w:cs="Times New Roman"/>
          <w:szCs w:val="24"/>
        </w:rPr>
        <w:t>.) (</w:t>
      </w:r>
      <w:r w:rsidR="000F1F3D">
        <w:rPr>
          <w:rFonts w:cs="Times New Roman"/>
          <w:szCs w:val="24"/>
        </w:rPr>
        <w:t>e</w:t>
      </w:r>
      <w:r>
        <w:rPr>
          <w:rFonts w:cs="Times New Roman"/>
          <w:szCs w:val="24"/>
        </w:rPr>
        <w:t>mphasis in original)</w:t>
      </w:r>
      <w:r w:rsidR="000F1F3D">
        <w:rPr>
          <w:rFonts w:cs="Times New Roman"/>
          <w:szCs w:val="24"/>
        </w:rPr>
        <w:t>.</w:t>
      </w:r>
      <w:r>
        <w:rPr>
          <w:rFonts w:cs="Times New Roman"/>
          <w:szCs w:val="24"/>
        </w:rPr>
        <w:t xml:space="preserve">  </w:t>
      </w:r>
      <w:r w:rsidR="00E3783A">
        <w:rPr>
          <w:rFonts w:cs="Times New Roman"/>
          <w:szCs w:val="24"/>
        </w:rPr>
        <w:t xml:space="preserve">If Ms. Perrault did not submit payment by the deadline, the invoice advised her: “you may still purchase this service credit at some time prior to your date of retirement, but at a higher cost due to added interest charges.  If you delay payment and the last due date passes, please contact our office for a revised invoice.” </w:t>
      </w:r>
      <w:r w:rsidR="00BC3B1B">
        <w:rPr>
          <w:rFonts w:cs="Times New Roman"/>
          <w:szCs w:val="24"/>
        </w:rPr>
        <w:t xml:space="preserve"> These alerts were consistent with the policy adopted by the Board. </w:t>
      </w:r>
      <w:r w:rsidR="00E3783A">
        <w:rPr>
          <w:rFonts w:cs="Times New Roman"/>
          <w:szCs w:val="24"/>
        </w:rPr>
        <w:t xml:space="preserve"> (Ex. </w:t>
      </w:r>
      <w:r w:rsidR="00444620">
        <w:rPr>
          <w:rFonts w:cs="Times New Roman"/>
          <w:szCs w:val="24"/>
        </w:rPr>
        <w:t>6</w:t>
      </w:r>
      <w:r w:rsidR="00E3783A">
        <w:rPr>
          <w:rFonts w:cs="Times New Roman"/>
          <w:szCs w:val="24"/>
        </w:rPr>
        <w:t>.)</w:t>
      </w:r>
    </w:p>
    <w:p w:rsidR="00F17C44" w:rsidRPr="00330C24" w:rsidRDefault="004D5A6B" w:rsidP="00B75D38">
      <w:pPr>
        <w:pStyle w:val="ListParagraph"/>
        <w:numPr>
          <w:ilvl w:val="0"/>
          <w:numId w:val="1"/>
        </w:numPr>
        <w:spacing w:after="0" w:line="480" w:lineRule="auto"/>
        <w:ind w:left="0" w:firstLine="720"/>
        <w:jc w:val="left"/>
      </w:pPr>
      <w:r>
        <w:rPr>
          <w:rFonts w:cs="Times New Roman"/>
          <w:szCs w:val="24"/>
        </w:rPr>
        <w:t xml:space="preserve">Ms. Perrault </w:t>
      </w:r>
      <w:r w:rsidR="00BC3B1B">
        <w:rPr>
          <w:rFonts w:cs="Times New Roman"/>
          <w:szCs w:val="24"/>
        </w:rPr>
        <w:t xml:space="preserve">and her husband </w:t>
      </w:r>
      <w:r w:rsidR="00C320E3">
        <w:rPr>
          <w:rFonts w:cs="Times New Roman"/>
          <w:szCs w:val="24"/>
        </w:rPr>
        <w:t>have</w:t>
      </w:r>
      <w:r w:rsidR="00330C24">
        <w:rPr>
          <w:rFonts w:cs="Times New Roman"/>
          <w:szCs w:val="24"/>
        </w:rPr>
        <w:t xml:space="preserve"> live</w:t>
      </w:r>
      <w:r w:rsidR="00C320E3">
        <w:rPr>
          <w:rFonts w:cs="Times New Roman"/>
          <w:szCs w:val="24"/>
        </w:rPr>
        <w:t>d</w:t>
      </w:r>
      <w:r w:rsidR="00330C24">
        <w:rPr>
          <w:rFonts w:cs="Times New Roman"/>
          <w:szCs w:val="24"/>
        </w:rPr>
        <w:t xml:space="preserve"> in a single</w:t>
      </w:r>
      <w:r w:rsidR="000F1F3D">
        <w:rPr>
          <w:rFonts w:cs="Times New Roman"/>
          <w:szCs w:val="24"/>
        </w:rPr>
        <w:t>-</w:t>
      </w:r>
      <w:r w:rsidR="00330C24">
        <w:rPr>
          <w:rFonts w:cs="Times New Roman"/>
          <w:szCs w:val="24"/>
        </w:rPr>
        <w:t>family home in Methuen, Massachusetts</w:t>
      </w:r>
      <w:r w:rsidR="00C320E3">
        <w:rPr>
          <w:rFonts w:cs="Times New Roman"/>
          <w:szCs w:val="24"/>
        </w:rPr>
        <w:t xml:space="preserve"> for 28 years</w:t>
      </w:r>
      <w:r>
        <w:rPr>
          <w:rFonts w:cs="Times New Roman"/>
          <w:szCs w:val="24"/>
        </w:rPr>
        <w:t xml:space="preserve">.  </w:t>
      </w:r>
      <w:r w:rsidR="000F1F3D">
        <w:rPr>
          <w:rFonts w:cs="Times New Roman"/>
          <w:szCs w:val="24"/>
        </w:rPr>
        <w:t>At the end of their driveway, t</w:t>
      </w:r>
      <w:r>
        <w:rPr>
          <w:rFonts w:cs="Times New Roman"/>
          <w:szCs w:val="24"/>
        </w:rPr>
        <w:t xml:space="preserve">hey have a </w:t>
      </w:r>
      <w:r w:rsidR="00330C24">
        <w:rPr>
          <w:rFonts w:cs="Times New Roman"/>
          <w:szCs w:val="24"/>
        </w:rPr>
        <w:t>single mailbox that does not lock.  Mr. Perrault</w:t>
      </w:r>
      <w:r w:rsidR="00017771">
        <w:rPr>
          <w:rFonts w:cs="Times New Roman"/>
          <w:szCs w:val="24"/>
        </w:rPr>
        <w:t xml:space="preserve"> is retired and usually picks up the mail </w:t>
      </w:r>
      <w:r w:rsidR="0020282B">
        <w:rPr>
          <w:rFonts w:cs="Times New Roman"/>
          <w:szCs w:val="24"/>
        </w:rPr>
        <w:t>once</w:t>
      </w:r>
      <w:r w:rsidR="00017771">
        <w:rPr>
          <w:rFonts w:cs="Times New Roman"/>
          <w:szCs w:val="24"/>
        </w:rPr>
        <w:t xml:space="preserve"> it i</w:t>
      </w:r>
      <w:r w:rsidR="00330C24">
        <w:rPr>
          <w:rFonts w:cs="Times New Roman"/>
          <w:szCs w:val="24"/>
        </w:rPr>
        <w:t>s del</w:t>
      </w:r>
      <w:r w:rsidR="00017771">
        <w:rPr>
          <w:rFonts w:cs="Times New Roman"/>
          <w:szCs w:val="24"/>
        </w:rPr>
        <w:t>ivered.  If not,</w:t>
      </w:r>
      <w:r w:rsidR="00330C24">
        <w:rPr>
          <w:rFonts w:cs="Times New Roman"/>
          <w:szCs w:val="24"/>
        </w:rPr>
        <w:t xml:space="preserve"> Ms. Perrault gets it on her way into the house after work or after it </w:t>
      </w:r>
      <w:r w:rsidR="00330C24">
        <w:rPr>
          <w:rFonts w:cs="Times New Roman"/>
          <w:szCs w:val="24"/>
        </w:rPr>
        <w:lastRenderedPageBreak/>
        <w:t xml:space="preserve">comes </w:t>
      </w:r>
      <w:r w:rsidR="00017771">
        <w:rPr>
          <w:rFonts w:cs="Times New Roman"/>
          <w:szCs w:val="24"/>
        </w:rPr>
        <w:t>on the weekends.  Their mail i</w:t>
      </w:r>
      <w:r w:rsidR="00330C24">
        <w:rPr>
          <w:rFonts w:cs="Times New Roman"/>
          <w:szCs w:val="24"/>
        </w:rPr>
        <w:t>s</w:t>
      </w:r>
      <w:r w:rsidR="00017771">
        <w:rPr>
          <w:rFonts w:cs="Times New Roman"/>
          <w:szCs w:val="24"/>
        </w:rPr>
        <w:t xml:space="preserve"> then</w:t>
      </w:r>
      <w:r w:rsidR="00330C24">
        <w:rPr>
          <w:rFonts w:cs="Times New Roman"/>
          <w:szCs w:val="24"/>
        </w:rPr>
        <w:t xml:space="preserve"> placed on a counter inside, and their mailbox is not used for any purpose other than normal ingoing and outgoing mail.  (N. Perrault and A. Perrault testimony.)  </w:t>
      </w:r>
    </w:p>
    <w:p w:rsidR="00330C24" w:rsidRDefault="004D5A6B" w:rsidP="00B75D38">
      <w:pPr>
        <w:pStyle w:val="ListParagraph"/>
        <w:numPr>
          <w:ilvl w:val="0"/>
          <w:numId w:val="1"/>
        </w:numPr>
        <w:spacing w:after="0" w:line="480" w:lineRule="auto"/>
        <w:ind w:left="0" w:firstLine="720"/>
        <w:jc w:val="left"/>
      </w:pPr>
      <w:r>
        <w:t>A</w:t>
      </w:r>
      <w:r w:rsidR="005149C3">
        <w:t>round October 2014, Ms. Perrault called MTRS to check on her application and was told by a representative to just wait h</w:t>
      </w:r>
      <w:r w:rsidR="00A06AC8">
        <w:t>er turn and be patient.  (N. Perrault testimony</w:t>
      </w:r>
      <w:r w:rsidR="00D3065A">
        <w:t>; Ex. 9</w:t>
      </w:r>
      <w:r w:rsidR="005149C3">
        <w:t>.)</w:t>
      </w:r>
    </w:p>
    <w:p w:rsidR="00701E4D" w:rsidRDefault="00701E4D" w:rsidP="00B75D38">
      <w:pPr>
        <w:pStyle w:val="ListParagraph"/>
        <w:numPr>
          <w:ilvl w:val="0"/>
          <w:numId w:val="1"/>
        </w:numPr>
        <w:spacing w:after="0" w:line="480" w:lineRule="auto"/>
        <w:ind w:left="0" w:firstLine="720"/>
        <w:jc w:val="left"/>
      </w:pPr>
      <w:r>
        <w:t xml:space="preserve">On January 6, 2015, Ms. Perrault contacted MTRS again and spoke to </w:t>
      </w:r>
      <w:r w:rsidR="00816E7E">
        <w:t xml:space="preserve">another representative </w:t>
      </w:r>
      <w:r>
        <w:t xml:space="preserve">about her file.  </w:t>
      </w:r>
      <w:r w:rsidR="00816E7E">
        <w:t>She</w:t>
      </w:r>
      <w:r>
        <w:t xml:space="preserve"> informed Ms. Perrault that an invoice was sent </w:t>
      </w:r>
      <w:r w:rsidR="0020282B">
        <w:t xml:space="preserve">to </w:t>
      </w:r>
      <w:r>
        <w:t xml:space="preserve">her </w:t>
      </w:r>
      <w:r w:rsidR="003637FF">
        <w:t>o</w:t>
      </w:r>
      <w:r>
        <w:t>n February</w:t>
      </w:r>
      <w:r w:rsidR="003637FF">
        <w:t xml:space="preserve"> 21,</w:t>
      </w:r>
      <w:r>
        <w:t xml:space="preserve"> 2014 </w:t>
      </w:r>
      <w:r w:rsidR="003637FF">
        <w:t xml:space="preserve">with a due date of April 20, 2014, </w:t>
      </w:r>
      <w:r>
        <w:t>and, since she did not respond to it, Ms. Perrault</w:t>
      </w:r>
      <w:r w:rsidR="00411709">
        <w:t xml:space="preserve"> </w:t>
      </w:r>
      <w:r w:rsidR="00444620">
        <w:t xml:space="preserve">was no longer entitled to </w:t>
      </w:r>
      <w:r w:rsidR="00411709">
        <w:t xml:space="preserve">the lower </w:t>
      </w:r>
      <w:r>
        <w:t>bu</w:t>
      </w:r>
      <w:r w:rsidR="00E53F4A">
        <w:t>yback interest rate.  (N. Perrault testimony; Ex. 7</w:t>
      </w:r>
      <w:r>
        <w:t>.)</w:t>
      </w:r>
    </w:p>
    <w:p w:rsidR="00183F18" w:rsidRPr="008F01BA" w:rsidRDefault="00183F18" w:rsidP="00B75D38">
      <w:pPr>
        <w:pStyle w:val="ListParagraph"/>
        <w:numPr>
          <w:ilvl w:val="0"/>
          <w:numId w:val="1"/>
        </w:numPr>
        <w:spacing w:after="0" w:line="480" w:lineRule="auto"/>
        <w:ind w:left="0" w:firstLine="720"/>
        <w:jc w:val="left"/>
      </w:pPr>
      <w:r>
        <w:t>On January 8, 2015, MTRS denied Ms. Perrault’s requ</w:t>
      </w:r>
      <w:r w:rsidR="00411709">
        <w:t>est to apply the lower buyback</w:t>
      </w:r>
      <w:r>
        <w:t xml:space="preserve"> interest rate to her service purchase and instead generated a new invoice </w:t>
      </w:r>
      <w:r w:rsidR="00AE6F0A">
        <w:t>dated January 8, 2015 applying the twice-as-high</w:t>
      </w:r>
      <w:r>
        <w:t xml:space="preserve"> actuari</w:t>
      </w:r>
      <w:r w:rsidR="00017771">
        <w:t>al interest rate</w:t>
      </w:r>
      <w:r w:rsidR="003637FF">
        <w:t xml:space="preserve">.  </w:t>
      </w:r>
      <w:r>
        <w:t xml:space="preserve">Ms. Perrault </w:t>
      </w:r>
      <w:r w:rsidR="00017771">
        <w:t>receive</w:t>
      </w:r>
      <w:r w:rsidR="00B77E8D">
        <w:t>d</w:t>
      </w:r>
      <w:r w:rsidR="0082433E">
        <w:t xml:space="preserve"> this invoice in the mail</w:t>
      </w:r>
      <w:r>
        <w:t>.  (</w:t>
      </w:r>
      <w:r w:rsidR="00AE6F0A">
        <w:t xml:space="preserve">N. Perrault testimony; </w:t>
      </w:r>
      <w:r>
        <w:t>Ex</w:t>
      </w:r>
      <w:r w:rsidR="00AE6F0A">
        <w:t>s</w:t>
      </w:r>
      <w:r>
        <w:t>. 8</w:t>
      </w:r>
      <w:r w:rsidR="00AE6F0A">
        <w:t xml:space="preserve">, </w:t>
      </w:r>
      <w:r w:rsidR="00017771">
        <w:t>9</w:t>
      </w:r>
      <w:r>
        <w:t>.)</w:t>
      </w:r>
    </w:p>
    <w:p w:rsidR="00B75D38" w:rsidRPr="005E6362" w:rsidRDefault="005E6362" w:rsidP="00B75D38">
      <w:pPr>
        <w:pStyle w:val="ListParagraph"/>
        <w:numPr>
          <w:ilvl w:val="0"/>
          <w:numId w:val="1"/>
        </w:numPr>
        <w:spacing w:after="0" w:line="480" w:lineRule="auto"/>
        <w:ind w:left="0" w:firstLine="720"/>
        <w:jc w:val="left"/>
      </w:pPr>
      <w:r>
        <w:t>By letter dated January 15</w:t>
      </w:r>
      <w:r w:rsidR="00B75D38" w:rsidRPr="005E6362">
        <w:t>, 201</w:t>
      </w:r>
      <w:r>
        <w:t>5</w:t>
      </w:r>
      <w:r w:rsidR="00B75D38" w:rsidRPr="005E6362">
        <w:t xml:space="preserve">, Ms. </w:t>
      </w:r>
      <w:r>
        <w:t>Perrault</w:t>
      </w:r>
      <w:r w:rsidR="00B75D38" w:rsidRPr="005E6362">
        <w:t xml:space="preserve"> appealed MTRS’s decision</w:t>
      </w:r>
      <w:r w:rsidR="002B3EC4">
        <w:t xml:space="preserve"> to apply the actuarial interest rate</w:t>
      </w:r>
      <w:r w:rsidR="00B75D38" w:rsidRPr="005E6362">
        <w:t>.  (Ex. 9.)</w:t>
      </w:r>
    </w:p>
    <w:p w:rsidR="00B75D38" w:rsidRPr="00123141" w:rsidRDefault="00B75D38" w:rsidP="00B75D38">
      <w:pPr>
        <w:spacing w:after="0" w:line="480" w:lineRule="auto"/>
        <w:rPr>
          <w:rFonts w:cs="Times New Roman"/>
          <w:szCs w:val="24"/>
        </w:rPr>
      </w:pPr>
      <w:r w:rsidRPr="00123141">
        <w:rPr>
          <w:rFonts w:cs="Times New Roman"/>
          <w:b/>
          <w:szCs w:val="24"/>
          <w:u w:val="single"/>
        </w:rPr>
        <w:t>CONCLUSION AND ORDER</w:t>
      </w:r>
    </w:p>
    <w:p w:rsidR="00B75D38" w:rsidRDefault="00B75D38" w:rsidP="00B75D38">
      <w:pPr>
        <w:spacing w:after="0" w:line="480" w:lineRule="auto"/>
        <w:jc w:val="left"/>
        <w:rPr>
          <w:rFonts w:cs="Times New Roman"/>
          <w:szCs w:val="24"/>
        </w:rPr>
      </w:pPr>
      <w:r w:rsidRPr="00FF528D">
        <w:rPr>
          <w:rFonts w:cs="Times New Roman"/>
          <w:szCs w:val="24"/>
        </w:rPr>
        <w:tab/>
        <w:t xml:space="preserve">For the reasons stated below, </w:t>
      </w:r>
      <w:r w:rsidR="00A0778C">
        <w:rPr>
          <w:rFonts w:cs="Times New Roman"/>
          <w:szCs w:val="24"/>
        </w:rPr>
        <w:t>MTRS’s de</w:t>
      </w:r>
      <w:r w:rsidR="00395C31">
        <w:rPr>
          <w:rFonts w:cs="Times New Roman"/>
          <w:szCs w:val="24"/>
        </w:rPr>
        <w:t xml:space="preserve">nial of the Petitioner’s request to pay the lower buyback interest rate on her service purchase is affirmed. </w:t>
      </w:r>
      <w:r w:rsidRPr="00FF528D">
        <w:rPr>
          <w:rFonts w:cs="Times New Roman"/>
          <w:szCs w:val="24"/>
        </w:rPr>
        <w:t xml:space="preserve">  </w:t>
      </w:r>
    </w:p>
    <w:p w:rsidR="00B75D38" w:rsidRPr="003B3998" w:rsidRDefault="00411709" w:rsidP="003B3998">
      <w:pPr>
        <w:spacing w:after="0" w:line="480" w:lineRule="auto"/>
        <w:jc w:val="left"/>
      </w:pPr>
      <w:r>
        <w:rPr>
          <w:rFonts w:cs="Times New Roman"/>
          <w:szCs w:val="24"/>
        </w:rPr>
        <w:tab/>
      </w:r>
      <w:r w:rsidR="005A53C4">
        <w:rPr>
          <w:rFonts w:cs="Times New Roman"/>
          <w:szCs w:val="24"/>
        </w:rPr>
        <w:t xml:space="preserve"> </w:t>
      </w:r>
      <w:r>
        <w:rPr>
          <w:rFonts w:cs="Times New Roman"/>
          <w:szCs w:val="24"/>
        </w:rPr>
        <w:t xml:space="preserve">Ms. Perrault argues that she is entitled to purchase </w:t>
      </w:r>
      <w:r w:rsidR="00395C31">
        <w:rPr>
          <w:rFonts w:cs="Times New Roman"/>
          <w:szCs w:val="24"/>
        </w:rPr>
        <w:t xml:space="preserve">prior non-membership substitute and part-time </w:t>
      </w:r>
      <w:r>
        <w:rPr>
          <w:rFonts w:cs="Times New Roman"/>
          <w:szCs w:val="24"/>
        </w:rPr>
        <w:t xml:space="preserve">service </w:t>
      </w:r>
      <w:r w:rsidR="00395C31">
        <w:rPr>
          <w:rFonts w:cs="Times New Roman"/>
          <w:szCs w:val="24"/>
        </w:rPr>
        <w:t>at t</w:t>
      </w:r>
      <w:r>
        <w:rPr>
          <w:rFonts w:cs="Times New Roman"/>
          <w:szCs w:val="24"/>
        </w:rPr>
        <w:t xml:space="preserve">he </w:t>
      </w:r>
      <w:r w:rsidR="00395C31">
        <w:rPr>
          <w:rFonts w:cs="Times New Roman"/>
          <w:szCs w:val="24"/>
        </w:rPr>
        <w:t xml:space="preserve">former </w:t>
      </w:r>
      <w:r>
        <w:rPr>
          <w:rFonts w:cs="Times New Roman"/>
          <w:szCs w:val="24"/>
        </w:rPr>
        <w:t>buyback interest rate</w:t>
      </w:r>
      <w:r w:rsidR="0072545F">
        <w:rPr>
          <w:rFonts w:cs="Times New Roman"/>
          <w:szCs w:val="24"/>
        </w:rPr>
        <w:t xml:space="preserve"> of 4.125% instead of the twice-as-high actuarial assumed rate.</w:t>
      </w:r>
      <w:r w:rsidR="003B3998">
        <w:rPr>
          <w:rFonts w:cs="Times New Roman"/>
          <w:szCs w:val="24"/>
        </w:rPr>
        <w:t xml:space="preserve">  </w:t>
      </w:r>
      <w:r w:rsidR="00B75D38" w:rsidRPr="003B3998">
        <w:rPr>
          <w:rFonts w:cs="Times New Roman"/>
          <w:szCs w:val="24"/>
        </w:rPr>
        <w:t>G.L. c. 32, § 3(</w:t>
      </w:r>
      <w:r w:rsidR="00395C31">
        <w:rPr>
          <w:rFonts w:cs="Times New Roman"/>
          <w:szCs w:val="24"/>
        </w:rPr>
        <w:t>5</w:t>
      </w:r>
      <w:r w:rsidR="00B75D38" w:rsidRPr="003B3998">
        <w:rPr>
          <w:rFonts w:cs="Times New Roman"/>
          <w:szCs w:val="24"/>
        </w:rPr>
        <w:t xml:space="preserve">) allows </w:t>
      </w:r>
      <w:r w:rsidR="00395C31">
        <w:rPr>
          <w:rFonts w:cs="Times New Roman"/>
          <w:szCs w:val="24"/>
        </w:rPr>
        <w:t xml:space="preserve">a </w:t>
      </w:r>
      <w:r w:rsidR="00B75D38" w:rsidRPr="003B3998">
        <w:rPr>
          <w:rFonts w:cs="Times New Roman"/>
          <w:szCs w:val="24"/>
        </w:rPr>
        <w:t xml:space="preserve">member of </w:t>
      </w:r>
      <w:r w:rsidR="00395C31">
        <w:rPr>
          <w:rFonts w:cs="Times New Roman"/>
          <w:szCs w:val="24"/>
        </w:rPr>
        <w:t xml:space="preserve">a </w:t>
      </w:r>
      <w:r w:rsidR="00B75D38" w:rsidRPr="003B3998">
        <w:rPr>
          <w:rFonts w:cs="Times New Roman"/>
          <w:szCs w:val="24"/>
        </w:rPr>
        <w:lastRenderedPageBreak/>
        <w:t>Chapter 32 retirement system</w:t>
      </w:r>
      <w:r w:rsidR="00395C31">
        <w:rPr>
          <w:rFonts w:cs="Times New Roman"/>
          <w:szCs w:val="24"/>
        </w:rPr>
        <w:t xml:space="preserve"> </w:t>
      </w:r>
      <w:r w:rsidR="00B75D38" w:rsidRPr="003B3998">
        <w:rPr>
          <w:rFonts w:cs="Times New Roman"/>
          <w:szCs w:val="24"/>
        </w:rPr>
        <w:t xml:space="preserve">who </w:t>
      </w:r>
      <w:r w:rsidR="00395C31">
        <w:rPr>
          <w:rFonts w:cs="Times New Roman"/>
          <w:szCs w:val="24"/>
        </w:rPr>
        <w:t xml:space="preserve">“rendered service in any governmental unit other than that by which [she] is presently employed, in a temporary, provisional, or substitute position and who was excluded from membership by the rules of any board” to </w:t>
      </w:r>
      <w:r w:rsidR="00B75D38" w:rsidRPr="003B3998">
        <w:rPr>
          <w:rFonts w:cs="Times New Roman"/>
          <w:szCs w:val="24"/>
        </w:rPr>
        <w:t xml:space="preserve">purchase </w:t>
      </w:r>
      <w:r w:rsidR="00395C31">
        <w:rPr>
          <w:rFonts w:cs="Times New Roman"/>
          <w:szCs w:val="24"/>
        </w:rPr>
        <w:t>her</w:t>
      </w:r>
      <w:r w:rsidR="00B75D38" w:rsidRPr="003B3998">
        <w:rPr>
          <w:rFonts w:cs="Times New Roman"/>
          <w:szCs w:val="24"/>
        </w:rPr>
        <w:t xml:space="preserve"> prior service.</w:t>
      </w:r>
      <w:r w:rsidR="00B75D38" w:rsidRPr="003B3998">
        <w:t xml:space="preserve">  The interest rate applicable to the </w:t>
      </w:r>
      <w:r w:rsidR="00395C31">
        <w:t>purchase</w:t>
      </w:r>
      <w:r w:rsidR="00B75D38" w:rsidRPr="003B3998">
        <w:t xml:space="preserve"> is determined by G.L. c. 32, § 3(8)(b), which provides:</w:t>
      </w:r>
    </w:p>
    <w:p w:rsidR="00B75D38" w:rsidRPr="003B3998" w:rsidRDefault="00B75D38" w:rsidP="00B75D38">
      <w:pPr>
        <w:ind w:left="720" w:right="720"/>
        <w:jc w:val="left"/>
      </w:pPr>
      <w:r w:rsidRPr="003B3998">
        <w:t xml:space="preserve">Notwithstanding any provision of this chapter to the contrary, </w:t>
      </w:r>
      <w:r w:rsidRPr="003B3998">
        <w:rPr>
          <w:i/>
        </w:rPr>
        <w:t>a member</w:t>
      </w:r>
      <w:r w:rsidRPr="003B3998">
        <w:t xml:space="preserve"> who is reinstated to, or re-enters the active service of, a governmental unit, </w:t>
      </w:r>
      <w:r w:rsidRPr="00395C31">
        <w:rPr>
          <w:i/>
        </w:rPr>
        <w:t>or who is eligible to receive credit for other service under this section</w:t>
      </w:r>
      <w:r w:rsidRPr="003B3998">
        <w:t xml:space="preserve">, and </w:t>
      </w:r>
      <w:r w:rsidRPr="003B3998">
        <w:rPr>
          <w:i/>
        </w:rPr>
        <w:t>who does not</w:t>
      </w:r>
      <w:r w:rsidRPr="003B3998">
        <w:t xml:space="preserve">, (i) </w:t>
      </w:r>
      <w:r w:rsidRPr="003B3998">
        <w:rPr>
          <w:i/>
        </w:rPr>
        <w:t>pay</w:t>
      </w:r>
      <w:r w:rsidRPr="003B3998">
        <w:t xml:space="preserve"> into the annuity savings fund of the system make-up payments of an amount equal to the accumulated regular deductions withdrawn by the member, together with buyback interest; </w:t>
      </w:r>
      <w:r w:rsidRPr="003B3998">
        <w:rPr>
          <w:i/>
        </w:rPr>
        <w:t>or</w:t>
      </w:r>
      <w:r w:rsidRPr="003B3998">
        <w:t xml:space="preserve"> (ii) </w:t>
      </w:r>
      <w:r w:rsidRPr="003B3998">
        <w:rPr>
          <w:i/>
        </w:rPr>
        <w:t>make provision for the repayment in installments</w:t>
      </w:r>
      <w:r w:rsidRPr="003B3998">
        <w:t xml:space="preserve">, upon such terms and conditions as the board may prescribe, to pay into the annuity savings fund of the system make-up payments of an amount equal to the accumulated regular deductions withdrawn by the member, </w:t>
      </w:r>
      <w:r w:rsidRPr="005A53C4">
        <w:rPr>
          <w:i/>
        </w:rPr>
        <w:t xml:space="preserve">together with buyback interest, within 1 year from the date of reinstatement or re-entry or within 1 year after April 2, 2012, whichever is later, shall pay actuarial assumed interest instead of buyback interest </w:t>
      </w:r>
      <w:r w:rsidRPr="005A53C4">
        <w:t>on all make-up payments to be entitled to creditable service resulting from the previous employment</w:t>
      </w:r>
      <w:r w:rsidRPr="003B3998">
        <w:rPr>
          <w:i/>
        </w:rPr>
        <w:t>.</w:t>
      </w:r>
    </w:p>
    <w:p w:rsidR="00B75D38" w:rsidRDefault="00B75D38" w:rsidP="00B75D38">
      <w:pPr>
        <w:spacing w:after="0" w:line="480" w:lineRule="auto"/>
        <w:jc w:val="left"/>
      </w:pPr>
      <w:r w:rsidRPr="003B3998">
        <w:t>(Emphasis added)</w:t>
      </w:r>
      <w:r w:rsidR="00153E83">
        <w:t>.</w:t>
      </w:r>
    </w:p>
    <w:p w:rsidR="009A741F" w:rsidRPr="003B3998" w:rsidRDefault="009A741F" w:rsidP="00B75D38">
      <w:pPr>
        <w:spacing w:after="0" w:line="480" w:lineRule="auto"/>
        <w:jc w:val="left"/>
      </w:pPr>
      <w:r>
        <w:tab/>
        <w:t xml:space="preserve">In response to the overwhelming number of service purchase applications to </w:t>
      </w:r>
      <w:r w:rsidR="00153E83">
        <w:t xml:space="preserve">purchase </w:t>
      </w:r>
      <w:r>
        <w:t>prior service before the interest rate</w:t>
      </w:r>
      <w:r w:rsidR="0020282B">
        <w:t xml:space="preserve"> increased</w:t>
      </w:r>
      <w:r>
        <w:t xml:space="preserve">, MTRS </w:t>
      </w:r>
      <w:r w:rsidR="0013552E">
        <w:t xml:space="preserve">adopted a policy of </w:t>
      </w:r>
      <w:r w:rsidR="00153E83">
        <w:t>appl</w:t>
      </w:r>
      <w:r w:rsidR="0013552E">
        <w:t xml:space="preserve">ying </w:t>
      </w:r>
      <w:r w:rsidR="00153E83">
        <w:t>the lower buyback rate to any service purchases applied for by April 2, 2013.</w:t>
      </w:r>
      <w:r w:rsidR="0013552E">
        <w:t xml:space="preserve">  Members were still required to follow the instructions on the invoices that directed them to either pay the lump sum or the first installment payment within 60 days of the date of the invoice.</w:t>
      </w:r>
      <w:r w:rsidR="006547E4">
        <w:t xml:space="preserve">  This </w:t>
      </w:r>
      <w:r w:rsidR="0013552E">
        <w:t xml:space="preserve">forgiving policy </w:t>
      </w:r>
      <w:r w:rsidR="006547E4">
        <w:t>allowed members to make their purchase</w:t>
      </w:r>
      <w:r w:rsidR="0013552E">
        <w:t>s</w:t>
      </w:r>
      <w:r w:rsidR="006547E4">
        <w:t xml:space="preserve"> at the buyback rate and not be penalized by MTRS’s inability to process the deluge of application</w:t>
      </w:r>
      <w:r w:rsidR="00777027">
        <w:t>s</w:t>
      </w:r>
      <w:r w:rsidR="006547E4">
        <w:t xml:space="preserve"> by April 2, 2013</w:t>
      </w:r>
      <w:r w:rsidR="00777027">
        <w:t xml:space="preserve"> statutory deadline</w:t>
      </w:r>
      <w:r w:rsidR="006547E4">
        <w:t>.</w:t>
      </w:r>
      <w:r w:rsidR="008559D7">
        <w:t xml:space="preserve">  </w:t>
      </w:r>
      <w:r w:rsidR="00AE446E">
        <w:t xml:space="preserve">While Ms. Perrault did file her application </w:t>
      </w:r>
      <w:r w:rsidR="006547E4">
        <w:t>by April 2, 2013</w:t>
      </w:r>
      <w:r w:rsidR="00AE446E">
        <w:t>, she did not pay or a</w:t>
      </w:r>
      <w:r w:rsidR="009C3C5E">
        <w:t xml:space="preserve">rrange for payment </w:t>
      </w:r>
      <w:r w:rsidR="006547E4">
        <w:t xml:space="preserve">of the invoice </w:t>
      </w:r>
      <w:r w:rsidR="009C3C5E">
        <w:t xml:space="preserve">within </w:t>
      </w:r>
      <w:r w:rsidR="009C3C5E">
        <w:lastRenderedPageBreak/>
        <w:t>the sixty</w:t>
      </w:r>
      <w:r w:rsidR="006547E4">
        <w:t>-</w:t>
      </w:r>
      <w:r w:rsidR="00AE446E">
        <w:t xml:space="preserve">day window </w:t>
      </w:r>
      <w:r w:rsidR="006547E4">
        <w:t xml:space="preserve">listed in the invoice.  </w:t>
      </w:r>
      <w:r w:rsidR="00AE446E">
        <w:t>She is therefore not entitled to the buyback interest rate</w:t>
      </w:r>
      <w:r w:rsidR="006547E4">
        <w:t xml:space="preserve"> and must instead pay the actuarial assumed rate</w:t>
      </w:r>
      <w:r w:rsidR="00AE446E">
        <w:t>.</w:t>
      </w:r>
    </w:p>
    <w:p w:rsidR="009B7108" w:rsidRPr="00EE27AF" w:rsidRDefault="009B7108" w:rsidP="00B75D38">
      <w:pPr>
        <w:spacing w:after="0" w:line="480" w:lineRule="auto"/>
        <w:ind w:firstLine="720"/>
        <w:jc w:val="left"/>
        <w:rPr>
          <w:rFonts w:cs="Times New Roman"/>
          <w:szCs w:val="24"/>
        </w:rPr>
      </w:pPr>
      <w:r w:rsidRPr="009B7108">
        <w:rPr>
          <w:rFonts w:cs="Times New Roman"/>
          <w:szCs w:val="24"/>
        </w:rPr>
        <w:t>Ms. Perrault</w:t>
      </w:r>
      <w:r w:rsidR="0021359D">
        <w:rPr>
          <w:rFonts w:cs="Times New Roman"/>
          <w:szCs w:val="24"/>
        </w:rPr>
        <w:t xml:space="preserve"> </w:t>
      </w:r>
      <w:r w:rsidR="006547E4">
        <w:rPr>
          <w:rFonts w:cs="Times New Roman"/>
          <w:szCs w:val="24"/>
        </w:rPr>
        <w:t xml:space="preserve">makes several claims on appeal.  First, she </w:t>
      </w:r>
      <w:r w:rsidR="0021359D">
        <w:rPr>
          <w:rFonts w:cs="Times New Roman"/>
          <w:szCs w:val="24"/>
        </w:rPr>
        <w:t>claim</w:t>
      </w:r>
      <w:r w:rsidR="00B75D38" w:rsidRPr="009B7108">
        <w:rPr>
          <w:rFonts w:cs="Times New Roman"/>
          <w:szCs w:val="24"/>
        </w:rPr>
        <w:t xml:space="preserve">s that she did not receive the </w:t>
      </w:r>
      <w:r w:rsidRPr="009B7108">
        <w:rPr>
          <w:rFonts w:cs="Times New Roman"/>
          <w:szCs w:val="24"/>
        </w:rPr>
        <w:t>February 21</w:t>
      </w:r>
      <w:r w:rsidR="00B75D38" w:rsidRPr="009B7108">
        <w:rPr>
          <w:rFonts w:cs="Times New Roman"/>
          <w:szCs w:val="24"/>
        </w:rPr>
        <w:t>, 201</w:t>
      </w:r>
      <w:r w:rsidRPr="009B7108">
        <w:rPr>
          <w:rFonts w:cs="Times New Roman"/>
          <w:szCs w:val="24"/>
        </w:rPr>
        <w:t>4</w:t>
      </w:r>
      <w:r w:rsidR="00B75D38" w:rsidRPr="009B7108">
        <w:rPr>
          <w:rFonts w:cs="Times New Roman"/>
          <w:szCs w:val="24"/>
        </w:rPr>
        <w:t xml:space="preserve"> invoice</w:t>
      </w:r>
      <w:r w:rsidR="0020282B">
        <w:rPr>
          <w:rFonts w:cs="Times New Roman"/>
          <w:szCs w:val="24"/>
        </w:rPr>
        <w:t xml:space="preserve"> and</w:t>
      </w:r>
      <w:r w:rsidR="00A52668">
        <w:rPr>
          <w:rFonts w:cs="Times New Roman"/>
          <w:szCs w:val="24"/>
        </w:rPr>
        <w:t xml:space="preserve"> argues</w:t>
      </w:r>
      <w:r w:rsidR="00B75D38" w:rsidRPr="009B7108">
        <w:rPr>
          <w:rFonts w:cs="Times New Roman"/>
          <w:szCs w:val="24"/>
        </w:rPr>
        <w:t xml:space="preserve"> </w:t>
      </w:r>
      <w:r w:rsidR="00CF7131">
        <w:rPr>
          <w:rFonts w:cs="Times New Roman"/>
          <w:szCs w:val="24"/>
        </w:rPr>
        <w:t xml:space="preserve">that she </w:t>
      </w:r>
      <w:r w:rsidR="00261FD2">
        <w:rPr>
          <w:rFonts w:cs="Times New Roman"/>
          <w:szCs w:val="24"/>
        </w:rPr>
        <w:t>would have seen it</w:t>
      </w:r>
      <w:r w:rsidR="00DE4CBE">
        <w:rPr>
          <w:rFonts w:cs="Times New Roman"/>
          <w:szCs w:val="24"/>
        </w:rPr>
        <w:t xml:space="preserve"> if it had been delivered</w:t>
      </w:r>
      <w:r w:rsidR="00A52668">
        <w:rPr>
          <w:rFonts w:cs="Times New Roman"/>
          <w:szCs w:val="24"/>
        </w:rPr>
        <w:t>,</w:t>
      </w:r>
      <w:r w:rsidR="00261FD2">
        <w:rPr>
          <w:rFonts w:cs="Times New Roman"/>
          <w:szCs w:val="24"/>
        </w:rPr>
        <w:t xml:space="preserve"> since Ms. and Mr. Perrault have a regular mail routine and were</w:t>
      </w:r>
      <w:r w:rsidR="00DE4CBE">
        <w:rPr>
          <w:rFonts w:cs="Times New Roman"/>
          <w:szCs w:val="24"/>
        </w:rPr>
        <w:t xml:space="preserve"> anticipating the invoice</w:t>
      </w:r>
      <w:r w:rsidR="00261FD2">
        <w:rPr>
          <w:rFonts w:cs="Times New Roman"/>
          <w:szCs w:val="24"/>
        </w:rPr>
        <w:t>.</w:t>
      </w:r>
      <w:r w:rsidR="00B75D38" w:rsidRPr="009B7108">
        <w:rPr>
          <w:rFonts w:cs="Times New Roman"/>
          <w:szCs w:val="24"/>
        </w:rPr>
        <w:t xml:space="preserve">  </w:t>
      </w:r>
      <w:r w:rsidR="006547E4">
        <w:rPr>
          <w:rFonts w:cs="Times New Roman"/>
          <w:szCs w:val="24"/>
        </w:rPr>
        <w:t>I</w:t>
      </w:r>
      <w:r w:rsidR="002F22D8">
        <w:rPr>
          <w:rFonts w:cs="Times New Roman"/>
          <w:szCs w:val="24"/>
        </w:rPr>
        <w:t>n Massachusetts</w:t>
      </w:r>
      <w:r w:rsidR="00FB2CD9" w:rsidRPr="00FB2CD9">
        <w:rPr>
          <w:rFonts w:cs="Times New Roman"/>
          <w:szCs w:val="24"/>
        </w:rPr>
        <w:t xml:space="preserve"> the regular course of the mails is presumed.  </w:t>
      </w:r>
      <w:r w:rsidR="00FB2CD9" w:rsidRPr="00FE7992">
        <w:rPr>
          <w:rFonts w:cs="Times New Roman"/>
          <w:i/>
          <w:szCs w:val="24"/>
        </w:rPr>
        <w:t>See</w:t>
      </w:r>
      <w:r w:rsidR="00FB2CD9" w:rsidRPr="00FB2CD9">
        <w:rPr>
          <w:rFonts w:cs="Times New Roman"/>
          <w:szCs w:val="24"/>
        </w:rPr>
        <w:t xml:space="preserve"> </w:t>
      </w:r>
      <w:r w:rsidR="00FB2CD9" w:rsidRPr="00FE7992">
        <w:rPr>
          <w:rFonts w:cs="Times New Roman"/>
          <w:i/>
          <w:szCs w:val="24"/>
        </w:rPr>
        <w:t>Holiver v. Dep’t of Public Works</w:t>
      </w:r>
      <w:r w:rsidR="00FB2CD9" w:rsidRPr="00FB2CD9">
        <w:rPr>
          <w:rFonts w:cs="Times New Roman"/>
          <w:szCs w:val="24"/>
        </w:rPr>
        <w:t xml:space="preserve">, 333 Mass. 18, 21 (1955); </w:t>
      </w:r>
      <w:r w:rsidR="00FB2CD9" w:rsidRPr="0013552E">
        <w:rPr>
          <w:rFonts w:cs="Times New Roman"/>
          <w:i/>
          <w:szCs w:val="24"/>
        </w:rPr>
        <w:t>Federal Ins. Co. v. Summers</w:t>
      </w:r>
      <w:r w:rsidR="00FB2CD9" w:rsidRPr="00FB2CD9">
        <w:rPr>
          <w:rFonts w:cs="Times New Roman"/>
          <w:szCs w:val="24"/>
        </w:rPr>
        <w:t xml:space="preserve">, 403 F.2d 971, 975 (1968) (Massachusetts law does not require evidence or judicial notice of regularity of mails because it is presumed).  Therefore, </w:t>
      </w:r>
      <w:r w:rsidR="0020282B">
        <w:rPr>
          <w:rFonts w:cs="Times New Roman"/>
          <w:szCs w:val="24"/>
        </w:rPr>
        <w:t>proof</w:t>
      </w:r>
      <w:r w:rsidR="00FB2CD9" w:rsidRPr="00FB2CD9">
        <w:rPr>
          <w:rFonts w:cs="Times New Roman"/>
          <w:szCs w:val="24"/>
        </w:rPr>
        <w:t xml:space="preserve"> of mailing </w:t>
      </w:r>
      <w:r w:rsidR="002F22D8">
        <w:rPr>
          <w:rFonts w:cs="Times New Roman"/>
          <w:szCs w:val="24"/>
        </w:rPr>
        <w:t xml:space="preserve">alone </w:t>
      </w:r>
      <w:r w:rsidR="00C32C48">
        <w:rPr>
          <w:rFonts w:cs="Times New Roman"/>
          <w:szCs w:val="24"/>
        </w:rPr>
        <w:t xml:space="preserve">is prima facie evidence </w:t>
      </w:r>
      <w:r w:rsidR="00FB2CD9" w:rsidRPr="00FB2CD9">
        <w:rPr>
          <w:rFonts w:cs="Times New Roman"/>
          <w:szCs w:val="24"/>
        </w:rPr>
        <w:t xml:space="preserve">that it was received.  </w:t>
      </w:r>
      <w:r w:rsidR="00FB2CD9" w:rsidRPr="00FE7992">
        <w:rPr>
          <w:rFonts w:cs="Times New Roman"/>
          <w:i/>
          <w:szCs w:val="24"/>
        </w:rPr>
        <w:t>See</w:t>
      </w:r>
      <w:r w:rsidR="00FB2CD9" w:rsidRPr="00FB2CD9">
        <w:rPr>
          <w:rFonts w:cs="Times New Roman"/>
          <w:szCs w:val="24"/>
        </w:rPr>
        <w:t xml:space="preserve"> </w:t>
      </w:r>
      <w:r w:rsidR="00FB2CD9" w:rsidRPr="00FE7992">
        <w:rPr>
          <w:rFonts w:cs="Times New Roman"/>
          <w:i/>
          <w:szCs w:val="24"/>
        </w:rPr>
        <w:t>Anderson v. Inhabitants of Town of Billerica</w:t>
      </w:r>
      <w:r w:rsidR="00FB2CD9" w:rsidRPr="00FB2CD9">
        <w:rPr>
          <w:rFonts w:cs="Times New Roman"/>
          <w:szCs w:val="24"/>
        </w:rPr>
        <w:t>, 309 Mass. 516, 518 (1941).</w:t>
      </w:r>
      <w:r w:rsidR="00261FD2">
        <w:rPr>
          <w:rFonts w:cs="Times New Roman"/>
          <w:szCs w:val="24"/>
        </w:rPr>
        <w:t xml:space="preserve">  In this case, there is little</w:t>
      </w:r>
      <w:r w:rsidR="008B1CF7">
        <w:rPr>
          <w:rFonts w:cs="Times New Roman"/>
          <w:szCs w:val="24"/>
        </w:rPr>
        <w:t xml:space="preserve"> reason to doubt that MTRS followed </w:t>
      </w:r>
      <w:r w:rsidR="001A5B46">
        <w:rPr>
          <w:rFonts w:cs="Times New Roman"/>
          <w:szCs w:val="24"/>
        </w:rPr>
        <w:t>its</w:t>
      </w:r>
      <w:r w:rsidR="008B1CF7">
        <w:rPr>
          <w:rFonts w:cs="Times New Roman"/>
          <w:szCs w:val="24"/>
        </w:rPr>
        <w:t xml:space="preserve"> standard business practice</w:t>
      </w:r>
      <w:r w:rsidR="006547E4">
        <w:rPr>
          <w:rFonts w:cs="Times New Roman"/>
          <w:szCs w:val="24"/>
        </w:rPr>
        <w:t xml:space="preserve"> of mailing the invoices directly after they were generated</w:t>
      </w:r>
      <w:r w:rsidR="004751A1">
        <w:t>,</w:t>
      </w:r>
      <w:r w:rsidR="00E10717">
        <w:t xml:space="preserve"> since i</w:t>
      </w:r>
      <w:r w:rsidR="00FE7992">
        <w:t>t is likely that “one regularly entrusted with a routine</w:t>
      </w:r>
      <w:r w:rsidR="00CC4689">
        <w:t xml:space="preserve"> [</w:t>
      </w:r>
      <w:r w:rsidR="00777D28">
        <w:t>employment</w:t>
      </w:r>
      <w:r w:rsidR="00CC4689">
        <w:t>]</w:t>
      </w:r>
      <w:r w:rsidR="00777D28">
        <w:t xml:space="preserve"> duty</w:t>
      </w:r>
      <w:r w:rsidR="00FE7992">
        <w:t xml:space="preserve"> will perform it in a particular instance.”  </w:t>
      </w:r>
      <w:r w:rsidR="00BD2E9F">
        <w:rPr>
          <w:i/>
        </w:rPr>
        <w:t xml:space="preserve">See </w:t>
      </w:r>
      <w:r w:rsidR="00FE7992">
        <w:rPr>
          <w:i/>
        </w:rPr>
        <w:t xml:space="preserve">Id. </w:t>
      </w:r>
      <w:r w:rsidR="00FE7992">
        <w:t xml:space="preserve">at 518; </w:t>
      </w:r>
      <w:r w:rsidR="00FE7992">
        <w:rPr>
          <w:i/>
        </w:rPr>
        <w:t>Santarpio v. New York Life Ins. Co.</w:t>
      </w:r>
      <w:r w:rsidR="00FE7992">
        <w:t>, 301 Mass. 207, 209</w:t>
      </w:r>
      <w:r w:rsidR="006547E4">
        <w:t xml:space="preserve"> </w:t>
      </w:r>
      <w:r w:rsidR="00FE7992">
        <w:t xml:space="preserve">(1938); </w:t>
      </w:r>
      <w:r w:rsidR="00FE7992">
        <w:rPr>
          <w:i/>
        </w:rPr>
        <w:t>Swampscott Machine Co. v. Rice</w:t>
      </w:r>
      <w:r w:rsidR="00FE7992">
        <w:t>, 159 Mass. 404</w:t>
      </w:r>
      <w:r w:rsidR="008E6FF8">
        <w:t xml:space="preserve"> </w:t>
      </w:r>
      <w:r w:rsidR="00FE7992">
        <w:t>(1893)</w:t>
      </w:r>
      <w:r w:rsidR="008E6FF8">
        <w:t>.</w:t>
      </w:r>
      <w:r w:rsidR="008B1CF7">
        <w:t xml:space="preserve">  Additionally, </w:t>
      </w:r>
      <w:r w:rsidR="00394AB5">
        <w:t>Ms. Perrault</w:t>
      </w:r>
      <w:r w:rsidR="008B1CF7">
        <w:t xml:space="preserve"> receiv</w:t>
      </w:r>
      <w:r w:rsidR="008E6FF8">
        <w:t>ed</w:t>
      </w:r>
      <w:r w:rsidR="004751A1">
        <w:t xml:space="preserve">, </w:t>
      </w:r>
      <w:r w:rsidR="008B1CF7">
        <w:t>and produced</w:t>
      </w:r>
      <w:r w:rsidR="008E6FF8">
        <w:t xml:space="preserve"> at the hearing</w:t>
      </w:r>
      <w:r w:rsidR="00394AB5">
        <w:t>,</w:t>
      </w:r>
      <w:r w:rsidR="008B1CF7">
        <w:t xml:space="preserve"> other </w:t>
      </w:r>
      <w:r w:rsidR="008E6FF8">
        <w:t xml:space="preserve">MTRS </w:t>
      </w:r>
      <w:r w:rsidR="008B1CF7">
        <w:t xml:space="preserve">mailings sent to </w:t>
      </w:r>
      <w:r w:rsidR="008E6FF8">
        <w:t xml:space="preserve">her same home </w:t>
      </w:r>
      <w:r w:rsidR="008B1CF7">
        <w:t>address</w:t>
      </w:r>
      <w:r w:rsidR="005378DC">
        <w:t xml:space="preserve"> that was</w:t>
      </w:r>
      <w:r w:rsidR="008B1CF7">
        <w:t xml:space="preserve"> printed on the February 2014 invoice.  </w:t>
      </w:r>
      <w:r w:rsidR="00F57874">
        <w:t xml:space="preserve">(Exs. 4, 5, 6, 7, and 8.)  </w:t>
      </w:r>
      <w:r w:rsidR="008D3823">
        <w:t xml:space="preserve">These factors are </w:t>
      </w:r>
      <w:r w:rsidR="008E6FF8">
        <w:t xml:space="preserve">strong </w:t>
      </w:r>
      <w:r w:rsidR="008B1CF7">
        <w:t>evidenc</w:t>
      </w:r>
      <w:r w:rsidR="00AD4F44">
        <w:t>e that the invoice was mailed to Ms. Perrault</w:t>
      </w:r>
      <w:r w:rsidR="00394AB5">
        <w:t>.</w:t>
      </w:r>
      <w:r w:rsidR="008B1CF7">
        <w:t xml:space="preserve">  </w:t>
      </w:r>
      <w:r w:rsidR="00531340">
        <w:t>Ms. and Mr. Perrault’s testimony regarding their</w:t>
      </w:r>
      <w:r w:rsidR="00C379C6">
        <w:t xml:space="preserve"> personal</w:t>
      </w:r>
      <w:r w:rsidR="008C3476">
        <w:t xml:space="preserve"> mail practices</w:t>
      </w:r>
      <w:r w:rsidR="008E6FF8">
        <w:t>, alone,</w:t>
      </w:r>
      <w:r w:rsidR="008C3476">
        <w:t xml:space="preserve"> is </w:t>
      </w:r>
      <w:r w:rsidR="008E6FF8">
        <w:t>not enough to tip the scales in their direction.</w:t>
      </w:r>
    </w:p>
    <w:p w:rsidR="00B75D38" w:rsidRDefault="00EE27AF" w:rsidP="00B75D38">
      <w:pPr>
        <w:spacing w:after="0" w:line="480" w:lineRule="auto"/>
        <w:ind w:firstLine="720"/>
        <w:jc w:val="left"/>
        <w:rPr>
          <w:rFonts w:cs="Times New Roman"/>
          <w:szCs w:val="24"/>
        </w:rPr>
      </w:pPr>
      <w:r w:rsidRPr="00EE27AF">
        <w:rPr>
          <w:rFonts w:cs="Times New Roman"/>
          <w:szCs w:val="24"/>
        </w:rPr>
        <w:t>Ms. Perrault</w:t>
      </w:r>
      <w:r w:rsidR="00551CF9">
        <w:rPr>
          <w:rFonts w:cs="Times New Roman"/>
          <w:szCs w:val="24"/>
        </w:rPr>
        <w:t xml:space="preserve"> also</w:t>
      </w:r>
      <w:r w:rsidR="00B75D38" w:rsidRPr="00EE27AF">
        <w:rPr>
          <w:rFonts w:cs="Times New Roman"/>
          <w:szCs w:val="24"/>
        </w:rPr>
        <w:t xml:space="preserve"> asserts that MTRS has a flawed system that makes no attempt to confirm receipt of MTRS invoices.  MTRS generates and sends invoices through the United States Postal Service and owes Ms. </w:t>
      </w:r>
      <w:r w:rsidRPr="00EE27AF">
        <w:rPr>
          <w:rFonts w:cs="Times New Roman"/>
          <w:szCs w:val="24"/>
        </w:rPr>
        <w:t>Perrault</w:t>
      </w:r>
      <w:r w:rsidR="00B75D38" w:rsidRPr="00EE27AF">
        <w:rPr>
          <w:rFonts w:cs="Times New Roman"/>
          <w:szCs w:val="24"/>
        </w:rPr>
        <w:t xml:space="preserve"> no duty to confirm receipt of a sent </w:t>
      </w:r>
      <w:r w:rsidR="00B75D38" w:rsidRPr="00EE27AF">
        <w:rPr>
          <w:rFonts w:cs="Times New Roman"/>
          <w:szCs w:val="24"/>
        </w:rPr>
        <w:lastRenderedPageBreak/>
        <w:t>invoice.  The duties and responsibilities of a retirement board are statutorily defined in Chapter 32</w:t>
      </w:r>
      <w:r w:rsidR="00BA1F45">
        <w:rPr>
          <w:rFonts w:cs="Times New Roman"/>
          <w:szCs w:val="24"/>
        </w:rPr>
        <w:t>, and</w:t>
      </w:r>
      <w:r w:rsidR="005C6901">
        <w:rPr>
          <w:rFonts w:cs="Times New Roman"/>
          <w:szCs w:val="24"/>
        </w:rPr>
        <w:t xml:space="preserve"> </w:t>
      </w:r>
      <w:r w:rsidR="000F34B7">
        <w:rPr>
          <w:rFonts w:cs="Times New Roman"/>
          <w:szCs w:val="24"/>
        </w:rPr>
        <w:t>MTRS</w:t>
      </w:r>
      <w:r w:rsidR="00BA1F45">
        <w:rPr>
          <w:rFonts w:cs="Times New Roman"/>
          <w:szCs w:val="24"/>
        </w:rPr>
        <w:t>’s</w:t>
      </w:r>
      <w:r w:rsidR="00B75D38" w:rsidRPr="00EE27AF">
        <w:rPr>
          <w:rFonts w:cs="Times New Roman"/>
          <w:szCs w:val="24"/>
        </w:rPr>
        <w:t xml:space="preserve"> general powers and duties are set out in Section 20(5)</w:t>
      </w:r>
      <w:r w:rsidR="00074FB3">
        <w:rPr>
          <w:rFonts w:cs="Times New Roman"/>
          <w:szCs w:val="24"/>
        </w:rPr>
        <w:t>.</w:t>
      </w:r>
      <w:r w:rsidR="00B75D38" w:rsidRPr="00EE27AF">
        <w:rPr>
          <w:rFonts w:cs="Times New Roman"/>
          <w:szCs w:val="24"/>
        </w:rPr>
        <w:t xml:space="preserve">  </w:t>
      </w:r>
      <w:r w:rsidR="00074FB3">
        <w:rPr>
          <w:rFonts w:cs="Times New Roman"/>
          <w:szCs w:val="24"/>
        </w:rPr>
        <w:t>That</w:t>
      </w:r>
      <w:r w:rsidR="00B75D38" w:rsidRPr="00EE27AF">
        <w:rPr>
          <w:rFonts w:cs="Times New Roman"/>
          <w:szCs w:val="24"/>
        </w:rPr>
        <w:t xml:space="preserve"> provision impose</w:t>
      </w:r>
      <w:r w:rsidR="00074FB3">
        <w:rPr>
          <w:rFonts w:cs="Times New Roman"/>
          <w:szCs w:val="24"/>
        </w:rPr>
        <w:t>s no</w:t>
      </w:r>
      <w:r w:rsidR="00B75D38" w:rsidRPr="00EE27AF">
        <w:rPr>
          <w:rFonts w:cs="Times New Roman"/>
          <w:szCs w:val="24"/>
        </w:rPr>
        <w:t xml:space="preserve"> general fiduciary duty in administration of the system.  This does not mean that retirement board members and staff do not do their utmost to ensure that all members are informed of their rights and benefits under the system.  They do.  However, they do not have a general fiduciary duty that is breached if they do not inform a member of every potential benefit, especially in this case where </w:t>
      </w:r>
      <w:r w:rsidR="00676D1B">
        <w:rPr>
          <w:rFonts w:cs="Times New Roman"/>
          <w:szCs w:val="24"/>
        </w:rPr>
        <w:t>Ms. Perrault</w:t>
      </w:r>
      <w:r w:rsidR="00B75D38" w:rsidRPr="00EE27AF">
        <w:rPr>
          <w:rFonts w:cs="Times New Roman"/>
          <w:szCs w:val="24"/>
        </w:rPr>
        <w:t xml:space="preserve"> had </w:t>
      </w:r>
      <w:r w:rsidR="0020282B">
        <w:rPr>
          <w:rFonts w:cs="Times New Roman"/>
          <w:szCs w:val="24"/>
        </w:rPr>
        <w:t xml:space="preserve">already </w:t>
      </w:r>
      <w:r w:rsidR="00B75D38" w:rsidRPr="00EE27AF">
        <w:rPr>
          <w:rFonts w:cs="Times New Roman"/>
          <w:szCs w:val="24"/>
        </w:rPr>
        <w:t xml:space="preserve">been informed of the </w:t>
      </w:r>
      <w:r w:rsidRPr="00EE27AF">
        <w:rPr>
          <w:rFonts w:cs="Times New Roman"/>
          <w:szCs w:val="24"/>
        </w:rPr>
        <w:t>invoice</w:t>
      </w:r>
      <w:r w:rsidR="00B75D38" w:rsidRPr="00EE27AF">
        <w:rPr>
          <w:rFonts w:cs="Times New Roman"/>
          <w:szCs w:val="24"/>
        </w:rPr>
        <w:t xml:space="preserve"> due date </w:t>
      </w:r>
      <w:r w:rsidR="00676D1B">
        <w:rPr>
          <w:rFonts w:cs="Times New Roman"/>
          <w:szCs w:val="24"/>
        </w:rPr>
        <w:t>via the application confirmation letter.</w:t>
      </w:r>
      <w:r w:rsidR="00B75D38" w:rsidRPr="00EE27AF">
        <w:rPr>
          <w:rFonts w:cs="Times New Roman"/>
          <w:szCs w:val="24"/>
        </w:rPr>
        <w:t xml:space="preserve">  </w:t>
      </w:r>
      <w:r w:rsidR="008E6FF8" w:rsidRPr="008E6FF8">
        <w:rPr>
          <w:rFonts w:cs="Times New Roman"/>
          <w:i/>
          <w:szCs w:val="24"/>
        </w:rPr>
        <w:t>See</w:t>
      </w:r>
      <w:r w:rsidR="008E6FF8">
        <w:rPr>
          <w:rFonts w:cs="Times New Roman"/>
          <w:szCs w:val="24"/>
        </w:rPr>
        <w:t xml:space="preserve"> </w:t>
      </w:r>
      <w:r w:rsidR="001D1F04" w:rsidRPr="00EE27AF">
        <w:rPr>
          <w:rFonts w:cs="Times New Roman"/>
          <w:i/>
          <w:szCs w:val="24"/>
        </w:rPr>
        <w:t>Abele v. Newton Ret. Bd.</w:t>
      </w:r>
      <w:r w:rsidR="001D1F04" w:rsidRPr="00EE27AF">
        <w:rPr>
          <w:rFonts w:cs="Times New Roman"/>
          <w:szCs w:val="24"/>
        </w:rPr>
        <w:t xml:space="preserve">, CR-08-495 (DALA 2009); </w:t>
      </w:r>
      <w:r w:rsidR="001D1F04" w:rsidRPr="00EE27AF">
        <w:rPr>
          <w:rFonts w:cs="Times New Roman"/>
          <w:i/>
          <w:szCs w:val="24"/>
        </w:rPr>
        <w:t>Thorburn v. Worcester Reg. Ret. Bd.</w:t>
      </w:r>
      <w:r w:rsidR="001D1F04" w:rsidRPr="00EE27AF">
        <w:rPr>
          <w:rFonts w:cs="Times New Roman"/>
          <w:szCs w:val="24"/>
        </w:rPr>
        <w:t xml:space="preserve">, CR-07-424 (DALA 2008); </w:t>
      </w:r>
      <w:r w:rsidR="001D1F04" w:rsidRPr="00EE27AF">
        <w:rPr>
          <w:rFonts w:cs="Times New Roman"/>
          <w:i/>
          <w:szCs w:val="24"/>
        </w:rPr>
        <w:t>Benoit v. Bristol County Ret. Bd.</w:t>
      </w:r>
      <w:r w:rsidR="001D1F04" w:rsidRPr="00EE27AF">
        <w:rPr>
          <w:rFonts w:cs="Times New Roman"/>
          <w:szCs w:val="24"/>
        </w:rPr>
        <w:t xml:space="preserve">, CR-04-291 (CRAB 2006).  </w:t>
      </w:r>
      <w:r w:rsidR="00B75D38" w:rsidRPr="00EE27AF">
        <w:rPr>
          <w:rFonts w:cs="Times New Roman"/>
          <w:szCs w:val="24"/>
        </w:rPr>
        <w:t>MTRS’s duty is one not to mislead</w:t>
      </w:r>
      <w:r w:rsidR="008E6FF8">
        <w:rPr>
          <w:rFonts w:cs="Times New Roman"/>
          <w:szCs w:val="24"/>
        </w:rPr>
        <w:t>.  Ms. Perrault’s October 2014 call to MTRS could be considered misleading, as MTRS could have checked its records and told her that the February 2014 invoice had already been sent to her.  But, by that point she had already missed the invoice deadline and was subject to the higher rate.  This arguably misleading advice to wait her turn</w:t>
      </w:r>
      <w:r w:rsidR="0045333D">
        <w:rPr>
          <w:rFonts w:cs="Times New Roman"/>
          <w:szCs w:val="24"/>
        </w:rPr>
        <w:t xml:space="preserve"> had no tangible effect on her rights.</w:t>
      </w:r>
    </w:p>
    <w:p w:rsidR="001B4543" w:rsidRDefault="001B4543" w:rsidP="00B75D38">
      <w:pPr>
        <w:spacing w:after="0" w:line="480" w:lineRule="auto"/>
        <w:ind w:firstLine="720"/>
        <w:jc w:val="left"/>
        <w:rPr>
          <w:rFonts w:cs="Times New Roman"/>
          <w:szCs w:val="24"/>
        </w:rPr>
      </w:pPr>
      <w:r>
        <w:rPr>
          <w:rFonts w:cs="Times New Roman"/>
          <w:szCs w:val="24"/>
        </w:rPr>
        <w:t xml:space="preserve">Next, </w:t>
      </w:r>
      <w:r w:rsidR="001F0889">
        <w:rPr>
          <w:rFonts w:cs="Times New Roman"/>
          <w:szCs w:val="24"/>
        </w:rPr>
        <w:t>Ms. Perrault a</w:t>
      </w:r>
      <w:r>
        <w:rPr>
          <w:rFonts w:cs="Times New Roman"/>
          <w:szCs w:val="24"/>
        </w:rPr>
        <w:t>sserts that she should pay the buyback rate because an MTRS regulation, 807 CMR 23.02, states: “The interest rate applicable to a service purchase is the interest rate as of the date of application.”  On the day that she applied, the buyback rate was still in effect; therefore, according to her, she is entitled to th</w:t>
      </w:r>
      <w:r w:rsidR="002446D3">
        <w:rPr>
          <w:rFonts w:cs="Times New Roman"/>
          <w:szCs w:val="24"/>
        </w:rPr>
        <w:t>at</w:t>
      </w:r>
      <w:r>
        <w:rPr>
          <w:rFonts w:cs="Times New Roman"/>
          <w:szCs w:val="24"/>
        </w:rPr>
        <w:t xml:space="preserve"> rate.  This conclusion is obviously appealing to her, but read along with the rest of the regulation, G.L. c. 32, § 3(8)(b), and the legislative and regulatory history, it turns out to be wrong. </w:t>
      </w:r>
    </w:p>
    <w:p w:rsidR="00482A49" w:rsidRDefault="00107D45" w:rsidP="00B75D38">
      <w:pPr>
        <w:spacing w:after="0" w:line="480" w:lineRule="auto"/>
        <w:ind w:firstLine="720"/>
        <w:jc w:val="left"/>
        <w:rPr>
          <w:rFonts w:cs="Times New Roman"/>
          <w:szCs w:val="24"/>
        </w:rPr>
      </w:pPr>
      <w:r>
        <w:rPr>
          <w:rFonts w:cs="Times New Roman"/>
          <w:szCs w:val="24"/>
        </w:rPr>
        <w:t xml:space="preserve">At first glance, 807 CMR 23.02 </w:t>
      </w:r>
      <w:r w:rsidR="00A91D80">
        <w:rPr>
          <w:rFonts w:cs="Times New Roman"/>
          <w:szCs w:val="24"/>
        </w:rPr>
        <w:t xml:space="preserve">possibly </w:t>
      </w:r>
      <w:r>
        <w:rPr>
          <w:rFonts w:cs="Times New Roman"/>
          <w:szCs w:val="24"/>
        </w:rPr>
        <w:t>contradict</w:t>
      </w:r>
      <w:r w:rsidR="00A91D80">
        <w:rPr>
          <w:rFonts w:cs="Times New Roman"/>
          <w:szCs w:val="24"/>
        </w:rPr>
        <w:t>s</w:t>
      </w:r>
      <w:r>
        <w:rPr>
          <w:rFonts w:cs="Times New Roman"/>
          <w:szCs w:val="24"/>
        </w:rPr>
        <w:t xml:space="preserve"> § 3(8)(b), which requires that members pay in a lump sum or make provision for installment payments either one year </w:t>
      </w:r>
      <w:r>
        <w:rPr>
          <w:rFonts w:cs="Times New Roman"/>
          <w:szCs w:val="24"/>
        </w:rPr>
        <w:lastRenderedPageBreak/>
        <w:t xml:space="preserve">after </w:t>
      </w:r>
      <w:r w:rsidR="00610F36">
        <w:rPr>
          <w:rFonts w:cs="Times New Roman"/>
          <w:szCs w:val="24"/>
        </w:rPr>
        <w:t xml:space="preserve">their </w:t>
      </w:r>
      <w:r>
        <w:rPr>
          <w:rFonts w:cs="Times New Roman"/>
          <w:szCs w:val="24"/>
        </w:rPr>
        <w:t>reinstatement or by April 2, 2013, whichever is later.</w:t>
      </w:r>
      <w:r w:rsidR="00610F36">
        <w:rPr>
          <w:rFonts w:cs="Times New Roman"/>
          <w:szCs w:val="24"/>
        </w:rPr>
        <w:t xml:space="preserve">  Section 3(8)(b) does not say that the applicable rate is based on the date of application.  MTRS, however, saw § 3(8)(b) as sufficiently ambiguous so as to require some clarification in its internal policies and in a regulation.  </w:t>
      </w:r>
    </w:p>
    <w:p w:rsidR="001B4543" w:rsidRDefault="00A91D80" w:rsidP="00482A49">
      <w:pPr>
        <w:spacing w:after="0" w:line="480" w:lineRule="auto"/>
        <w:ind w:firstLine="720"/>
        <w:jc w:val="left"/>
        <w:rPr>
          <w:rFonts w:cs="Times New Roman"/>
          <w:szCs w:val="24"/>
        </w:rPr>
      </w:pPr>
      <w:r>
        <w:rPr>
          <w:rFonts w:cs="Times New Roman"/>
          <w:szCs w:val="24"/>
        </w:rPr>
        <w:t xml:space="preserve">MTRS did two things.  First, it realized that the rate change would generate more applications for creditable service than it could process by April 2, 2013.  </w:t>
      </w:r>
      <w:r w:rsidR="001F1DAB">
        <w:rPr>
          <w:rFonts w:cs="Times New Roman"/>
          <w:szCs w:val="24"/>
        </w:rPr>
        <w:t>As mentioned above, t</w:t>
      </w:r>
      <w:r>
        <w:rPr>
          <w:rFonts w:cs="Times New Roman"/>
          <w:szCs w:val="24"/>
        </w:rPr>
        <w:t xml:space="preserve">o address the problem, the MTRS Board agreed to charge the buyback interest rate on all section 3 service purchases as long as the application was filed by April 2, 2013, and the member paid the invoice in a lump sum or made her first installment payment by the invoice due date (60 days from the date of issue).  </w:t>
      </w:r>
      <w:r w:rsidR="00482A49">
        <w:rPr>
          <w:rFonts w:cs="Times New Roman"/>
          <w:szCs w:val="24"/>
        </w:rPr>
        <w:t>This internal MTRS policy was meant to help its members meet the statutory deadline without holding them individually responsible for the systemic deluge of applications</w:t>
      </w:r>
      <w:r w:rsidR="002446D3">
        <w:rPr>
          <w:rFonts w:cs="Times New Roman"/>
          <w:szCs w:val="24"/>
        </w:rPr>
        <w:t>, while at the same time accomplishing the purpose of the statute: to limit the use of the buyback interest rate and thus more fully fund members’ retirement allowances with their own contributions.</w:t>
      </w:r>
      <w:r w:rsidR="00482A49">
        <w:rPr>
          <w:rFonts w:cs="Times New Roman"/>
          <w:szCs w:val="24"/>
        </w:rPr>
        <w:t xml:space="preserve">  It was not meant to allow members to file an application before the deadline and then pay the invoice anytime that she wanted before her retirement.  That interpretation would frustrate the purpose of the law.  </w:t>
      </w:r>
      <w:r w:rsidR="00243521">
        <w:rPr>
          <w:rFonts w:cs="Times New Roman"/>
          <w:szCs w:val="24"/>
        </w:rPr>
        <w:t xml:space="preserve">The amendment </w:t>
      </w:r>
      <w:r w:rsidR="00482A49">
        <w:rPr>
          <w:rFonts w:cs="Times New Roman"/>
          <w:szCs w:val="24"/>
        </w:rPr>
        <w:t xml:space="preserve">to § 3(8)(b) </w:t>
      </w:r>
      <w:r w:rsidR="00243521">
        <w:rPr>
          <w:rFonts w:cs="Times New Roman"/>
          <w:szCs w:val="24"/>
        </w:rPr>
        <w:t xml:space="preserve">addressed the long-standing practice of members waiting to purchase service until near retirement at a rate that was significantly lower than the rate of return that the retirement system would have earned on the contributions if they were made contemporaneous with the service itself.  Waiting that long to purchase service resulted in members, in effect, underfunding their retirement allowances.  </w:t>
      </w:r>
      <w:r w:rsidR="00243521" w:rsidRPr="00243521">
        <w:rPr>
          <w:rFonts w:cs="Times New Roman"/>
          <w:i/>
          <w:szCs w:val="24"/>
        </w:rPr>
        <w:t>See</w:t>
      </w:r>
      <w:r w:rsidR="00243521">
        <w:rPr>
          <w:rFonts w:cs="Times New Roman"/>
          <w:szCs w:val="24"/>
        </w:rPr>
        <w:t xml:space="preserve"> G.L. c. 32, §§ 22(3)(b), 22(8)(a), (b), and (e).</w:t>
      </w:r>
    </w:p>
    <w:p w:rsidR="00EF3E6C" w:rsidRDefault="002446D3" w:rsidP="00B75D38">
      <w:pPr>
        <w:spacing w:after="0" w:line="480" w:lineRule="auto"/>
        <w:ind w:firstLine="720"/>
        <w:jc w:val="left"/>
        <w:rPr>
          <w:rFonts w:cs="Times New Roman"/>
          <w:szCs w:val="24"/>
        </w:rPr>
      </w:pPr>
      <w:r>
        <w:rPr>
          <w:rFonts w:cs="Times New Roman"/>
          <w:szCs w:val="24"/>
        </w:rPr>
        <w:lastRenderedPageBreak/>
        <w:t xml:space="preserve">Second, MTRS enacted a regulation meant to </w:t>
      </w:r>
      <w:r w:rsidR="00485B8C">
        <w:rPr>
          <w:rFonts w:cs="Times New Roman"/>
          <w:szCs w:val="24"/>
        </w:rPr>
        <w:t xml:space="preserve">ensure </w:t>
      </w:r>
      <w:r>
        <w:rPr>
          <w:rFonts w:cs="Times New Roman"/>
          <w:szCs w:val="24"/>
        </w:rPr>
        <w:t>that</w:t>
      </w:r>
      <w:r w:rsidR="00485B8C">
        <w:rPr>
          <w:rFonts w:cs="Times New Roman"/>
          <w:szCs w:val="24"/>
        </w:rPr>
        <w:t>,</w:t>
      </w:r>
      <w:r>
        <w:rPr>
          <w:rFonts w:cs="Times New Roman"/>
          <w:szCs w:val="24"/>
        </w:rPr>
        <w:t xml:space="preserve"> after the amendment</w:t>
      </w:r>
      <w:r w:rsidR="00485B8C">
        <w:rPr>
          <w:rFonts w:cs="Times New Roman"/>
          <w:szCs w:val="24"/>
        </w:rPr>
        <w:t>,</w:t>
      </w:r>
      <w:r>
        <w:rPr>
          <w:rFonts w:cs="Times New Roman"/>
          <w:szCs w:val="24"/>
        </w:rPr>
        <w:t xml:space="preserve"> members would </w:t>
      </w:r>
      <w:r w:rsidR="00485B8C">
        <w:rPr>
          <w:rFonts w:cs="Times New Roman"/>
          <w:szCs w:val="24"/>
        </w:rPr>
        <w:t xml:space="preserve">pay the </w:t>
      </w:r>
      <w:r>
        <w:rPr>
          <w:rFonts w:cs="Times New Roman"/>
          <w:szCs w:val="24"/>
        </w:rPr>
        <w:t>lowest interest rate p</w:t>
      </w:r>
      <w:r w:rsidR="00485B8C">
        <w:rPr>
          <w:rFonts w:cs="Times New Roman"/>
          <w:szCs w:val="24"/>
        </w:rPr>
        <w:t>ermissible under § 3(8)(b), while at the same time streamlining the process at MTRS</w:t>
      </w:r>
      <w:r>
        <w:rPr>
          <w:rFonts w:cs="Times New Roman"/>
          <w:szCs w:val="24"/>
        </w:rPr>
        <w:t>.</w:t>
      </w:r>
      <w:r w:rsidR="00485B8C">
        <w:rPr>
          <w:rFonts w:cs="Times New Roman"/>
          <w:szCs w:val="24"/>
        </w:rPr>
        <w:t xml:space="preserve">  </w:t>
      </w:r>
      <w:r w:rsidR="00C818CB">
        <w:rPr>
          <w:rFonts w:cs="Times New Roman"/>
          <w:szCs w:val="24"/>
        </w:rPr>
        <w:t xml:space="preserve">807 CMR 23.01 explains: “When interest rates reduce, significant administrative inefficiency and delay may result from members withdrawing their outstanding applications and re-applying in order to take advantage of the lower rate.  </w:t>
      </w:r>
      <w:r w:rsidR="00C84E96">
        <w:rPr>
          <w:rFonts w:cs="Times New Roman"/>
          <w:szCs w:val="24"/>
        </w:rPr>
        <w:t xml:space="preserve">To resolve this problem </w:t>
      </w:r>
      <w:r w:rsidR="00485B8C">
        <w:rPr>
          <w:rFonts w:cs="Times New Roman"/>
          <w:szCs w:val="24"/>
        </w:rPr>
        <w:t xml:space="preserve">807 CMR 23.02 pegs the interest rate to the </w:t>
      </w:r>
      <w:r w:rsidR="00C818CB">
        <w:rPr>
          <w:rFonts w:cs="Times New Roman"/>
          <w:szCs w:val="24"/>
        </w:rPr>
        <w:t>“</w:t>
      </w:r>
      <w:r w:rsidR="00485B8C">
        <w:rPr>
          <w:rFonts w:cs="Times New Roman"/>
          <w:szCs w:val="24"/>
        </w:rPr>
        <w:t>date of application,</w:t>
      </w:r>
      <w:r w:rsidR="00C818CB">
        <w:rPr>
          <w:rFonts w:cs="Times New Roman"/>
          <w:szCs w:val="24"/>
        </w:rPr>
        <w:t>”</w:t>
      </w:r>
      <w:r w:rsidR="00485B8C">
        <w:rPr>
          <w:rFonts w:cs="Times New Roman"/>
          <w:szCs w:val="24"/>
        </w:rPr>
        <w:t xml:space="preserve"> </w:t>
      </w:r>
      <w:r w:rsidR="00C84E96">
        <w:rPr>
          <w:rFonts w:cs="Times New Roman"/>
          <w:szCs w:val="24"/>
        </w:rPr>
        <w:t xml:space="preserve">and </w:t>
      </w:r>
      <w:r w:rsidR="00485B8C">
        <w:rPr>
          <w:rFonts w:cs="Times New Roman"/>
          <w:szCs w:val="24"/>
        </w:rPr>
        <w:t xml:space="preserve">807 CMR 23.03 </w:t>
      </w:r>
      <w:r w:rsidR="00C84E96">
        <w:rPr>
          <w:rFonts w:cs="Times New Roman"/>
          <w:szCs w:val="24"/>
        </w:rPr>
        <w:t>provides</w:t>
      </w:r>
      <w:r w:rsidR="00C818CB">
        <w:rPr>
          <w:rFonts w:cs="Times New Roman"/>
          <w:szCs w:val="24"/>
        </w:rPr>
        <w:t xml:space="preserve"> that “the ‘date of application’ will be presumed to be the date of invoicing in cases where the member could have withdrawn his/her service purchase application and re-applied, and where doing so before the date of invoicing would have resulted in a reduction in the applicable interest rate.”  </w:t>
      </w:r>
      <w:r w:rsidR="00C84E96">
        <w:rPr>
          <w:rFonts w:cs="Times New Roman"/>
          <w:szCs w:val="24"/>
        </w:rPr>
        <w:t>I</w:t>
      </w:r>
      <w:r w:rsidR="00C818CB">
        <w:rPr>
          <w:rFonts w:cs="Times New Roman"/>
          <w:szCs w:val="24"/>
        </w:rPr>
        <w:t xml:space="preserve">n other words, the rate ends up being the lower of the rate on the date of application and the rate on the date of invoicing.  </w:t>
      </w:r>
    </w:p>
    <w:p w:rsidR="001A5B46" w:rsidRDefault="00C818CB" w:rsidP="00917A61">
      <w:pPr>
        <w:spacing w:after="0" w:line="480" w:lineRule="auto"/>
        <w:ind w:firstLine="720"/>
        <w:jc w:val="left"/>
        <w:rPr>
          <w:rFonts w:cs="Times New Roman"/>
          <w:szCs w:val="24"/>
        </w:rPr>
      </w:pPr>
      <w:r>
        <w:rPr>
          <w:rFonts w:cs="Times New Roman"/>
          <w:szCs w:val="24"/>
        </w:rPr>
        <w:t xml:space="preserve">This regulation does not </w:t>
      </w:r>
      <w:r w:rsidR="00C84E96">
        <w:rPr>
          <w:rFonts w:cs="Times New Roman"/>
          <w:szCs w:val="24"/>
        </w:rPr>
        <w:t xml:space="preserve">anywhere </w:t>
      </w:r>
      <w:r>
        <w:rPr>
          <w:rFonts w:cs="Times New Roman"/>
          <w:szCs w:val="24"/>
        </w:rPr>
        <w:t>exempt members from the in</w:t>
      </w:r>
      <w:r w:rsidR="00C84E96">
        <w:rPr>
          <w:rFonts w:cs="Times New Roman"/>
          <w:szCs w:val="24"/>
        </w:rPr>
        <w:t xml:space="preserve">structions included on the service purchase invoices.  </w:t>
      </w:r>
      <w:r w:rsidR="00EF3E6C">
        <w:rPr>
          <w:rFonts w:cs="Times New Roman"/>
          <w:szCs w:val="24"/>
        </w:rPr>
        <w:t xml:space="preserve">To </w:t>
      </w:r>
      <w:r w:rsidR="00D9079A">
        <w:rPr>
          <w:rFonts w:cs="Times New Roman"/>
          <w:szCs w:val="24"/>
        </w:rPr>
        <w:t>allow a membe</w:t>
      </w:r>
      <w:r w:rsidR="00FB4534">
        <w:rPr>
          <w:rFonts w:cs="Times New Roman"/>
          <w:szCs w:val="24"/>
        </w:rPr>
        <w:t>r to secure an interest rate,</w:t>
      </w:r>
      <w:r w:rsidR="00D9079A">
        <w:rPr>
          <w:rFonts w:cs="Times New Roman"/>
          <w:szCs w:val="24"/>
        </w:rPr>
        <w:t xml:space="preserve"> only to act on it years</w:t>
      </w:r>
      <w:r w:rsidR="00FB4534">
        <w:rPr>
          <w:rFonts w:cs="Times New Roman"/>
          <w:szCs w:val="24"/>
        </w:rPr>
        <w:t xml:space="preserve"> later</w:t>
      </w:r>
      <w:r w:rsidR="001F1DAB">
        <w:rPr>
          <w:rFonts w:cs="Times New Roman"/>
          <w:szCs w:val="24"/>
        </w:rPr>
        <w:t>,</w:t>
      </w:r>
      <w:r w:rsidR="00D7361B">
        <w:rPr>
          <w:rFonts w:cs="Times New Roman"/>
          <w:szCs w:val="24"/>
        </w:rPr>
        <w:t xml:space="preserve"> as the Petitioner’s interpretation of 807 CMR 23.02 would allow, is counter to the purpose of G.L. c. 32 § 3(8)(b)</w:t>
      </w:r>
      <w:r w:rsidR="009A49B4">
        <w:rPr>
          <w:rFonts w:cs="Times New Roman"/>
          <w:szCs w:val="24"/>
        </w:rPr>
        <w:t>.  Th</w:t>
      </w:r>
      <w:r w:rsidR="00EF3E6C">
        <w:rPr>
          <w:rFonts w:cs="Times New Roman"/>
          <w:szCs w:val="24"/>
        </w:rPr>
        <w:t>e</w:t>
      </w:r>
      <w:r w:rsidR="009A49B4">
        <w:rPr>
          <w:rFonts w:cs="Times New Roman"/>
          <w:szCs w:val="24"/>
        </w:rPr>
        <w:t xml:space="preserve"> statute</w:t>
      </w:r>
      <w:r w:rsidR="00D7361B">
        <w:rPr>
          <w:rFonts w:cs="Times New Roman"/>
          <w:szCs w:val="24"/>
        </w:rPr>
        <w:t xml:space="preserve"> limit</w:t>
      </w:r>
      <w:r w:rsidR="009A49B4">
        <w:rPr>
          <w:rFonts w:cs="Times New Roman"/>
          <w:szCs w:val="24"/>
        </w:rPr>
        <w:t>s</w:t>
      </w:r>
      <w:r w:rsidR="00D7361B">
        <w:rPr>
          <w:rFonts w:cs="Times New Roman"/>
          <w:szCs w:val="24"/>
        </w:rPr>
        <w:t xml:space="preserve"> the availability of a lower buyback interest rate</w:t>
      </w:r>
      <w:r w:rsidR="009A49B4">
        <w:rPr>
          <w:rFonts w:cs="Times New Roman"/>
          <w:szCs w:val="24"/>
        </w:rPr>
        <w:t xml:space="preserve"> to those who have applied </w:t>
      </w:r>
      <w:r w:rsidR="009A49B4" w:rsidRPr="002750F2">
        <w:rPr>
          <w:rFonts w:cs="Times New Roman"/>
          <w:i/>
          <w:szCs w:val="24"/>
        </w:rPr>
        <w:t>and</w:t>
      </w:r>
      <w:r w:rsidR="009A49B4">
        <w:rPr>
          <w:rFonts w:cs="Times New Roman"/>
          <w:szCs w:val="24"/>
        </w:rPr>
        <w:t xml:space="preserve"> made some kind of payment or payment arrangement</w:t>
      </w:r>
      <w:r w:rsidR="00795743">
        <w:rPr>
          <w:rFonts w:cs="Times New Roman"/>
          <w:szCs w:val="24"/>
        </w:rPr>
        <w:t>; it does not extend it</w:t>
      </w:r>
      <w:r w:rsidR="00D7361B">
        <w:rPr>
          <w:rFonts w:cs="Times New Roman"/>
          <w:szCs w:val="24"/>
        </w:rPr>
        <w:t>.</w:t>
      </w:r>
      <w:r w:rsidR="00551CF9">
        <w:rPr>
          <w:rFonts w:cs="Times New Roman"/>
          <w:szCs w:val="24"/>
        </w:rPr>
        <w:t xml:space="preserve">  </w:t>
      </w:r>
      <w:r w:rsidR="008F689B">
        <w:rPr>
          <w:rFonts w:cs="Times New Roman"/>
          <w:szCs w:val="24"/>
        </w:rPr>
        <w:t xml:space="preserve">Thus, the lower buyback interest rate was forfeited by Ms. Perrault’s nonresponse to the February 2014 invoice. </w:t>
      </w:r>
    </w:p>
    <w:p w:rsidR="00917A61" w:rsidRPr="004A7E64" w:rsidRDefault="001A5B46" w:rsidP="00917A61">
      <w:pPr>
        <w:spacing w:after="0" w:line="480" w:lineRule="auto"/>
        <w:ind w:firstLine="720"/>
        <w:jc w:val="left"/>
        <w:rPr>
          <w:rFonts w:cs="Times New Roman"/>
          <w:szCs w:val="24"/>
        </w:rPr>
      </w:pPr>
      <w:r>
        <w:rPr>
          <w:rFonts w:cs="Times New Roman"/>
          <w:szCs w:val="24"/>
        </w:rPr>
        <w:t>Finally, e</w:t>
      </w:r>
      <w:r w:rsidR="004A7E64" w:rsidRPr="004A7E64">
        <w:rPr>
          <w:rFonts w:cs="Times New Roman"/>
          <w:szCs w:val="24"/>
        </w:rPr>
        <w:t>ven if Ms. Perrault</w:t>
      </w:r>
      <w:r w:rsidR="00B75D38" w:rsidRPr="004A7E64">
        <w:rPr>
          <w:rFonts w:cs="Times New Roman"/>
          <w:szCs w:val="24"/>
        </w:rPr>
        <w:t xml:space="preserve"> did not receive the invoice, I cannot employ an equitable remedy contrary to the clear language of the statute. </w:t>
      </w:r>
      <w:r w:rsidR="00B75D38" w:rsidRPr="004A7E64">
        <w:t xml:space="preserve"> </w:t>
      </w:r>
      <w:r w:rsidR="00B75D38" w:rsidRPr="004A7E64">
        <w:rPr>
          <w:i/>
        </w:rPr>
        <w:t>See Petrillo v. Public Employee Retirement Admin.</w:t>
      </w:r>
      <w:r w:rsidR="00B75D38" w:rsidRPr="004A7E64">
        <w:t xml:space="preserve">, CR-92-731, (CRAB 1993) (CRAB does not have the “authority to employ an equitable remedy in the face of specific statutory language [to </w:t>
      </w:r>
      <w:r w:rsidR="00B75D38" w:rsidRPr="004A7E64">
        <w:lastRenderedPageBreak/>
        <w:t xml:space="preserve">the] contrary.”); </w:t>
      </w:r>
      <w:r w:rsidR="00B75D38" w:rsidRPr="004A7E64">
        <w:rPr>
          <w:i/>
        </w:rPr>
        <w:t>Bristol County Retirement Bd. v. Contributory Retirement Appeal Bd.</w:t>
      </w:r>
      <w:r w:rsidR="00B75D38" w:rsidRPr="004A7E64">
        <w:t xml:space="preserve">, 65 Mass. App. Ct. 443, 451-52 (2006) (same).  </w:t>
      </w:r>
      <w:r w:rsidR="00917A61" w:rsidRPr="004A7E64">
        <w:rPr>
          <w:rFonts w:cs="Times New Roman"/>
          <w:szCs w:val="24"/>
        </w:rPr>
        <w:t>Unfortunately, the clear language of G.L. c. 32, § 3(8)(b)</w:t>
      </w:r>
      <w:r>
        <w:rPr>
          <w:rFonts w:cs="Times New Roman"/>
          <w:szCs w:val="24"/>
        </w:rPr>
        <w:t xml:space="preserve">, as implemented by MTRS, </w:t>
      </w:r>
      <w:r w:rsidR="00917A61" w:rsidRPr="004A7E64">
        <w:rPr>
          <w:rFonts w:cs="Times New Roman"/>
          <w:szCs w:val="24"/>
        </w:rPr>
        <w:t xml:space="preserve">does not permit a member to receive the buyback rate if she does not make payment or arrange to make payment within the time specified, regardless of that member’s efforts.  </w:t>
      </w:r>
      <w:r w:rsidRPr="001A5B46">
        <w:rPr>
          <w:rFonts w:cs="Times New Roman"/>
          <w:i/>
          <w:szCs w:val="24"/>
        </w:rPr>
        <w:t>See</w:t>
      </w:r>
      <w:r>
        <w:rPr>
          <w:rFonts w:cs="Times New Roman"/>
          <w:szCs w:val="24"/>
        </w:rPr>
        <w:t xml:space="preserve"> </w:t>
      </w:r>
      <w:r w:rsidR="00917A61" w:rsidRPr="004A7E64">
        <w:rPr>
          <w:rFonts w:cs="Times New Roman"/>
          <w:i/>
          <w:szCs w:val="24"/>
        </w:rPr>
        <w:t xml:space="preserve">Turner v. </w:t>
      </w:r>
      <w:r w:rsidR="00B77E8D">
        <w:rPr>
          <w:rFonts w:cs="Times New Roman"/>
          <w:i/>
          <w:szCs w:val="24"/>
        </w:rPr>
        <w:t>Contributory Retirement App. Bd.</w:t>
      </w:r>
      <w:r w:rsidR="00917A61" w:rsidRPr="004A7E64">
        <w:rPr>
          <w:rFonts w:cs="Times New Roman"/>
          <w:szCs w:val="24"/>
        </w:rPr>
        <w:t xml:space="preserve">, </w:t>
      </w:r>
      <w:r w:rsidR="00B77E8D">
        <w:rPr>
          <w:rFonts w:cs="Times New Roman"/>
          <w:szCs w:val="24"/>
        </w:rPr>
        <w:t xml:space="preserve">Civil No. 1581CV06993, Mem. Of Decision and Order on Cross-Motion for Judgment on the Pleadings (Middlesex Super. Ct., Jun. 5, 2017), </w:t>
      </w:r>
      <w:r w:rsidR="00B77E8D" w:rsidRPr="0008555A">
        <w:rPr>
          <w:rFonts w:cs="Times New Roman"/>
          <w:i/>
          <w:szCs w:val="24"/>
        </w:rPr>
        <w:t xml:space="preserve">affirming </w:t>
      </w:r>
      <w:r w:rsidR="0008555A" w:rsidRPr="0008555A">
        <w:rPr>
          <w:rFonts w:cs="Times New Roman"/>
          <w:i/>
          <w:szCs w:val="24"/>
        </w:rPr>
        <w:t>Turner v. Mass. Teachers’ Retirement System</w:t>
      </w:r>
      <w:r w:rsidR="0008555A">
        <w:rPr>
          <w:rFonts w:cs="Times New Roman"/>
          <w:szCs w:val="24"/>
        </w:rPr>
        <w:t xml:space="preserve">, </w:t>
      </w:r>
      <w:r w:rsidR="00917A61" w:rsidRPr="004A7E64">
        <w:rPr>
          <w:rFonts w:cs="Times New Roman"/>
          <w:szCs w:val="24"/>
        </w:rPr>
        <w:t>CR-13-30</w:t>
      </w:r>
      <w:r w:rsidR="0008555A">
        <w:rPr>
          <w:rFonts w:cs="Times New Roman"/>
          <w:szCs w:val="24"/>
        </w:rPr>
        <w:t>5, CR-13-428</w:t>
      </w:r>
      <w:r w:rsidR="00917A61" w:rsidRPr="004A7E64">
        <w:rPr>
          <w:rFonts w:cs="Times New Roman"/>
          <w:szCs w:val="24"/>
        </w:rPr>
        <w:t xml:space="preserve">, </w:t>
      </w:r>
      <w:r>
        <w:rPr>
          <w:rFonts w:cs="Times New Roman"/>
          <w:szCs w:val="24"/>
        </w:rPr>
        <w:t>at *</w:t>
      </w:r>
      <w:r w:rsidR="00917A61" w:rsidRPr="004A7E64">
        <w:rPr>
          <w:rFonts w:cs="Times New Roman"/>
          <w:szCs w:val="24"/>
        </w:rPr>
        <w:t xml:space="preserve">12 (DALA </w:t>
      </w:r>
      <w:r w:rsidR="0008555A">
        <w:rPr>
          <w:rFonts w:cs="Times New Roman"/>
          <w:szCs w:val="24"/>
        </w:rPr>
        <w:t xml:space="preserve">Feb. 11, </w:t>
      </w:r>
      <w:r w:rsidR="00917A61" w:rsidRPr="004A7E64">
        <w:rPr>
          <w:rFonts w:cs="Times New Roman"/>
          <w:szCs w:val="24"/>
        </w:rPr>
        <w:t>2015)</w:t>
      </w:r>
      <w:r w:rsidR="0008555A">
        <w:rPr>
          <w:rFonts w:cs="Times New Roman"/>
          <w:szCs w:val="24"/>
        </w:rPr>
        <w:t xml:space="preserve">, </w:t>
      </w:r>
      <w:r w:rsidR="0008555A" w:rsidRPr="0008555A">
        <w:rPr>
          <w:rFonts w:cs="Times New Roman"/>
          <w:i/>
          <w:szCs w:val="24"/>
        </w:rPr>
        <w:t>aff’d</w:t>
      </w:r>
      <w:r w:rsidR="0008555A">
        <w:rPr>
          <w:rFonts w:cs="Times New Roman"/>
          <w:szCs w:val="24"/>
        </w:rPr>
        <w:t xml:space="preserve"> (CRAB Dec. 2, 2015)</w:t>
      </w:r>
      <w:r w:rsidR="00917A61">
        <w:rPr>
          <w:rFonts w:cs="Times New Roman"/>
          <w:szCs w:val="24"/>
        </w:rPr>
        <w:t xml:space="preserve">.  </w:t>
      </w:r>
      <w:r w:rsidR="0008555A">
        <w:rPr>
          <w:rFonts w:cs="Times New Roman"/>
          <w:szCs w:val="24"/>
        </w:rPr>
        <w:t xml:space="preserve">Because </w:t>
      </w:r>
      <w:r w:rsidR="00917A61">
        <w:rPr>
          <w:rFonts w:cs="Times New Roman"/>
          <w:szCs w:val="24"/>
        </w:rPr>
        <w:t>Ms. Perrault did not make any payment or arrangements within sixty days after the February 21, 2014 invoice was</w:t>
      </w:r>
      <w:r w:rsidR="00795743">
        <w:rPr>
          <w:rFonts w:cs="Times New Roman"/>
          <w:szCs w:val="24"/>
        </w:rPr>
        <w:t xml:space="preserve"> presumed to be</w:t>
      </w:r>
      <w:r w:rsidR="00917A61">
        <w:rPr>
          <w:rFonts w:cs="Times New Roman"/>
          <w:szCs w:val="24"/>
        </w:rPr>
        <w:t xml:space="preserve"> sent out</w:t>
      </w:r>
      <w:r w:rsidR="00147720">
        <w:rPr>
          <w:rFonts w:cs="Times New Roman"/>
          <w:szCs w:val="24"/>
        </w:rPr>
        <w:t xml:space="preserve"> </w:t>
      </w:r>
      <w:r w:rsidR="004E07B5">
        <w:rPr>
          <w:rFonts w:cs="Times New Roman"/>
          <w:szCs w:val="24"/>
        </w:rPr>
        <w:t>and</w:t>
      </w:r>
      <w:r w:rsidR="00795743">
        <w:rPr>
          <w:rFonts w:cs="Times New Roman"/>
          <w:szCs w:val="24"/>
        </w:rPr>
        <w:t xml:space="preserve"> </w:t>
      </w:r>
      <w:r w:rsidR="00147720">
        <w:rPr>
          <w:rFonts w:cs="Times New Roman"/>
          <w:szCs w:val="24"/>
        </w:rPr>
        <w:t>received, she is not entitled to the lower interest rate.</w:t>
      </w:r>
    </w:p>
    <w:p w:rsidR="00B75D38" w:rsidRPr="0027368C" w:rsidRDefault="00B75D38" w:rsidP="00B75D38">
      <w:pPr>
        <w:spacing w:after="0" w:line="480" w:lineRule="auto"/>
        <w:ind w:firstLine="720"/>
        <w:jc w:val="left"/>
        <w:rPr>
          <w:rFonts w:eastAsia="Times New Roman" w:cs="Times New Roman"/>
          <w:szCs w:val="24"/>
        </w:rPr>
      </w:pPr>
      <w:r w:rsidRPr="004A7E64">
        <w:rPr>
          <w:rFonts w:eastAsia="Times New Roman" w:cs="Times New Roman"/>
          <w:szCs w:val="24"/>
        </w:rPr>
        <w:t>For the foregoing reasons, the Petitioner’s appeal fails and the decision of MTRS is AFFIRMED.</w:t>
      </w:r>
    </w:p>
    <w:p w:rsidR="00B75D38" w:rsidRDefault="00B75D38" w:rsidP="00B75D38">
      <w:pPr>
        <w:spacing w:after="0" w:line="480" w:lineRule="auto"/>
        <w:jc w:val="left"/>
        <w:rPr>
          <w:rFonts w:eastAsia="Times New Roman" w:cs="Times New Roman"/>
          <w:szCs w:val="24"/>
        </w:rPr>
      </w:pPr>
      <w:r w:rsidRPr="0027368C">
        <w:rPr>
          <w:rFonts w:eastAsia="Times New Roman" w:cs="Times New Roman"/>
          <w:szCs w:val="24"/>
        </w:rPr>
        <w:t>SO ORDERED.</w:t>
      </w:r>
    </w:p>
    <w:p w:rsidR="00B75D38" w:rsidRPr="001F1268" w:rsidRDefault="00B75D38" w:rsidP="00B75D38">
      <w:pPr>
        <w:spacing w:after="0" w:line="480" w:lineRule="auto"/>
        <w:jc w:val="left"/>
        <w:rPr>
          <w:rFonts w:eastAsia="Times New Roman" w:cs="Times New Roman"/>
          <w:szCs w:val="24"/>
        </w:rPr>
      </w:pPr>
      <w:r w:rsidRPr="001F1268">
        <w:rPr>
          <w:rFonts w:eastAsia="Times New Roman" w:cs="Times New Roman"/>
          <w:caps/>
          <w:szCs w:val="24"/>
        </w:rPr>
        <w:t>Division of Administrative Law Appeals</w:t>
      </w:r>
    </w:p>
    <w:p w:rsidR="00B75D38" w:rsidRDefault="00B75D38" w:rsidP="00B75D38">
      <w:pPr>
        <w:spacing w:after="0"/>
        <w:jc w:val="left"/>
        <w:rPr>
          <w:rFonts w:eastAsia="Times New Roman" w:cs="Times New Roman"/>
          <w:caps/>
          <w:szCs w:val="24"/>
        </w:rPr>
      </w:pPr>
    </w:p>
    <w:p w:rsidR="00B75D38" w:rsidRPr="001F1268" w:rsidRDefault="00B75D38" w:rsidP="00B75D38">
      <w:pPr>
        <w:spacing w:after="0"/>
        <w:jc w:val="left"/>
        <w:rPr>
          <w:rFonts w:eastAsia="Times New Roman" w:cs="Times New Roman"/>
          <w:caps/>
          <w:szCs w:val="24"/>
        </w:rPr>
      </w:pPr>
    </w:p>
    <w:p w:rsidR="00B75D38" w:rsidRPr="001F1268" w:rsidRDefault="00B75D38" w:rsidP="00B75D38">
      <w:pPr>
        <w:spacing w:after="0"/>
        <w:jc w:val="left"/>
        <w:rPr>
          <w:rFonts w:eastAsia="Times New Roman" w:cs="Times New Roman"/>
          <w:caps/>
          <w:szCs w:val="24"/>
        </w:rPr>
      </w:pPr>
    </w:p>
    <w:p w:rsidR="00B75D38" w:rsidRPr="001F1268" w:rsidRDefault="00B75D38" w:rsidP="00B75D38">
      <w:pPr>
        <w:spacing w:after="0"/>
        <w:jc w:val="left"/>
        <w:rPr>
          <w:rFonts w:eastAsia="Times New Roman" w:cs="Times New Roman"/>
          <w:szCs w:val="24"/>
          <w:u w:val="single"/>
        </w:rPr>
      </w:pPr>
      <w:r w:rsidRPr="001F1268">
        <w:rPr>
          <w:rFonts w:eastAsia="Times New Roman" w:cs="Times New Roman"/>
          <w:caps/>
          <w:szCs w:val="24"/>
        </w:rPr>
        <w:t>____________________________________________</w:t>
      </w:r>
    </w:p>
    <w:p w:rsidR="00B75D38" w:rsidRPr="001F1268" w:rsidRDefault="00B75D38" w:rsidP="00B75D38">
      <w:pPr>
        <w:spacing w:after="0"/>
        <w:jc w:val="left"/>
        <w:rPr>
          <w:rFonts w:eastAsia="Times New Roman" w:cs="Times New Roman"/>
          <w:szCs w:val="24"/>
        </w:rPr>
      </w:pPr>
      <w:r w:rsidRPr="001F1268">
        <w:rPr>
          <w:rFonts w:eastAsia="Times New Roman" w:cs="Times New Roman"/>
          <w:szCs w:val="24"/>
        </w:rPr>
        <w:t>Kenneth J. Forton, Esq.</w:t>
      </w:r>
    </w:p>
    <w:p w:rsidR="00B75D38" w:rsidRPr="001F1268" w:rsidRDefault="00B75D38" w:rsidP="00B75D38">
      <w:pPr>
        <w:spacing w:after="0"/>
        <w:jc w:val="left"/>
        <w:rPr>
          <w:rFonts w:eastAsia="Times New Roman" w:cs="Times New Roman"/>
          <w:szCs w:val="24"/>
        </w:rPr>
      </w:pPr>
      <w:r w:rsidRPr="001F1268">
        <w:rPr>
          <w:rFonts w:eastAsia="Times New Roman" w:cs="Times New Roman"/>
          <w:szCs w:val="24"/>
        </w:rPr>
        <w:t>Administrative Magistrate</w:t>
      </w:r>
    </w:p>
    <w:p w:rsidR="00B75D38" w:rsidRPr="001F1268" w:rsidRDefault="00B75D38" w:rsidP="00B75D38">
      <w:pPr>
        <w:spacing w:after="0"/>
        <w:jc w:val="left"/>
        <w:rPr>
          <w:rFonts w:eastAsia="Times New Roman" w:cs="Times New Roman"/>
          <w:szCs w:val="24"/>
        </w:rPr>
      </w:pPr>
    </w:p>
    <w:p w:rsidR="00D61D97" w:rsidRPr="001F1DAB" w:rsidRDefault="00B75D38" w:rsidP="001F1DAB">
      <w:pPr>
        <w:spacing w:after="0" w:line="480" w:lineRule="auto"/>
        <w:contextualSpacing/>
        <w:jc w:val="left"/>
        <w:rPr>
          <w:rFonts w:eastAsia="Times New Roman" w:cs="Times New Roman"/>
          <w:szCs w:val="24"/>
        </w:rPr>
      </w:pPr>
      <w:r w:rsidRPr="001F1268">
        <w:rPr>
          <w:rFonts w:eastAsia="Times New Roman" w:cs="Times New Roman"/>
          <w:szCs w:val="24"/>
        </w:rPr>
        <w:t xml:space="preserve">DATED:  </w:t>
      </w:r>
      <w:r w:rsidR="00202AFE">
        <w:rPr>
          <w:rFonts w:eastAsia="Times New Roman" w:cs="Times New Roman"/>
          <w:szCs w:val="24"/>
        </w:rPr>
        <w:t>Ju</w:t>
      </w:r>
      <w:r w:rsidR="001A5B46">
        <w:rPr>
          <w:rFonts w:eastAsia="Times New Roman" w:cs="Times New Roman"/>
          <w:szCs w:val="24"/>
        </w:rPr>
        <w:t>l</w:t>
      </w:r>
      <w:r w:rsidR="00E37671">
        <w:rPr>
          <w:rFonts w:eastAsia="Times New Roman" w:cs="Times New Roman"/>
          <w:szCs w:val="24"/>
        </w:rPr>
        <w:t>.</w:t>
      </w:r>
      <w:r w:rsidR="00F70E6C">
        <w:rPr>
          <w:rFonts w:eastAsia="Times New Roman" w:cs="Times New Roman"/>
          <w:szCs w:val="24"/>
        </w:rPr>
        <w:t xml:space="preserve"> </w:t>
      </w:r>
      <w:r w:rsidR="005E78FF">
        <w:rPr>
          <w:rFonts w:eastAsia="Times New Roman" w:cs="Times New Roman"/>
          <w:szCs w:val="24"/>
        </w:rPr>
        <w:t>21</w:t>
      </w:r>
      <w:r w:rsidR="00F70E6C">
        <w:rPr>
          <w:rFonts w:eastAsia="Times New Roman" w:cs="Times New Roman"/>
          <w:szCs w:val="24"/>
        </w:rPr>
        <w:t>,</w:t>
      </w:r>
      <w:r w:rsidR="001F1DAB">
        <w:rPr>
          <w:rFonts w:eastAsia="Times New Roman" w:cs="Times New Roman"/>
          <w:szCs w:val="24"/>
        </w:rPr>
        <w:t xml:space="preserve"> 2017</w:t>
      </w:r>
    </w:p>
    <w:sectPr w:rsidR="00D61D97" w:rsidRPr="001F1DAB" w:rsidSect="000414DF">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DD" w:rsidRDefault="006F5BDD" w:rsidP="00B75D38">
      <w:pPr>
        <w:spacing w:after="0"/>
      </w:pPr>
      <w:r>
        <w:separator/>
      </w:r>
    </w:p>
  </w:endnote>
  <w:endnote w:type="continuationSeparator" w:id="0">
    <w:p w:rsidR="006F5BDD" w:rsidRDefault="006F5BDD" w:rsidP="00B75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20921"/>
      <w:docPartObj>
        <w:docPartGallery w:val="Page Numbers (Bottom of Page)"/>
        <w:docPartUnique/>
      </w:docPartObj>
    </w:sdtPr>
    <w:sdtEndPr>
      <w:rPr>
        <w:noProof/>
      </w:rPr>
    </w:sdtEndPr>
    <w:sdtContent>
      <w:p w:rsidR="005D0DA9" w:rsidRDefault="00CA4E2C">
        <w:pPr>
          <w:pStyle w:val="Footer"/>
        </w:pPr>
        <w:r>
          <w:fldChar w:fldCharType="begin"/>
        </w:r>
        <w:r>
          <w:instrText xml:space="preserve"> PAGE   \* MERGEFORMAT </w:instrText>
        </w:r>
        <w:r>
          <w:fldChar w:fldCharType="separate"/>
        </w:r>
        <w:r w:rsidR="00ED0FE0">
          <w:rPr>
            <w:noProof/>
          </w:rPr>
          <w:t>2</w:t>
        </w:r>
        <w:r>
          <w:rPr>
            <w:noProof/>
          </w:rPr>
          <w:fldChar w:fldCharType="end"/>
        </w:r>
      </w:p>
    </w:sdtContent>
  </w:sdt>
  <w:p w:rsidR="005D0DA9" w:rsidRDefault="006F5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DD" w:rsidRDefault="006F5BDD" w:rsidP="00B75D38">
      <w:pPr>
        <w:spacing w:after="0"/>
      </w:pPr>
      <w:r>
        <w:separator/>
      </w:r>
    </w:p>
  </w:footnote>
  <w:footnote w:type="continuationSeparator" w:id="0">
    <w:p w:rsidR="006F5BDD" w:rsidRDefault="006F5BDD" w:rsidP="00B75D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A9" w:rsidRPr="00176830" w:rsidRDefault="00B75D38" w:rsidP="002C2AEE">
    <w:pPr>
      <w:pStyle w:val="Header"/>
      <w:tabs>
        <w:tab w:val="clear" w:pos="9360"/>
        <w:tab w:val="right" w:pos="8640"/>
      </w:tabs>
      <w:rPr>
        <w:i/>
      </w:rPr>
    </w:pPr>
    <w:r>
      <w:rPr>
        <w:i/>
      </w:rPr>
      <w:t>Nancy Perrault</w:t>
    </w:r>
    <w:r w:rsidR="00CA4E2C">
      <w:rPr>
        <w:i/>
      </w:rPr>
      <w:t xml:space="preserve"> v. MTRS</w:t>
    </w:r>
    <w:r w:rsidR="00CA4E2C">
      <w:rPr>
        <w:i/>
      </w:rPr>
      <w:tab/>
    </w:r>
    <w:r w:rsidR="00CA4E2C">
      <w:rPr>
        <w:i/>
      </w:rPr>
      <w:tab/>
    </w:r>
    <w:r>
      <w:rPr>
        <w:i/>
      </w:rPr>
      <w:t>CR-15-32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28C"/>
    <w:multiLevelType w:val="hybridMultilevel"/>
    <w:tmpl w:val="8C3A3020"/>
    <w:lvl w:ilvl="0" w:tplc="4FE0B2AE">
      <w:start w:val="1"/>
      <w:numFmt w:val="decimal"/>
      <w:lvlText w:val="%1."/>
      <w:lvlJc w:val="left"/>
      <w:pPr>
        <w:ind w:left="1080" w:hanging="360"/>
      </w:pPr>
      <w:rPr>
        <w:rFonts w:ascii="Times New Roman" w:eastAsiaTheme="minorHAnsi" w:hAnsi="Times New Roman"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38"/>
    <w:rsid w:val="00017771"/>
    <w:rsid w:val="00022BD4"/>
    <w:rsid w:val="000317F2"/>
    <w:rsid w:val="000414DF"/>
    <w:rsid w:val="00041604"/>
    <w:rsid w:val="00063B8E"/>
    <w:rsid w:val="00074FB3"/>
    <w:rsid w:val="0007591C"/>
    <w:rsid w:val="0008555A"/>
    <w:rsid w:val="000A422E"/>
    <w:rsid w:val="000C07FC"/>
    <w:rsid w:val="000C7210"/>
    <w:rsid w:val="000E01E9"/>
    <w:rsid w:val="000F1F3D"/>
    <w:rsid w:val="000F34B7"/>
    <w:rsid w:val="00107D45"/>
    <w:rsid w:val="00117BA6"/>
    <w:rsid w:val="00123141"/>
    <w:rsid w:val="001351E9"/>
    <w:rsid w:val="0013552E"/>
    <w:rsid w:val="00136857"/>
    <w:rsid w:val="00147720"/>
    <w:rsid w:val="00153E83"/>
    <w:rsid w:val="00175C7F"/>
    <w:rsid w:val="00183F18"/>
    <w:rsid w:val="00193445"/>
    <w:rsid w:val="00196ECB"/>
    <w:rsid w:val="001A5B46"/>
    <w:rsid w:val="001B4543"/>
    <w:rsid w:val="001C5BE4"/>
    <w:rsid w:val="001D1F04"/>
    <w:rsid w:val="001F0889"/>
    <w:rsid w:val="001F1DAB"/>
    <w:rsid w:val="0020282B"/>
    <w:rsid w:val="00202AFE"/>
    <w:rsid w:val="00203B37"/>
    <w:rsid w:val="0021359D"/>
    <w:rsid w:val="00226761"/>
    <w:rsid w:val="00227A2A"/>
    <w:rsid w:val="00231F62"/>
    <w:rsid w:val="00243521"/>
    <w:rsid w:val="002446D3"/>
    <w:rsid w:val="00247949"/>
    <w:rsid w:val="00250035"/>
    <w:rsid w:val="00260E5A"/>
    <w:rsid w:val="00261A62"/>
    <w:rsid w:val="00261FD2"/>
    <w:rsid w:val="00265111"/>
    <w:rsid w:val="00267017"/>
    <w:rsid w:val="002750F2"/>
    <w:rsid w:val="002A3ED3"/>
    <w:rsid w:val="002B3EC4"/>
    <w:rsid w:val="002D464E"/>
    <w:rsid w:val="002D4810"/>
    <w:rsid w:val="002E31D2"/>
    <w:rsid w:val="002F22D8"/>
    <w:rsid w:val="0030198A"/>
    <w:rsid w:val="0030699E"/>
    <w:rsid w:val="00323123"/>
    <w:rsid w:val="00330C24"/>
    <w:rsid w:val="00337240"/>
    <w:rsid w:val="003637FF"/>
    <w:rsid w:val="00364C3E"/>
    <w:rsid w:val="00394AB5"/>
    <w:rsid w:val="00395C31"/>
    <w:rsid w:val="003B3998"/>
    <w:rsid w:val="003D385D"/>
    <w:rsid w:val="003E7F2F"/>
    <w:rsid w:val="003F23CF"/>
    <w:rsid w:val="0040739C"/>
    <w:rsid w:val="00411709"/>
    <w:rsid w:val="00423646"/>
    <w:rsid w:val="00426B92"/>
    <w:rsid w:val="00430898"/>
    <w:rsid w:val="00432968"/>
    <w:rsid w:val="00444620"/>
    <w:rsid w:val="0044783D"/>
    <w:rsid w:val="0045333D"/>
    <w:rsid w:val="004539AE"/>
    <w:rsid w:val="00453FCF"/>
    <w:rsid w:val="0046715A"/>
    <w:rsid w:val="004751A1"/>
    <w:rsid w:val="00482A49"/>
    <w:rsid w:val="00485B8C"/>
    <w:rsid w:val="00496342"/>
    <w:rsid w:val="004A4235"/>
    <w:rsid w:val="004A46AE"/>
    <w:rsid w:val="004A7E64"/>
    <w:rsid w:val="004B3EBA"/>
    <w:rsid w:val="004B7638"/>
    <w:rsid w:val="004C72A7"/>
    <w:rsid w:val="004D5A6B"/>
    <w:rsid w:val="004E07B5"/>
    <w:rsid w:val="004E3174"/>
    <w:rsid w:val="004F01F2"/>
    <w:rsid w:val="004F79B4"/>
    <w:rsid w:val="005120FA"/>
    <w:rsid w:val="005149C3"/>
    <w:rsid w:val="0052585D"/>
    <w:rsid w:val="005269E9"/>
    <w:rsid w:val="00531340"/>
    <w:rsid w:val="005378DC"/>
    <w:rsid w:val="0054207F"/>
    <w:rsid w:val="00551CF9"/>
    <w:rsid w:val="00551EBD"/>
    <w:rsid w:val="00577AC6"/>
    <w:rsid w:val="00590697"/>
    <w:rsid w:val="00592EE2"/>
    <w:rsid w:val="005A0E96"/>
    <w:rsid w:val="005A12D7"/>
    <w:rsid w:val="005A3CE4"/>
    <w:rsid w:val="005A53C4"/>
    <w:rsid w:val="005B3528"/>
    <w:rsid w:val="005B7095"/>
    <w:rsid w:val="005C6901"/>
    <w:rsid w:val="005E6362"/>
    <w:rsid w:val="005E78FF"/>
    <w:rsid w:val="00610F36"/>
    <w:rsid w:val="006215AC"/>
    <w:rsid w:val="00621F30"/>
    <w:rsid w:val="00644553"/>
    <w:rsid w:val="006547E4"/>
    <w:rsid w:val="006701D0"/>
    <w:rsid w:val="006760A0"/>
    <w:rsid w:val="00676D1B"/>
    <w:rsid w:val="006776BF"/>
    <w:rsid w:val="006850FF"/>
    <w:rsid w:val="006B2993"/>
    <w:rsid w:val="006C0A4B"/>
    <w:rsid w:val="006C5EBA"/>
    <w:rsid w:val="006F4822"/>
    <w:rsid w:val="006F5BDD"/>
    <w:rsid w:val="00701E4D"/>
    <w:rsid w:val="007240C0"/>
    <w:rsid w:val="0072545F"/>
    <w:rsid w:val="007377D1"/>
    <w:rsid w:val="007409BF"/>
    <w:rsid w:val="00746914"/>
    <w:rsid w:val="007566C4"/>
    <w:rsid w:val="00777027"/>
    <w:rsid w:val="00777D28"/>
    <w:rsid w:val="00781AE9"/>
    <w:rsid w:val="007940A6"/>
    <w:rsid w:val="00795743"/>
    <w:rsid w:val="007B1176"/>
    <w:rsid w:val="007B50C4"/>
    <w:rsid w:val="007C3DF0"/>
    <w:rsid w:val="007D0D94"/>
    <w:rsid w:val="007D0DD7"/>
    <w:rsid w:val="007D1C29"/>
    <w:rsid w:val="00803D47"/>
    <w:rsid w:val="00816E7E"/>
    <w:rsid w:val="00820F51"/>
    <w:rsid w:val="0082433E"/>
    <w:rsid w:val="008262A7"/>
    <w:rsid w:val="0082744A"/>
    <w:rsid w:val="008423B1"/>
    <w:rsid w:val="008437DE"/>
    <w:rsid w:val="00846F9B"/>
    <w:rsid w:val="008559D7"/>
    <w:rsid w:val="00856CD2"/>
    <w:rsid w:val="008901A6"/>
    <w:rsid w:val="008A2ECF"/>
    <w:rsid w:val="008A589B"/>
    <w:rsid w:val="008B1CF7"/>
    <w:rsid w:val="008C3476"/>
    <w:rsid w:val="008D3823"/>
    <w:rsid w:val="008D5F79"/>
    <w:rsid w:val="008E6FF8"/>
    <w:rsid w:val="008F01BA"/>
    <w:rsid w:val="008F689B"/>
    <w:rsid w:val="00917A61"/>
    <w:rsid w:val="00923260"/>
    <w:rsid w:val="00930358"/>
    <w:rsid w:val="00934B70"/>
    <w:rsid w:val="0094349E"/>
    <w:rsid w:val="0094357A"/>
    <w:rsid w:val="00951D13"/>
    <w:rsid w:val="009859ED"/>
    <w:rsid w:val="009932DE"/>
    <w:rsid w:val="009A49B4"/>
    <w:rsid w:val="009A741F"/>
    <w:rsid w:val="009B7108"/>
    <w:rsid w:val="009C0522"/>
    <w:rsid w:val="009C3C5E"/>
    <w:rsid w:val="009D78EF"/>
    <w:rsid w:val="009E081E"/>
    <w:rsid w:val="009E5C05"/>
    <w:rsid w:val="00A065FD"/>
    <w:rsid w:val="00A06AC8"/>
    <w:rsid w:val="00A0778C"/>
    <w:rsid w:val="00A214A6"/>
    <w:rsid w:val="00A52668"/>
    <w:rsid w:val="00A630CD"/>
    <w:rsid w:val="00A91B6B"/>
    <w:rsid w:val="00A91D80"/>
    <w:rsid w:val="00A9294B"/>
    <w:rsid w:val="00AA012F"/>
    <w:rsid w:val="00AC7E30"/>
    <w:rsid w:val="00AD266F"/>
    <w:rsid w:val="00AD4F44"/>
    <w:rsid w:val="00AE0685"/>
    <w:rsid w:val="00AE446E"/>
    <w:rsid w:val="00AE6F0A"/>
    <w:rsid w:val="00AE7279"/>
    <w:rsid w:val="00B75D38"/>
    <w:rsid w:val="00B77E8D"/>
    <w:rsid w:val="00B858A4"/>
    <w:rsid w:val="00B943D3"/>
    <w:rsid w:val="00BA1F45"/>
    <w:rsid w:val="00BB0037"/>
    <w:rsid w:val="00BC3B1B"/>
    <w:rsid w:val="00BC6788"/>
    <w:rsid w:val="00BD2E9F"/>
    <w:rsid w:val="00BD3AF6"/>
    <w:rsid w:val="00BF0CB8"/>
    <w:rsid w:val="00C320E3"/>
    <w:rsid w:val="00C32C48"/>
    <w:rsid w:val="00C379C6"/>
    <w:rsid w:val="00C41ED4"/>
    <w:rsid w:val="00C77944"/>
    <w:rsid w:val="00C818CB"/>
    <w:rsid w:val="00C84E96"/>
    <w:rsid w:val="00CA4E2C"/>
    <w:rsid w:val="00CB2152"/>
    <w:rsid w:val="00CC4689"/>
    <w:rsid w:val="00CE6575"/>
    <w:rsid w:val="00CF7131"/>
    <w:rsid w:val="00D04C61"/>
    <w:rsid w:val="00D12D71"/>
    <w:rsid w:val="00D25376"/>
    <w:rsid w:val="00D3065A"/>
    <w:rsid w:val="00D47955"/>
    <w:rsid w:val="00D61D97"/>
    <w:rsid w:val="00D7361B"/>
    <w:rsid w:val="00D9079A"/>
    <w:rsid w:val="00D90918"/>
    <w:rsid w:val="00D97758"/>
    <w:rsid w:val="00DA6344"/>
    <w:rsid w:val="00DC2FC7"/>
    <w:rsid w:val="00DE239F"/>
    <w:rsid w:val="00DE4CBE"/>
    <w:rsid w:val="00DE6373"/>
    <w:rsid w:val="00DF360A"/>
    <w:rsid w:val="00E10717"/>
    <w:rsid w:val="00E37671"/>
    <w:rsid w:val="00E3783A"/>
    <w:rsid w:val="00E53F4A"/>
    <w:rsid w:val="00E5719D"/>
    <w:rsid w:val="00E605DB"/>
    <w:rsid w:val="00E655A7"/>
    <w:rsid w:val="00E664FC"/>
    <w:rsid w:val="00E924A8"/>
    <w:rsid w:val="00EB13C7"/>
    <w:rsid w:val="00EB334D"/>
    <w:rsid w:val="00ED0FE0"/>
    <w:rsid w:val="00ED424B"/>
    <w:rsid w:val="00EE27AF"/>
    <w:rsid w:val="00EE47F1"/>
    <w:rsid w:val="00EF3E6C"/>
    <w:rsid w:val="00EF40EC"/>
    <w:rsid w:val="00F17C44"/>
    <w:rsid w:val="00F22378"/>
    <w:rsid w:val="00F43A04"/>
    <w:rsid w:val="00F46155"/>
    <w:rsid w:val="00F57874"/>
    <w:rsid w:val="00F67C60"/>
    <w:rsid w:val="00F70E6C"/>
    <w:rsid w:val="00FB2CD9"/>
    <w:rsid w:val="00FB4534"/>
    <w:rsid w:val="00FB6896"/>
    <w:rsid w:val="00FC1746"/>
    <w:rsid w:val="00FD11C4"/>
    <w:rsid w:val="00FD2BB8"/>
    <w:rsid w:val="00FD51F2"/>
    <w:rsid w:val="00FE7992"/>
    <w:rsid w:val="00FF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38"/>
    <w:pPr>
      <w:spacing w:after="200"/>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D38"/>
    <w:pPr>
      <w:tabs>
        <w:tab w:val="center" w:pos="4680"/>
        <w:tab w:val="right" w:pos="9360"/>
      </w:tabs>
      <w:spacing w:after="0"/>
    </w:pPr>
  </w:style>
  <w:style w:type="character" w:customStyle="1" w:styleId="HeaderChar">
    <w:name w:val="Header Char"/>
    <w:basedOn w:val="DefaultParagraphFont"/>
    <w:link w:val="Header"/>
    <w:uiPriority w:val="99"/>
    <w:rsid w:val="00B75D38"/>
    <w:rPr>
      <w:rFonts w:ascii="Times New Roman" w:hAnsi="Times New Roman"/>
      <w:sz w:val="24"/>
    </w:rPr>
  </w:style>
  <w:style w:type="paragraph" w:styleId="Footer">
    <w:name w:val="footer"/>
    <w:basedOn w:val="Normal"/>
    <w:link w:val="FooterChar"/>
    <w:uiPriority w:val="99"/>
    <w:unhideWhenUsed/>
    <w:rsid w:val="00B75D38"/>
    <w:pPr>
      <w:tabs>
        <w:tab w:val="center" w:pos="4680"/>
        <w:tab w:val="right" w:pos="9360"/>
      </w:tabs>
      <w:spacing w:after="0"/>
    </w:pPr>
  </w:style>
  <w:style w:type="character" w:customStyle="1" w:styleId="FooterChar">
    <w:name w:val="Footer Char"/>
    <w:basedOn w:val="DefaultParagraphFont"/>
    <w:link w:val="Footer"/>
    <w:uiPriority w:val="99"/>
    <w:rsid w:val="00B75D38"/>
    <w:rPr>
      <w:rFonts w:ascii="Times New Roman" w:hAnsi="Times New Roman"/>
      <w:sz w:val="24"/>
    </w:rPr>
  </w:style>
  <w:style w:type="paragraph" w:styleId="ListParagraph">
    <w:name w:val="List Paragraph"/>
    <w:basedOn w:val="Normal"/>
    <w:uiPriority w:val="34"/>
    <w:qFormat/>
    <w:rsid w:val="00B75D38"/>
    <w:pPr>
      <w:ind w:left="720"/>
      <w:contextualSpacing/>
    </w:pPr>
  </w:style>
  <w:style w:type="character" w:styleId="CommentReference">
    <w:name w:val="annotation reference"/>
    <w:basedOn w:val="DefaultParagraphFont"/>
    <w:uiPriority w:val="99"/>
    <w:semiHidden/>
    <w:unhideWhenUsed/>
    <w:rsid w:val="009C0522"/>
    <w:rPr>
      <w:sz w:val="16"/>
      <w:szCs w:val="16"/>
    </w:rPr>
  </w:style>
  <w:style w:type="paragraph" w:styleId="CommentText">
    <w:name w:val="annotation text"/>
    <w:basedOn w:val="Normal"/>
    <w:link w:val="CommentTextChar"/>
    <w:uiPriority w:val="99"/>
    <w:semiHidden/>
    <w:unhideWhenUsed/>
    <w:rsid w:val="009C0522"/>
    <w:rPr>
      <w:sz w:val="20"/>
      <w:szCs w:val="20"/>
    </w:rPr>
  </w:style>
  <w:style w:type="character" w:customStyle="1" w:styleId="CommentTextChar">
    <w:name w:val="Comment Text Char"/>
    <w:basedOn w:val="DefaultParagraphFont"/>
    <w:link w:val="CommentText"/>
    <w:uiPriority w:val="99"/>
    <w:semiHidden/>
    <w:rsid w:val="009C05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C0522"/>
    <w:rPr>
      <w:b/>
      <w:bCs/>
    </w:rPr>
  </w:style>
  <w:style w:type="character" w:customStyle="1" w:styleId="CommentSubjectChar">
    <w:name w:val="Comment Subject Char"/>
    <w:basedOn w:val="CommentTextChar"/>
    <w:link w:val="CommentSubject"/>
    <w:uiPriority w:val="99"/>
    <w:semiHidden/>
    <w:rsid w:val="009C0522"/>
    <w:rPr>
      <w:rFonts w:ascii="Times New Roman" w:hAnsi="Times New Roman"/>
      <w:b/>
      <w:bCs/>
      <w:sz w:val="20"/>
      <w:szCs w:val="20"/>
    </w:rPr>
  </w:style>
  <w:style w:type="paragraph" w:styleId="BalloonText">
    <w:name w:val="Balloon Text"/>
    <w:basedOn w:val="Normal"/>
    <w:link w:val="BalloonTextChar"/>
    <w:uiPriority w:val="99"/>
    <w:semiHidden/>
    <w:unhideWhenUsed/>
    <w:rsid w:val="009C05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38"/>
    <w:pPr>
      <w:spacing w:after="200"/>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D38"/>
    <w:pPr>
      <w:tabs>
        <w:tab w:val="center" w:pos="4680"/>
        <w:tab w:val="right" w:pos="9360"/>
      </w:tabs>
      <w:spacing w:after="0"/>
    </w:pPr>
  </w:style>
  <w:style w:type="character" w:customStyle="1" w:styleId="HeaderChar">
    <w:name w:val="Header Char"/>
    <w:basedOn w:val="DefaultParagraphFont"/>
    <w:link w:val="Header"/>
    <w:uiPriority w:val="99"/>
    <w:rsid w:val="00B75D38"/>
    <w:rPr>
      <w:rFonts w:ascii="Times New Roman" w:hAnsi="Times New Roman"/>
      <w:sz w:val="24"/>
    </w:rPr>
  </w:style>
  <w:style w:type="paragraph" w:styleId="Footer">
    <w:name w:val="footer"/>
    <w:basedOn w:val="Normal"/>
    <w:link w:val="FooterChar"/>
    <w:uiPriority w:val="99"/>
    <w:unhideWhenUsed/>
    <w:rsid w:val="00B75D38"/>
    <w:pPr>
      <w:tabs>
        <w:tab w:val="center" w:pos="4680"/>
        <w:tab w:val="right" w:pos="9360"/>
      </w:tabs>
      <w:spacing w:after="0"/>
    </w:pPr>
  </w:style>
  <w:style w:type="character" w:customStyle="1" w:styleId="FooterChar">
    <w:name w:val="Footer Char"/>
    <w:basedOn w:val="DefaultParagraphFont"/>
    <w:link w:val="Footer"/>
    <w:uiPriority w:val="99"/>
    <w:rsid w:val="00B75D38"/>
    <w:rPr>
      <w:rFonts w:ascii="Times New Roman" w:hAnsi="Times New Roman"/>
      <w:sz w:val="24"/>
    </w:rPr>
  </w:style>
  <w:style w:type="paragraph" w:styleId="ListParagraph">
    <w:name w:val="List Paragraph"/>
    <w:basedOn w:val="Normal"/>
    <w:uiPriority w:val="34"/>
    <w:qFormat/>
    <w:rsid w:val="00B75D38"/>
    <w:pPr>
      <w:ind w:left="720"/>
      <w:contextualSpacing/>
    </w:pPr>
  </w:style>
  <w:style w:type="character" w:styleId="CommentReference">
    <w:name w:val="annotation reference"/>
    <w:basedOn w:val="DefaultParagraphFont"/>
    <w:uiPriority w:val="99"/>
    <w:semiHidden/>
    <w:unhideWhenUsed/>
    <w:rsid w:val="009C0522"/>
    <w:rPr>
      <w:sz w:val="16"/>
      <w:szCs w:val="16"/>
    </w:rPr>
  </w:style>
  <w:style w:type="paragraph" w:styleId="CommentText">
    <w:name w:val="annotation text"/>
    <w:basedOn w:val="Normal"/>
    <w:link w:val="CommentTextChar"/>
    <w:uiPriority w:val="99"/>
    <w:semiHidden/>
    <w:unhideWhenUsed/>
    <w:rsid w:val="009C0522"/>
    <w:rPr>
      <w:sz w:val="20"/>
      <w:szCs w:val="20"/>
    </w:rPr>
  </w:style>
  <w:style w:type="character" w:customStyle="1" w:styleId="CommentTextChar">
    <w:name w:val="Comment Text Char"/>
    <w:basedOn w:val="DefaultParagraphFont"/>
    <w:link w:val="CommentText"/>
    <w:uiPriority w:val="99"/>
    <w:semiHidden/>
    <w:rsid w:val="009C05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C0522"/>
    <w:rPr>
      <w:b/>
      <w:bCs/>
    </w:rPr>
  </w:style>
  <w:style w:type="character" w:customStyle="1" w:styleId="CommentSubjectChar">
    <w:name w:val="Comment Subject Char"/>
    <w:basedOn w:val="CommentTextChar"/>
    <w:link w:val="CommentSubject"/>
    <w:uiPriority w:val="99"/>
    <w:semiHidden/>
    <w:rsid w:val="009C0522"/>
    <w:rPr>
      <w:rFonts w:ascii="Times New Roman" w:hAnsi="Times New Roman"/>
      <w:b/>
      <w:bCs/>
      <w:sz w:val="20"/>
      <w:szCs w:val="20"/>
    </w:rPr>
  </w:style>
  <w:style w:type="paragraph" w:styleId="BalloonText">
    <w:name w:val="Balloon Text"/>
    <w:basedOn w:val="Normal"/>
    <w:link w:val="BalloonTextChar"/>
    <w:uiPriority w:val="99"/>
    <w:semiHidden/>
    <w:unhideWhenUsed/>
    <w:rsid w:val="009C05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2017-11-18T00:37:00Z</cp:lastPrinted>
  <dcterms:created xsi:type="dcterms:W3CDTF">2017-11-18T00:40:00Z</dcterms:created>
  <dcterms:modified xsi:type="dcterms:W3CDTF">2017-11-18T00:40:00Z</dcterms:modified>
</cp:coreProperties>
</file>