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1F" w:rsidRDefault="00E8701F" w:rsidP="00E8701F">
      <w:pPr>
        <w:pStyle w:val="Title"/>
      </w:pPr>
      <w:bookmarkStart w:id="0" w:name="_GoBack"/>
      <w:bookmarkEnd w:id="0"/>
      <w:r>
        <w:t>COMMONWEALTH OF MASSACHUSETTS</w:t>
      </w:r>
    </w:p>
    <w:p w:rsidR="00E8701F" w:rsidRDefault="00E8701F" w:rsidP="00E8701F">
      <w:pPr>
        <w:jc w:val="center"/>
        <w:rPr>
          <w:rFonts w:ascii="Courier New" w:hAnsi="Courier New" w:cs="Courier New"/>
          <w:b/>
          <w:bCs/>
        </w:rPr>
      </w:pPr>
    </w:p>
    <w:p w:rsidR="00E8701F" w:rsidRDefault="00E8701F" w:rsidP="00E8701F">
      <w:pPr>
        <w:jc w:val="center"/>
        <w:rPr>
          <w:rFonts w:ascii="Courier New" w:hAnsi="Courier New" w:cs="Courier New"/>
          <w:b/>
          <w:bCs/>
        </w:rPr>
      </w:pPr>
      <w:r>
        <w:rPr>
          <w:rFonts w:ascii="Courier New" w:hAnsi="Courier New" w:cs="Courier New"/>
          <w:b/>
          <w:bCs/>
        </w:rPr>
        <w:t>APPELLATE TAX BOARD</w:t>
      </w:r>
    </w:p>
    <w:p w:rsidR="00E8701F" w:rsidRDefault="00E8701F" w:rsidP="00E8701F">
      <w:pPr>
        <w:jc w:val="center"/>
      </w:pPr>
    </w:p>
    <w:p w:rsidR="00E8701F" w:rsidRDefault="00E8701F" w:rsidP="00E8701F"/>
    <w:p w:rsidR="00E8701F" w:rsidRDefault="00E8701F" w:rsidP="00E8701F">
      <w:pPr>
        <w:pStyle w:val="Heading1"/>
        <w:rPr>
          <w:rFonts w:eastAsia="Times New Roman"/>
          <w:b w:val="0"/>
          <w:bCs w:val="0"/>
        </w:rPr>
      </w:pPr>
    </w:p>
    <w:p w:rsidR="00E8701F" w:rsidRDefault="00E8701F" w:rsidP="00E8701F">
      <w:pPr>
        <w:pStyle w:val="Heading1"/>
      </w:pPr>
      <w:r>
        <w:rPr>
          <w:rFonts w:eastAsia="Times New Roman"/>
          <w:bCs w:val="0"/>
        </w:rPr>
        <w:t xml:space="preserve">PETER J. &amp; </w:t>
      </w:r>
      <w:r w:rsidRPr="00E8701F">
        <w:rPr>
          <w:rFonts w:eastAsia="Times New Roman"/>
          <w:bCs w:val="0"/>
          <w:caps/>
        </w:rPr>
        <w:t>Nadine M. Hiser</w:t>
      </w:r>
      <w:r>
        <w:t xml:space="preserve">      v.</w:t>
      </w:r>
      <w:r>
        <w:tab/>
      </w:r>
      <w:r>
        <w:tab/>
        <w:t xml:space="preserve">  BOARD OF ASSESSORS OF</w:t>
      </w:r>
    </w:p>
    <w:p w:rsidR="00E8701F" w:rsidRDefault="00E8701F" w:rsidP="00E8701F">
      <w:pPr>
        <w:pStyle w:val="Heading1"/>
        <w:rPr>
          <w:bCs w:val="0"/>
        </w:rPr>
      </w:pPr>
      <w:r>
        <w:tab/>
      </w:r>
      <w:r>
        <w:tab/>
      </w:r>
      <w:r>
        <w:tab/>
      </w:r>
      <w:r>
        <w:tab/>
      </w:r>
      <w:r>
        <w:tab/>
      </w:r>
      <w:r>
        <w:tab/>
      </w:r>
      <w:r>
        <w:tab/>
      </w:r>
      <w:r>
        <w:tab/>
        <w:t xml:space="preserve">  </w:t>
      </w:r>
      <w:r>
        <w:rPr>
          <w:bCs w:val="0"/>
        </w:rPr>
        <w:t>THE TOWN OF DALTON</w:t>
      </w:r>
    </w:p>
    <w:p w:rsidR="00E8701F" w:rsidRDefault="00E8701F" w:rsidP="00E8701F">
      <w:pPr>
        <w:jc w:val="both"/>
        <w:rPr>
          <w:rFonts w:ascii="Courier New" w:hAnsi="Courier New" w:cs="Courier New"/>
          <w:b/>
        </w:rPr>
      </w:pPr>
      <w:r>
        <w:tab/>
      </w:r>
      <w:r>
        <w:tab/>
        <w:t xml:space="preserve">     </w:t>
      </w:r>
      <w:r>
        <w:tab/>
      </w:r>
      <w:r>
        <w:tab/>
      </w:r>
    </w:p>
    <w:p w:rsidR="00E8701F" w:rsidRDefault="00E8701F" w:rsidP="00E8701F">
      <w:pPr>
        <w:jc w:val="both"/>
        <w:rPr>
          <w:rFonts w:ascii="Courier New" w:hAnsi="Courier New" w:cs="Courier New"/>
        </w:rPr>
      </w:pPr>
    </w:p>
    <w:p w:rsidR="00E8701F" w:rsidRDefault="00403745" w:rsidP="00E8701F">
      <w:pPr>
        <w:jc w:val="both"/>
        <w:rPr>
          <w:rFonts w:ascii="Courier New" w:hAnsi="Courier New" w:cs="Courier New"/>
        </w:rPr>
      </w:pPr>
      <w:r>
        <w:rPr>
          <w:rFonts w:ascii="Courier New" w:hAnsi="Courier New" w:cs="Courier New"/>
        </w:rPr>
        <w:t>Docket No. F329048</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E8701F">
        <w:rPr>
          <w:rFonts w:ascii="Courier New" w:hAnsi="Courier New" w:cs="Courier New"/>
        </w:rPr>
        <w:t>Promulgated:</w:t>
      </w:r>
      <w:r w:rsidR="00E8701F">
        <w:rPr>
          <w:rFonts w:ascii="Courier New" w:hAnsi="Courier New" w:cs="Courier New"/>
        </w:rPr>
        <w:tab/>
      </w:r>
      <w:r w:rsidR="00E8701F">
        <w:rPr>
          <w:rFonts w:ascii="Courier New" w:hAnsi="Courier New" w:cs="Courier New"/>
        </w:rPr>
        <w:tab/>
      </w:r>
      <w:r w:rsidR="00E8701F">
        <w:rPr>
          <w:rFonts w:ascii="Courier New" w:hAnsi="Courier New" w:cs="Courier New"/>
        </w:rPr>
        <w:tab/>
      </w:r>
      <w:r w:rsidR="00E8701F">
        <w:rPr>
          <w:rFonts w:ascii="Courier New" w:hAnsi="Courier New" w:cs="Courier New"/>
        </w:rPr>
        <w:tab/>
      </w:r>
      <w:r w:rsidR="00E8701F">
        <w:rPr>
          <w:rFonts w:ascii="Courier New" w:hAnsi="Courier New" w:cs="Courier New"/>
        </w:rPr>
        <w:tab/>
        <w:t xml:space="preserve">       </w:t>
      </w:r>
      <w:r w:rsidR="00D4575A">
        <w:rPr>
          <w:rFonts w:ascii="Courier New" w:hAnsi="Courier New" w:cs="Courier New"/>
        </w:rPr>
        <w:tab/>
      </w:r>
      <w:r w:rsidR="00D4575A">
        <w:rPr>
          <w:rFonts w:ascii="Courier New" w:hAnsi="Courier New" w:cs="Courier New"/>
        </w:rPr>
        <w:tab/>
      </w:r>
      <w:r w:rsidR="00D4575A">
        <w:rPr>
          <w:rFonts w:ascii="Courier New" w:hAnsi="Courier New" w:cs="Courier New"/>
        </w:rPr>
        <w:tab/>
      </w:r>
      <w:r w:rsidR="00D4575A">
        <w:rPr>
          <w:rFonts w:ascii="Courier New" w:hAnsi="Courier New" w:cs="Courier New"/>
        </w:rPr>
        <w:tab/>
      </w:r>
      <w:r w:rsidR="00D4575A">
        <w:rPr>
          <w:rFonts w:ascii="Courier New" w:hAnsi="Courier New" w:cs="Courier New"/>
        </w:rPr>
        <w:tab/>
        <w:t>  </w:t>
      </w:r>
      <w:r w:rsidR="002449E5">
        <w:rPr>
          <w:rFonts w:ascii="Courier New" w:hAnsi="Courier New" w:cs="Courier New"/>
        </w:rPr>
        <w:t>October 17, 2018</w:t>
      </w:r>
    </w:p>
    <w:p w:rsidR="00E8701F" w:rsidRDefault="00E8701F" w:rsidP="00E8701F">
      <w:pPr>
        <w:jc w:val="both"/>
        <w:rPr>
          <w:rFonts w:ascii="Courier New" w:hAnsi="Courier New" w:cs="Courier New"/>
        </w:rPr>
      </w:pPr>
    </w:p>
    <w:p w:rsidR="00E8701F" w:rsidRDefault="00E8701F" w:rsidP="00E8701F">
      <w:pPr>
        <w:jc w:val="both"/>
        <w:rPr>
          <w:rFonts w:ascii="Courier New" w:hAnsi="Courier New" w:cs="Courier New"/>
        </w:rPr>
      </w:pPr>
    </w:p>
    <w:p w:rsidR="00E8701F" w:rsidRDefault="00E8701F" w:rsidP="00E8701F">
      <w:pPr>
        <w:pStyle w:val="BodyTextIndent"/>
        <w:jc w:val="both"/>
      </w:pPr>
      <w:r>
        <w:t>This is an appeal under the formal procedure pursuant to G.L. c. 58A, § 7 and G.L. c. 59, §§ 64 and 65</w:t>
      </w:r>
      <w:r w:rsidR="00AD19E7">
        <w:t xml:space="preserve"> brought by Peter J. and Nadine M. Hiser (“appellants”)</w:t>
      </w:r>
      <w:r>
        <w:t>, from the refusal of the Board of Assessors of the Town of Dalton (“assessors” or “appellee”) to abate a tax on real estate located in the Town of Dalton (“subject property”) owned by</w:t>
      </w:r>
      <w:r w:rsidR="00F74759">
        <w:t xml:space="preserve"> </w:t>
      </w:r>
      <w:r>
        <w:t xml:space="preserve">Peter </w:t>
      </w:r>
      <w:r w:rsidR="00D4575A">
        <w:t xml:space="preserve">J. </w:t>
      </w:r>
      <w:r>
        <w:t>Hiser</w:t>
      </w:r>
      <w:r w:rsidR="00AD19E7">
        <w:rPr>
          <w:rStyle w:val="FootnoteReference"/>
        </w:rPr>
        <w:footnoteReference w:id="1"/>
      </w:r>
      <w:r>
        <w:t xml:space="preserve"> for fiscal year</w:t>
      </w:r>
      <w:r w:rsidR="00403745">
        <w:t xml:space="preserve"> 2016 (“fiscal year at issue”).</w:t>
      </w:r>
    </w:p>
    <w:p w:rsidR="00E8701F" w:rsidRDefault="00E8701F" w:rsidP="00E8701F">
      <w:pPr>
        <w:pStyle w:val="BodyTextIndent"/>
        <w:jc w:val="both"/>
      </w:pPr>
      <w:r>
        <w:t>Commissioner Rose (“Presiding Commissioner”) heard this appeal under G.L. c. 58A, § 1A and 831 CMR 1.20 and issued a single-member decision for the appellant</w:t>
      </w:r>
      <w:r w:rsidR="00AD19E7">
        <w:t>s</w:t>
      </w:r>
      <w:r>
        <w:t xml:space="preserve">. </w:t>
      </w:r>
    </w:p>
    <w:p w:rsidR="00E8701F" w:rsidRDefault="00E8701F" w:rsidP="00E8701F">
      <w:pPr>
        <w:pStyle w:val="BodyTextIndent"/>
        <w:jc w:val="both"/>
      </w:pPr>
      <w:r>
        <w:t>These findings of fact and report are made pursuant to a request by the appell</w:t>
      </w:r>
      <w:r w:rsidR="00940882">
        <w:t>ee</w:t>
      </w:r>
      <w:r>
        <w:t xml:space="preserve"> under G.L. c. 58A, § 13 and 831 CMR 1.32.</w:t>
      </w:r>
    </w:p>
    <w:p w:rsidR="00E8701F" w:rsidRDefault="00E8701F" w:rsidP="00E8701F">
      <w:pPr>
        <w:pStyle w:val="BodyTextIndent"/>
        <w:spacing w:line="240" w:lineRule="auto"/>
        <w:jc w:val="both"/>
        <w:rPr>
          <w:i/>
        </w:rPr>
      </w:pPr>
    </w:p>
    <w:p w:rsidR="002F7C7F" w:rsidRDefault="002F7C7F" w:rsidP="00E8701F">
      <w:pPr>
        <w:pStyle w:val="BodyTextIndent"/>
        <w:spacing w:line="240" w:lineRule="auto"/>
        <w:jc w:val="both"/>
        <w:rPr>
          <w:i/>
        </w:rPr>
      </w:pPr>
    </w:p>
    <w:p w:rsidR="002F7C7F" w:rsidRDefault="002F7C7F" w:rsidP="00E8701F">
      <w:pPr>
        <w:pStyle w:val="BodyTextIndent"/>
        <w:spacing w:line="240" w:lineRule="auto"/>
        <w:jc w:val="both"/>
        <w:rPr>
          <w:i/>
        </w:rPr>
      </w:pPr>
    </w:p>
    <w:p w:rsidR="00E8701F" w:rsidRDefault="00E8701F" w:rsidP="00E8701F">
      <w:pPr>
        <w:pStyle w:val="BodyTextIndent"/>
        <w:spacing w:line="240" w:lineRule="auto"/>
        <w:jc w:val="both"/>
      </w:pPr>
      <w:r>
        <w:rPr>
          <w:i/>
        </w:rPr>
        <w:lastRenderedPageBreak/>
        <w:t xml:space="preserve">Nadine M. Hiser, </w:t>
      </w:r>
      <w:r w:rsidR="00F74759">
        <w:rPr>
          <w:i/>
        </w:rPr>
        <w:t>p</w:t>
      </w:r>
      <w:r>
        <w:rPr>
          <w:i/>
        </w:rPr>
        <w:t xml:space="preserve">ursuant </w:t>
      </w:r>
      <w:r w:rsidR="00F74759">
        <w:rPr>
          <w:i/>
        </w:rPr>
        <w:t>t</w:t>
      </w:r>
      <w:r>
        <w:rPr>
          <w:i/>
        </w:rPr>
        <w:t xml:space="preserve">o </w:t>
      </w:r>
      <w:r w:rsidR="00F74759">
        <w:rPr>
          <w:i/>
        </w:rPr>
        <w:t>a</w:t>
      </w:r>
      <w:r>
        <w:rPr>
          <w:i/>
        </w:rPr>
        <w:t xml:space="preserve"> </w:t>
      </w:r>
      <w:r w:rsidR="00F74759">
        <w:rPr>
          <w:i/>
        </w:rPr>
        <w:t>p</w:t>
      </w:r>
      <w:r>
        <w:rPr>
          <w:i/>
        </w:rPr>
        <w:t xml:space="preserve">ower of </w:t>
      </w:r>
      <w:r w:rsidR="00F74759">
        <w:rPr>
          <w:i/>
        </w:rPr>
        <w:t>a</w:t>
      </w:r>
      <w:r>
        <w:rPr>
          <w:i/>
        </w:rPr>
        <w:t xml:space="preserve">ttorney, </w:t>
      </w:r>
      <w:r>
        <w:t>for the appellant</w:t>
      </w:r>
      <w:r w:rsidR="00AD19E7">
        <w:t>s</w:t>
      </w:r>
      <w:r>
        <w:t>.</w:t>
      </w:r>
    </w:p>
    <w:p w:rsidR="00E8701F" w:rsidRDefault="00E8701F" w:rsidP="00E8701F">
      <w:pPr>
        <w:pStyle w:val="BodyTextIndent"/>
        <w:spacing w:line="240" w:lineRule="auto"/>
        <w:jc w:val="both"/>
      </w:pPr>
    </w:p>
    <w:p w:rsidR="00E8701F" w:rsidRDefault="00E8701F" w:rsidP="00E8701F">
      <w:pPr>
        <w:pStyle w:val="BodyTextIndent"/>
        <w:spacing w:line="240" w:lineRule="auto"/>
        <w:jc w:val="both"/>
      </w:pPr>
      <w:r>
        <w:rPr>
          <w:i/>
        </w:rPr>
        <w:t xml:space="preserve">Laura Maffuccio, </w:t>
      </w:r>
      <w:r>
        <w:t>assessor, for the appellee.</w:t>
      </w:r>
    </w:p>
    <w:p w:rsidR="002F7C7F" w:rsidRDefault="002F7C7F" w:rsidP="00E8701F">
      <w:pPr>
        <w:pStyle w:val="BodyTextIndent"/>
        <w:spacing w:line="240" w:lineRule="auto"/>
        <w:jc w:val="both"/>
      </w:pPr>
    </w:p>
    <w:p w:rsidR="00E8701F" w:rsidRDefault="00E8701F" w:rsidP="00E8701F">
      <w:pPr>
        <w:pStyle w:val="BodyTextIndent"/>
        <w:spacing w:line="240" w:lineRule="auto"/>
        <w:jc w:val="both"/>
      </w:pPr>
    </w:p>
    <w:p w:rsidR="00E8701F" w:rsidRDefault="00E8701F" w:rsidP="000C0FB5">
      <w:pPr>
        <w:pStyle w:val="BodyTextIndent"/>
        <w:spacing w:line="240" w:lineRule="auto"/>
        <w:ind w:firstLine="0"/>
        <w:jc w:val="center"/>
      </w:pPr>
      <w:r>
        <w:rPr>
          <w:b/>
        </w:rPr>
        <w:t>FINDINGS OF FACT AND REPORT</w:t>
      </w:r>
    </w:p>
    <w:p w:rsidR="00E8701F" w:rsidRDefault="00E8701F" w:rsidP="00E8701F"/>
    <w:p w:rsidR="00E8701F" w:rsidRDefault="00E8701F" w:rsidP="00E8701F">
      <w:pPr>
        <w:spacing w:line="480" w:lineRule="auto"/>
        <w:jc w:val="both"/>
        <w:rPr>
          <w:rFonts w:ascii="Courier New" w:hAnsi="Courier New" w:cs="Courier New"/>
        </w:rPr>
      </w:pPr>
      <w:r>
        <w:rPr>
          <w:rFonts w:ascii="Courier New" w:hAnsi="Courier New" w:cs="Courier New"/>
        </w:rPr>
        <w:tab/>
        <w:t>On the basis of the testimony and exhibits offered into evidence at the hearing of this appeal, the Presiding Commissioner made the following findings of fact.</w:t>
      </w:r>
    </w:p>
    <w:p w:rsidR="006A7AB1" w:rsidRDefault="00E8701F" w:rsidP="00E8701F">
      <w:pPr>
        <w:spacing w:line="480" w:lineRule="auto"/>
        <w:ind w:firstLine="720"/>
        <w:jc w:val="both"/>
        <w:rPr>
          <w:rFonts w:ascii="Courier New" w:hAnsi="Courier New" w:cs="Courier New"/>
        </w:rPr>
      </w:pPr>
      <w:r w:rsidRPr="009B7105">
        <w:rPr>
          <w:rFonts w:ascii="Courier New" w:hAnsi="Courier New" w:cs="Courier New"/>
          <w:color w:val="333333"/>
          <w:shd w:val="clear" w:color="auto" w:fill="FFFFFF"/>
        </w:rPr>
        <w:t xml:space="preserve">For </w:t>
      </w:r>
      <w:r>
        <w:rPr>
          <w:rFonts w:ascii="Courier New" w:hAnsi="Courier New" w:cs="Courier New"/>
          <w:color w:val="333333"/>
          <w:shd w:val="clear" w:color="auto" w:fill="FFFFFF"/>
        </w:rPr>
        <w:t xml:space="preserve">the </w:t>
      </w:r>
      <w:r w:rsidRPr="009B7105">
        <w:rPr>
          <w:rFonts w:ascii="Courier New" w:hAnsi="Courier New" w:cs="Courier New"/>
          <w:color w:val="333333"/>
          <w:shd w:val="clear" w:color="auto" w:fill="FFFFFF"/>
        </w:rPr>
        <w:t xml:space="preserve">fiscal year </w:t>
      </w:r>
      <w:r>
        <w:rPr>
          <w:rFonts w:ascii="Courier New" w:hAnsi="Courier New" w:cs="Courier New"/>
          <w:color w:val="333333"/>
          <w:shd w:val="clear" w:color="auto" w:fill="FFFFFF"/>
        </w:rPr>
        <w:t>at issue</w:t>
      </w:r>
      <w:r w:rsidRPr="009B7105">
        <w:rPr>
          <w:rFonts w:ascii="Courier New" w:hAnsi="Courier New" w:cs="Courier New"/>
          <w:color w:val="333333"/>
          <w:shd w:val="clear" w:color="auto" w:fill="FFFFFF"/>
        </w:rPr>
        <w:t>, t</w:t>
      </w:r>
      <w:r>
        <w:rPr>
          <w:rFonts w:ascii="Courier New" w:hAnsi="Courier New" w:cs="Courier New"/>
        </w:rPr>
        <w:t>he assessors valued the subject property at $41,300 and assessed a tax thereon, at the rate of $19.63 per thousand</w:t>
      </w:r>
      <w:r w:rsidR="00940882">
        <w:rPr>
          <w:rFonts w:ascii="Courier New" w:hAnsi="Courier New" w:cs="Courier New"/>
        </w:rPr>
        <w:t>,</w:t>
      </w:r>
      <w:r>
        <w:rPr>
          <w:rFonts w:ascii="Courier New" w:hAnsi="Courier New" w:cs="Courier New"/>
        </w:rPr>
        <w:t xml:space="preserve"> </w:t>
      </w:r>
      <w:r w:rsidR="00936771">
        <w:rPr>
          <w:rFonts w:ascii="Courier New" w:hAnsi="Courier New" w:cs="Courier New"/>
        </w:rPr>
        <w:t xml:space="preserve">in the amount of $810.72 </w:t>
      </w:r>
      <w:r w:rsidR="00940882">
        <w:rPr>
          <w:rFonts w:ascii="Courier New" w:hAnsi="Courier New" w:cs="Courier New"/>
        </w:rPr>
        <w:t>plus</w:t>
      </w:r>
      <w:r>
        <w:rPr>
          <w:rFonts w:ascii="Courier New" w:hAnsi="Courier New" w:cs="Courier New"/>
        </w:rPr>
        <w:t xml:space="preserve"> an additional fire district tax of $</w:t>
      </w:r>
      <w:r w:rsidR="00940882">
        <w:rPr>
          <w:rFonts w:ascii="Courier New" w:hAnsi="Courier New" w:cs="Courier New"/>
        </w:rPr>
        <w:t>0</w:t>
      </w:r>
      <w:r>
        <w:rPr>
          <w:rFonts w:ascii="Courier New" w:hAnsi="Courier New" w:cs="Courier New"/>
        </w:rPr>
        <w:t xml:space="preserve">.98 per thousand in the </w:t>
      </w:r>
      <w:r w:rsidR="00936771">
        <w:rPr>
          <w:rFonts w:ascii="Courier New" w:hAnsi="Courier New" w:cs="Courier New"/>
        </w:rPr>
        <w:t xml:space="preserve">amount of $40.47, for a </w:t>
      </w:r>
      <w:r>
        <w:rPr>
          <w:rFonts w:ascii="Courier New" w:hAnsi="Courier New" w:cs="Courier New"/>
        </w:rPr>
        <w:t>total amount of</w:t>
      </w:r>
      <w:r w:rsidR="00936771">
        <w:rPr>
          <w:rFonts w:ascii="Courier New" w:hAnsi="Courier New" w:cs="Courier New"/>
        </w:rPr>
        <w:t xml:space="preserve"> $851.19</w:t>
      </w:r>
      <w:r>
        <w:rPr>
          <w:rFonts w:ascii="Courier New" w:hAnsi="Courier New" w:cs="Courier New"/>
        </w:rPr>
        <w:t xml:space="preserve">.  On December 31, 2015, Dalton’s Collector of Taxes </w:t>
      </w:r>
      <w:r w:rsidR="00940882">
        <w:rPr>
          <w:rFonts w:ascii="Courier New" w:hAnsi="Courier New" w:cs="Courier New"/>
        </w:rPr>
        <w:t>mailed</w:t>
      </w:r>
      <w:r>
        <w:rPr>
          <w:rFonts w:ascii="Courier New" w:hAnsi="Courier New" w:cs="Courier New"/>
        </w:rPr>
        <w:t xml:space="preserve"> the actual tax bills for </w:t>
      </w:r>
      <w:r w:rsidR="00F74759">
        <w:rPr>
          <w:rFonts w:ascii="Courier New" w:hAnsi="Courier New" w:cs="Courier New"/>
        </w:rPr>
        <w:t xml:space="preserve">the </w:t>
      </w:r>
      <w:r>
        <w:rPr>
          <w:rFonts w:ascii="Courier New" w:hAnsi="Courier New" w:cs="Courier New"/>
        </w:rPr>
        <w:t xml:space="preserve">fiscal year </w:t>
      </w:r>
      <w:r w:rsidR="00F74759">
        <w:rPr>
          <w:rFonts w:ascii="Courier New" w:hAnsi="Courier New" w:cs="Courier New"/>
        </w:rPr>
        <w:t>at issue</w:t>
      </w:r>
      <w:r>
        <w:rPr>
          <w:rFonts w:ascii="Courier New" w:hAnsi="Courier New" w:cs="Courier New"/>
        </w:rPr>
        <w:t xml:space="preserve">. </w:t>
      </w:r>
      <w:r w:rsidR="00940882">
        <w:rPr>
          <w:rFonts w:ascii="Courier New" w:hAnsi="Courier New" w:cs="Courier New"/>
        </w:rPr>
        <w:t>T</w:t>
      </w:r>
      <w:r>
        <w:rPr>
          <w:rFonts w:ascii="Courier New" w:hAnsi="Courier New" w:cs="Courier New"/>
        </w:rPr>
        <w:t xml:space="preserve">he </w:t>
      </w:r>
      <w:r w:rsidR="00F74759">
        <w:rPr>
          <w:rFonts w:ascii="Courier New" w:hAnsi="Courier New" w:cs="Courier New"/>
        </w:rPr>
        <w:t>two</w:t>
      </w:r>
      <w:r w:rsidR="00940882">
        <w:rPr>
          <w:rFonts w:ascii="Courier New" w:hAnsi="Courier New" w:cs="Courier New"/>
        </w:rPr>
        <w:t xml:space="preserve"> </w:t>
      </w:r>
      <w:r>
        <w:rPr>
          <w:rFonts w:ascii="Courier New" w:hAnsi="Courier New" w:cs="Courier New"/>
        </w:rPr>
        <w:t>preliminary tax bills and the third</w:t>
      </w:r>
      <w:r w:rsidR="00940882">
        <w:rPr>
          <w:rFonts w:ascii="Courier New" w:hAnsi="Courier New" w:cs="Courier New"/>
        </w:rPr>
        <w:t>-</w:t>
      </w:r>
      <w:r>
        <w:rPr>
          <w:rFonts w:ascii="Courier New" w:hAnsi="Courier New" w:cs="Courier New"/>
        </w:rPr>
        <w:t xml:space="preserve">quarter tax bill </w:t>
      </w:r>
      <w:r w:rsidR="00936771">
        <w:rPr>
          <w:rFonts w:ascii="Courier New" w:hAnsi="Courier New" w:cs="Courier New"/>
        </w:rPr>
        <w:t>were timely</w:t>
      </w:r>
      <w:r>
        <w:rPr>
          <w:rFonts w:ascii="Courier New" w:hAnsi="Courier New" w:cs="Courier New"/>
        </w:rPr>
        <w:t xml:space="preserve"> paid</w:t>
      </w:r>
      <w:r w:rsidR="00936771">
        <w:rPr>
          <w:rFonts w:ascii="Courier New" w:hAnsi="Courier New" w:cs="Courier New"/>
        </w:rPr>
        <w:t>, but</w:t>
      </w:r>
      <w:r w:rsidR="00940882">
        <w:rPr>
          <w:rFonts w:ascii="Courier New" w:hAnsi="Courier New" w:cs="Courier New"/>
        </w:rPr>
        <w:t xml:space="preserve"> the fourth-</w:t>
      </w:r>
      <w:r>
        <w:rPr>
          <w:rFonts w:ascii="Courier New" w:hAnsi="Courier New" w:cs="Courier New"/>
        </w:rPr>
        <w:t xml:space="preserve">quarter tax bill </w:t>
      </w:r>
      <w:r w:rsidR="00936771">
        <w:rPr>
          <w:rFonts w:ascii="Courier New" w:hAnsi="Courier New" w:cs="Courier New"/>
        </w:rPr>
        <w:t xml:space="preserve">was not paid until </w:t>
      </w:r>
      <w:r w:rsidR="00D811B2">
        <w:rPr>
          <w:rFonts w:ascii="Courier New" w:hAnsi="Courier New" w:cs="Courier New"/>
        </w:rPr>
        <w:t>May</w:t>
      </w:r>
      <w:r>
        <w:rPr>
          <w:rFonts w:ascii="Courier New" w:hAnsi="Courier New" w:cs="Courier New"/>
        </w:rPr>
        <w:t xml:space="preserve"> 18, 2016, </w:t>
      </w:r>
      <w:r w:rsidR="00936771">
        <w:rPr>
          <w:rFonts w:ascii="Courier New" w:hAnsi="Courier New" w:cs="Courier New"/>
        </w:rPr>
        <w:t xml:space="preserve">thereby </w:t>
      </w:r>
      <w:r>
        <w:rPr>
          <w:rFonts w:ascii="Courier New" w:hAnsi="Courier New" w:cs="Courier New"/>
        </w:rPr>
        <w:t>incurring interest</w:t>
      </w:r>
      <w:r w:rsidRPr="00604862">
        <w:rPr>
          <w:rFonts w:ascii="Courier New" w:hAnsi="Courier New" w:cs="Courier New"/>
        </w:rPr>
        <w:t xml:space="preserve">.  </w:t>
      </w:r>
      <w:r w:rsidR="00936771">
        <w:rPr>
          <w:rFonts w:ascii="Courier New" w:hAnsi="Courier New" w:cs="Courier New"/>
        </w:rPr>
        <w:t xml:space="preserve">However, because the total tax due </w:t>
      </w:r>
      <w:r w:rsidR="00940882">
        <w:rPr>
          <w:rFonts w:ascii="Courier New" w:hAnsi="Courier New" w:cs="Courier New"/>
        </w:rPr>
        <w:t xml:space="preserve">for the fiscal year </w:t>
      </w:r>
      <w:r w:rsidR="00F74759">
        <w:rPr>
          <w:rFonts w:ascii="Courier New" w:hAnsi="Courier New" w:cs="Courier New"/>
        </w:rPr>
        <w:t xml:space="preserve">at issue </w:t>
      </w:r>
      <w:r w:rsidR="00940882">
        <w:rPr>
          <w:rFonts w:ascii="Courier New" w:hAnsi="Courier New" w:cs="Courier New"/>
        </w:rPr>
        <w:t>did not exceed $3,000</w:t>
      </w:r>
      <w:r w:rsidR="00940882">
        <w:rPr>
          <w:rFonts w:ascii="Courier New" w:hAnsi="Courier New"/>
        </w:rPr>
        <w:t>,</w:t>
      </w:r>
      <w:r w:rsidR="006A7AB1">
        <w:rPr>
          <w:rFonts w:ascii="Courier New" w:hAnsi="Courier New" w:cs="Courier New"/>
        </w:rPr>
        <w:t xml:space="preserve"> the</w:t>
      </w:r>
      <w:r w:rsidR="00F74759">
        <w:rPr>
          <w:rFonts w:ascii="Courier New" w:hAnsi="Courier New" w:cs="Courier New"/>
        </w:rPr>
        <w:t xml:space="preserve"> applicable version of G.L. </w:t>
      </w:r>
      <w:r w:rsidR="002F7C7F">
        <w:rPr>
          <w:rFonts w:ascii="Courier New" w:hAnsi="Courier New" w:cs="Courier New"/>
        </w:rPr>
        <w:t xml:space="preserve">c. </w:t>
      </w:r>
      <w:r w:rsidR="00F74759">
        <w:rPr>
          <w:rFonts w:ascii="Courier New" w:hAnsi="Courier New" w:cs="Courier New"/>
        </w:rPr>
        <w:t xml:space="preserve">59, </w:t>
      </w:r>
      <w:r w:rsidR="006A7AB1" w:rsidRPr="00870223">
        <w:rPr>
          <w:rFonts w:ascii="Courier New" w:hAnsi="Courier New" w:cs="Courier New"/>
        </w:rPr>
        <w:t>§</w:t>
      </w:r>
      <w:r w:rsidR="006A7AB1">
        <w:rPr>
          <w:rFonts w:ascii="Courier New" w:hAnsi="Courier New" w:cs="Courier New"/>
        </w:rPr>
        <w:t xml:space="preserve"> 64</w:t>
      </w:r>
      <w:r w:rsidR="00940882">
        <w:rPr>
          <w:rStyle w:val="FootnoteReference"/>
          <w:rFonts w:ascii="Courier New" w:hAnsi="Courier New"/>
        </w:rPr>
        <w:footnoteReference w:id="2"/>
      </w:r>
      <w:r w:rsidR="00936771">
        <w:rPr>
          <w:rFonts w:ascii="Courier New" w:hAnsi="Courier New" w:cs="Courier New"/>
        </w:rPr>
        <w:t xml:space="preserve"> </w:t>
      </w:r>
      <w:r w:rsidR="006A7AB1">
        <w:rPr>
          <w:rFonts w:ascii="Courier New" w:hAnsi="Courier New" w:cs="Courier New"/>
        </w:rPr>
        <w:t xml:space="preserve">provided that </w:t>
      </w:r>
      <w:r w:rsidR="00936771">
        <w:rPr>
          <w:rFonts w:ascii="Courier New" w:hAnsi="Courier New" w:cs="Courier New"/>
        </w:rPr>
        <w:t xml:space="preserve">the incurring of interest did not deprive the </w:t>
      </w:r>
      <w:r w:rsidR="00F74759">
        <w:rPr>
          <w:rFonts w:ascii="Courier New" w:hAnsi="Courier New" w:cs="Courier New"/>
        </w:rPr>
        <w:t xml:space="preserve">Appellate Tax </w:t>
      </w:r>
      <w:r w:rsidR="00936771">
        <w:rPr>
          <w:rFonts w:ascii="Courier New" w:hAnsi="Courier New" w:cs="Courier New"/>
        </w:rPr>
        <w:t xml:space="preserve">Board </w:t>
      </w:r>
      <w:r w:rsidR="00F74759">
        <w:rPr>
          <w:rFonts w:ascii="Courier New" w:hAnsi="Courier New" w:cs="Courier New"/>
        </w:rPr>
        <w:t xml:space="preserve">(“Board”) </w:t>
      </w:r>
      <w:r w:rsidR="00936771">
        <w:rPr>
          <w:rFonts w:ascii="Courier New" w:hAnsi="Courier New" w:cs="Courier New"/>
        </w:rPr>
        <w:t xml:space="preserve">of jurisdiction </w:t>
      </w:r>
      <w:r w:rsidR="00870223">
        <w:rPr>
          <w:rFonts w:ascii="Courier New" w:hAnsi="Courier New" w:cs="Courier New"/>
        </w:rPr>
        <w:t>over</w:t>
      </w:r>
      <w:r w:rsidR="00936771">
        <w:rPr>
          <w:rFonts w:ascii="Courier New" w:hAnsi="Courier New" w:cs="Courier New"/>
        </w:rPr>
        <w:t xml:space="preserve"> this appeal. </w:t>
      </w:r>
    </w:p>
    <w:p w:rsidR="00C36D5B" w:rsidRPr="004D5D9C" w:rsidRDefault="00E8701F" w:rsidP="00E8701F">
      <w:pPr>
        <w:spacing w:line="480" w:lineRule="auto"/>
        <w:ind w:firstLine="720"/>
        <w:jc w:val="both"/>
        <w:rPr>
          <w:rFonts w:ascii="Courier New" w:hAnsi="Courier New" w:cs="Courier New"/>
          <w:color w:val="000000" w:themeColor="text1"/>
          <w:shd w:val="clear" w:color="auto" w:fill="FFFFFF"/>
        </w:rPr>
      </w:pPr>
      <w:r w:rsidRPr="004D5D9C">
        <w:rPr>
          <w:rFonts w:ascii="Courier New" w:hAnsi="Courier New" w:cs="Courier New"/>
          <w:color w:val="000000" w:themeColor="text1"/>
        </w:rPr>
        <w:lastRenderedPageBreak/>
        <w:t>On January 28, 2016, in accordance with G.L. c. 59, § 59, the appellant</w:t>
      </w:r>
      <w:r w:rsidR="002F7C7F" w:rsidRPr="004D5D9C">
        <w:rPr>
          <w:rFonts w:ascii="Courier New" w:hAnsi="Courier New" w:cs="Courier New"/>
          <w:color w:val="000000" w:themeColor="text1"/>
        </w:rPr>
        <w:t>s</w:t>
      </w:r>
      <w:r w:rsidRPr="004D5D9C">
        <w:rPr>
          <w:rFonts w:ascii="Courier New" w:hAnsi="Courier New" w:cs="Courier New"/>
          <w:color w:val="000000" w:themeColor="text1"/>
        </w:rPr>
        <w:t xml:space="preserve"> timely filed an application for abatement with the assessors, which </w:t>
      </w:r>
      <w:r w:rsidR="00940882" w:rsidRPr="004D5D9C">
        <w:rPr>
          <w:rFonts w:ascii="Courier New" w:hAnsi="Courier New" w:cs="Courier New"/>
          <w:color w:val="000000" w:themeColor="text1"/>
        </w:rPr>
        <w:t>they</w:t>
      </w:r>
      <w:r w:rsidRPr="004D5D9C">
        <w:rPr>
          <w:rFonts w:ascii="Courier New" w:hAnsi="Courier New" w:cs="Courier New"/>
          <w:color w:val="000000" w:themeColor="text1"/>
        </w:rPr>
        <w:t xml:space="preserve"> denied on March 3, 2016. On May 2, 2016, </w:t>
      </w:r>
      <w:r w:rsidRPr="004D5D9C">
        <w:rPr>
          <w:rFonts w:ascii="Courier New" w:hAnsi="Courier New" w:cs="Courier New"/>
          <w:color w:val="000000" w:themeColor="text1"/>
          <w:shd w:val="clear" w:color="auto" w:fill="FFFFFF"/>
        </w:rPr>
        <w:t>in accordance with G.L. c. 59, §§ 64 and 65, the appellant</w:t>
      </w:r>
      <w:r w:rsidR="004D5D9C">
        <w:rPr>
          <w:rFonts w:ascii="Courier New" w:hAnsi="Courier New" w:cs="Courier New"/>
          <w:color w:val="000000" w:themeColor="text1"/>
          <w:shd w:val="clear" w:color="auto" w:fill="FFFFFF"/>
        </w:rPr>
        <w:t>s</w:t>
      </w:r>
      <w:r w:rsidRPr="004D5D9C">
        <w:rPr>
          <w:rFonts w:ascii="Courier New" w:hAnsi="Courier New" w:cs="Courier New"/>
          <w:color w:val="000000" w:themeColor="text1"/>
          <w:shd w:val="clear" w:color="auto" w:fill="FFFFFF"/>
        </w:rPr>
        <w:t xml:space="preserve"> seasonably filed an appeal with the Boar</w:t>
      </w:r>
      <w:r w:rsidR="00870223" w:rsidRPr="004D5D9C">
        <w:rPr>
          <w:rFonts w:ascii="Courier New" w:hAnsi="Courier New" w:cs="Courier New"/>
          <w:color w:val="000000" w:themeColor="text1"/>
          <w:shd w:val="clear" w:color="auto" w:fill="FFFFFF"/>
        </w:rPr>
        <w:t xml:space="preserve">d. </w:t>
      </w:r>
      <w:r w:rsidR="00C36D5B" w:rsidRPr="004D5D9C">
        <w:rPr>
          <w:rFonts w:ascii="Courier New" w:hAnsi="Courier New" w:cs="Courier New"/>
          <w:color w:val="000000" w:themeColor="text1"/>
          <w:shd w:val="clear" w:color="auto" w:fill="FFFFFF"/>
        </w:rPr>
        <w:t>On the basis of these facts, the Presiding Commissioner found and ruled that the Board had jurisdiction to hear and decide the instant appeal.</w:t>
      </w:r>
    </w:p>
    <w:p w:rsidR="00E8701F" w:rsidRDefault="00E8701F" w:rsidP="00E8701F">
      <w:pPr>
        <w:spacing w:line="480" w:lineRule="auto"/>
        <w:ind w:firstLine="720"/>
        <w:jc w:val="both"/>
        <w:rPr>
          <w:rFonts w:ascii="Verdana" w:hAnsi="Verdana"/>
          <w:color w:val="333333"/>
          <w:sz w:val="20"/>
          <w:szCs w:val="20"/>
          <w:shd w:val="clear" w:color="auto" w:fill="FFFFFF"/>
        </w:rPr>
      </w:pPr>
      <w:r>
        <w:rPr>
          <w:rFonts w:ascii="Courier New" w:hAnsi="Courier New" w:cs="Courier New"/>
          <w:color w:val="333333"/>
          <w:shd w:val="clear" w:color="auto" w:fill="FFFFFF"/>
        </w:rPr>
        <w:t xml:space="preserve">On October 24, 2017, </w:t>
      </w:r>
      <w:r w:rsidR="00C36D5B">
        <w:rPr>
          <w:rFonts w:ascii="Courier New" w:hAnsi="Courier New" w:cs="Courier New"/>
          <w:color w:val="333333"/>
          <w:shd w:val="clear" w:color="auto" w:fill="FFFFFF"/>
        </w:rPr>
        <w:t xml:space="preserve">after this appeal was filed but before the hearing, </w:t>
      </w:r>
      <w:r>
        <w:rPr>
          <w:rFonts w:ascii="Courier New" w:hAnsi="Courier New" w:cs="Courier New"/>
          <w:color w:val="333333"/>
          <w:shd w:val="clear" w:color="auto" w:fill="FFFFFF"/>
        </w:rPr>
        <w:t>the assessors granted a</w:t>
      </w:r>
      <w:r w:rsidR="00403745">
        <w:rPr>
          <w:rFonts w:ascii="Courier New" w:hAnsi="Courier New" w:cs="Courier New"/>
          <w:color w:val="333333"/>
          <w:shd w:val="clear" w:color="auto" w:fill="FFFFFF"/>
        </w:rPr>
        <w:t>n abatement of real estate tax</w:t>
      </w:r>
      <w:r>
        <w:rPr>
          <w:rFonts w:ascii="Courier New" w:hAnsi="Courier New" w:cs="Courier New"/>
          <w:color w:val="333333"/>
          <w:shd w:val="clear" w:color="auto" w:fill="FFFFFF"/>
        </w:rPr>
        <w:t xml:space="preserve"> </w:t>
      </w:r>
      <w:r w:rsidR="00C36D5B">
        <w:rPr>
          <w:rFonts w:ascii="Courier New" w:hAnsi="Courier New" w:cs="Courier New"/>
          <w:color w:val="333333"/>
          <w:shd w:val="clear" w:color="auto" w:fill="FFFFFF"/>
        </w:rPr>
        <w:t>in the amount of $404.3</w:t>
      </w:r>
      <w:r>
        <w:rPr>
          <w:rFonts w:ascii="Courier New" w:hAnsi="Courier New" w:cs="Courier New"/>
          <w:color w:val="333333"/>
          <w:shd w:val="clear" w:color="auto" w:fill="FFFFFF"/>
        </w:rPr>
        <w:t xml:space="preserve">8, and </w:t>
      </w:r>
      <w:r w:rsidR="004D5D9C">
        <w:rPr>
          <w:rFonts w:ascii="Courier New" w:hAnsi="Courier New" w:cs="Courier New"/>
          <w:color w:val="333333"/>
          <w:shd w:val="clear" w:color="auto" w:fill="FFFFFF"/>
        </w:rPr>
        <w:t xml:space="preserve">an </w:t>
      </w:r>
      <w:r>
        <w:rPr>
          <w:rFonts w:ascii="Courier New" w:hAnsi="Courier New" w:cs="Courier New"/>
          <w:color w:val="333333"/>
          <w:shd w:val="clear" w:color="auto" w:fill="FFFFFF"/>
        </w:rPr>
        <w:t>abatement of fire district tax in the amount of $20.18</w:t>
      </w:r>
      <w:r w:rsidR="00C36D5B">
        <w:rPr>
          <w:rFonts w:ascii="Courier New" w:hAnsi="Courier New" w:cs="Courier New"/>
          <w:color w:val="333333"/>
          <w:shd w:val="clear" w:color="auto" w:fill="FFFFFF"/>
        </w:rPr>
        <w:t xml:space="preserve">, representing an </w:t>
      </w:r>
      <w:r>
        <w:rPr>
          <w:rFonts w:ascii="Courier New" w:hAnsi="Courier New" w:cs="Courier New"/>
          <w:color w:val="333333"/>
          <w:shd w:val="clear" w:color="auto" w:fill="FFFFFF"/>
        </w:rPr>
        <w:t xml:space="preserve">assessed value </w:t>
      </w:r>
      <w:r w:rsidR="00940882">
        <w:rPr>
          <w:rFonts w:ascii="Courier New" w:hAnsi="Courier New" w:cs="Courier New"/>
          <w:color w:val="333333"/>
          <w:shd w:val="clear" w:color="auto" w:fill="FFFFFF"/>
        </w:rPr>
        <w:t xml:space="preserve">as abated </w:t>
      </w:r>
      <w:r>
        <w:rPr>
          <w:rFonts w:ascii="Courier New" w:hAnsi="Courier New" w:cs="Courier New"/>
          <w:color w:val="333333"/>
          <w:shd w:val="clear" w:color="auto" w:fill="FFFFFF"/>
        </w:rPr>
        <w:t>of</w:t>
      </w:r>
      <w:r w:rsidR="00C36D5B">
        <w:rPr>
          <w:rFonts w:ascii="Courier New" w:hAnsi="Courier New" w:cs="Courier New"/>
          <w:color w:val="333333"/>
          <w:shd w:val="clear" w:color="auto" w:fill="FFFFFF"/>
        </w:rPr>
        <w:t xml:space="preserve"> $20,</w:t>
      </w:r>
      <w:r w:rsidR="00447256">
        <w:rPr>
          <w:rFonts w:ascii="Courier New" w:hAnsi="Courier New" w:cs="Courier New"/>
          <w:color w:val="333333"/>
          <w:shd w:val="clear" w:color="auto" w:fill="FFFFFF"/>
        </w:rPr>
        <w:t>7</w:t>
      </w:r>
      <w:r>
        <w:rPr>
          <w:rFonts w:ascii="Courier New" w:hAnsi="Courier New" w:cs="Courier New"/>
          <w:color w:val="333333"/>
          <w:shd w:val="clear" w:color="auto" w:fill="FFFFFF"/>
        </w:rPr>
        <w:t xml:space="preserve">00.  </w:t>
      </w:r>
    </w:p>
    <w:p w:rsidR="00870223" w:rsidRDefault="00870223" w:rsidP="00870223">
      <w:pPr>
        <w:spacing w:line="480" w:lineRule="auto"/>
        <w:ind w:firstLine="720"/>
        <w:jc w:val="both"/>
        <w:rPr>
          <w:rFonts w:ascii="Courier New" w:hAnsi="Courier New" w:cs="Courier New"/>
        </w:rPr>
      </w:pPr>
      <w:r>
        <w:rPr>
          <w:rFonts w:ascii="Courier New" w:hAnsi="Courier New" w:cs="Courier New"/>
        </w:rPr>
        <w:t>The subj</w:t>
      </w:r>
      <w:r w:rsidR="00C137C8">
        <w:rPr>
          <w:rFonts w:ascii="Courier New" w:hAnsi="Courier New" w:cs="Courier New"/>
        </w:rPr>
        <w:t>ect property is a vacant, 8,000-square-foot</w:t>
      </w:r>
      <w:r w:rsidR="004D5D9C">
        <w:rPr>
          <w:rFonts w:ascii="Courier New" w:hAnsi="Courier New" w:cs="Courier New"/>
        </w:rPr>
        <w:t xml:space="preserve"> </w:t>
      </w:r>
      <w:r>
        <w:rPr>
          <w:rFonts w:ascii="Courier New" w:hAnsi="Courier New" w:cs="Courier New"/>
        </w:rPr>
        <w:t xml:space="preserve">parcel located on Pease Avenue.  The subject property did not conform to zoning requirements as of the relevant assessment date because of insufficient frontage and would require a special permit prior to development.  It was one of two remaining lots that have not been developed on Pease Avenue. </w:t>
      </w:r>
    </w:p>
    <w:p w:rsidR="00870223" w:rsidRDefault="00870223" w:rsidP="00870223">
      <w:pPr>
        <w:spacing w:line="480" w:lineRule="auto"/>
        <w:ind w:firstLine="720"/>
        <w:jc w:val="both"/>
        <w:rPr>
          <w:rFonts w:ascii="Courier New" w:hAnsi="Courier New" w:cs="Courier New"/>
        </w:rPr>
      </w:pPr>
      <w:r>
        <w:rPr>
          <w:rFonts w:ascii="Courier New" w:hAnsi="Courier New" w:cs="Courier New"/>
        </w:rPr>
        <w:t xml:space="preserve">The Pease Avenue neighborhood is dominated by homes that were constructed on slab foundations due to high water tables. Improved lots on Pease Avenue that have the same area and frontage as the subject property had an assessed land value of $41,300 for the fiscal year at issue, which is the original </w:t>
      </w:r>
      <w:r>
        <w:rPr>
          <w:rFonts w:ascii="Courier New" w:hAnsi="Courier New" w:cs="Courier New"/>
        </w:rPr>
        <w:lastRenderedPageBreak/>
        <w:t>assessed value of the subject property prior to the assessors’ abatement in value down to $20,700. Sale prices of these properties, which are improved with various styles of homes, ranged from $86,000 to $135,000.</w:t>
      </w:r>
    </w:p>
    <w:p w:rsidR="00B231F7" w:rsidRDefault="00870223" w:rsidP="00C36D5B">
      <w:pPr>
        <w:spacing w:line="480" w:lineRule="auto"/>
        <w:ind w:firstLine="720"/>
        <w:jc w:val="both"/>
        <w:rPr>
          <w:rFonts w:ascii="Courier New" w:hAnsi="Courier New" w:cs="Courier New"/>
        </w:rPr>
      </w:pPr>
      <w:r>
        <w:rPr>
          <w:rFonts w:ascii="Courier New" w:hAnsi="Courier New" w:cs="Courier New"/>
        </w:rPr>
        <w:t xml:space="preserve">The appellants’ principal argument is that </w:t>
      </w:r>
      <w:r w:rsidR="00B231F7">
        <w:rPr>
          <w:rFonts w:ascii="Courier New" w:hAnsi="Courier New" w:cs="Courier New"/>
        </w:rPr>
        <w:t xml:space="preserve">the best evidence of value in this appeal is the $15,500 sale price that </w:t>
      </w:r>
      <w:r>
        <w:rPr>
          <w:rFonts w:ascii="Courier New" w:hAnsi="Courier New" w:cs="Courier New"/>
        </w:rPr>
        <w:t xml:space="preserve">Mr. Hiser </w:t>
      </w:r>
      <w:r w:rsidR="00B231F7">
        <w:rPr>
          <w:rFonts w:ascii="Courier New" w:hAnsi="Courier New" w:cs="Courier New"/>
        </w:rPr>
        <w:t xml:space="preserve">paid for </w:t>
      </w:r>
      <w:r>
        <w:rPr>
          <w:rFonts w:ascii="Courier New" w:hAnsi="Courier New" w:cs="Courier New"/>
        </w:rPr>
        <w:t>the subject property in an arm’s-length transaction within a month of the January 1, 2015 valuation d</w:t>
      </w:r>
      <w:r w:rsidR="00403745">
        <w:rPr>
          <w:rFonts w:ascii="Courier New" w:hAnsi="Courier New" w:cs="Courier New"/>
        </w:rPr>
        <w:t>ate</w:t>
      </w:r>
      <w:r>
        <w:rPr>
          <w:rFonts w:ascii="Courier New" w:hAnsi="Courier New" w:cs="Courier New"/>
        </w:rPr>
        <w:t>, after the property had been on the market for 2</w:t>
      </w:r>
      <w:r w:rsidR="00B231F7">
        <w:rPr>
          <w:rFonts w:ascii="Courier New" w:hAnsi="Courier New" w:cs="Courier New"/>
        </w:rPr>
        <w:t>86</w:t>
      </w:r>
      <w:r>
        <w:rPr>
          <w:rFonts w:ascii="Courier New" w:hAnsi="Courier New" w:cs="Courier New"/>
        </w:rPr>
        <w:t xml:space="preserve"> days.  </w:t>
      </w:r>
      <w:r w:rsidR="004D5D9C">
        <w:rPr>
          <w:rFonts w:ascii="Courier New" w:hAnsi="Courier New" w:cs="Courier New"/>
        </w:rPr>
        <w:t xml:space="preserve">Mrs. </w:t>
      </w:r>
      <w:r w:rsidR="00E8701F">
        <w:rPr>
          <w:rFonts w:ascii="Courier New" w:hAnsi="Courier New" w:cs="Courier New"/>
        </w:rPr>
        <w:t>Hiser</w:t>
      </w:r>
      <w:r>
        <w:rPr>
          <w:rFonts w:ascii="Courier New" w:hAnsi="Courier New" w:cs="Courier New"/>
        </w:rPr>
        <w:t>,</w:t>
      </w:r>
      <w:r w:rsidRPr="00870223">
        <w:rPr>
          <w:rFonts w:ascii="Courier New" w:hAnsi="Courier New" w:cs="Courier New"/>
        </w:rPr>
        <w:t xml:space="preserve"> </w:t>
      </w:r>
      <w:r>
        <w:rPr>
          <w:rFonts w:ascii="Courier New" w:hAnsi="Courier New" w:cs="Courier New"/>
        </w:rPr>
        <w:t xml:space="preserve">a licensed real estate broker who </w:t>
      </w:r>
      <w:r w:rsidR="00403745">
        <w:rPr>
          <w:rFonts w:ascii="Courier New" w:hAnsi="Courier New" w:cs="Courier New"/>
        </w:rPr>
        <w:t>is</w:t>
      </w:r>
      <w:r>
        <w:rPr>
          <w:rFonts w:ascii="Courier New" w:hAnsi="Courier New" w:cs="Courier New"/>
        </w:rPr>
        <w:t xml:space="preserve"> familiar with the Dalton area and real estate market because of her work,</w:t>
      </w:r>
      <w:r w:rsidR="00523B53">
        <w:rPr>
          <w:rFonts w:ascii="Courier New" w:hAnsi="Courier New" w:cs="Courier New"/>
        </w:rPr>
        <w:t xml:space="preserve"> appeared and testified at the hearing on behalf of her husband</w:t>
      </w:r>
      <w:r>
        <w:rPr>
          <w:rFonts w:ascii="Courier New" w:hAnsi="Courier New" w:cs="Courier New"/>
        </w:rPr>
        <w:t>.</w:t>
      </w:r>
      <w:r w:rsidR="00B231F7">
        <w:rPr>
          <w:rStyle w:val="FootnoteReference"/>
          <w:rFonts w:ascii="Courier New" w:hAnsi="Courier New"/>
        </w:rPr>
        <w:footnoteReference w:id="3"/>
      </w:r>
      <w:r w:rsidR="00523B53">
        <w:rPr>
          <w:rFonts w:ascii="Courier New" w:hAnsi="Courier New" w:cs="Courier New"/>
        </w:rPr>
        <w:t xml:space="preserve">  </w:t>
      </w:r>
    </w:p>
    <w:p w:rsidR="000C0FB5" w:rsidRDefault="00E8701F" w:rsidP="00B231F7">
      <w:pPr>
        <w:spacing w:line="480" w:lineRule="auto"/>
        <w:ind w:firstLine="720"/>
        <w:jc w:val="both"/>
        <w:rPr>
          <w:rFonts w:ascii="Courier New" w:hAnsi="Courier New" w:cs="Courier New"/>
        </w:rPr>
      </w:pPr>
      <w:r>
        <w:rPr>
          <w:rFonts w:ascii="Courier New" w:hAnsi="Courier New" w:cs="Courier New"/>
        </w:rPr>
        <w:t>In support of her contention</w:t>
      </w:r>
      <w:r w:rsidR="00814BA3">
        <w:rPr>
          <w:rFonts w:ascii="Courier New" w:hAnsi="Courier New" w:cs="Courier New"/>
        </w:rPr>
        <w:t xml:space="preserve"> that the fair cash value of the </w:t>
      </w:r>
      <w:r w:rsidR="004D5D9C">
        <w:rPr>
          <w:rFonts w:ascii="Courier New" w:hAnsi="Courier New" w:cs="Courier New"/>
        </w:rPr>
        <w:t xml:space="preserve">subject </w:t>
      </w:r>
      <w:r w:rsidR="00814BA3">
        <w:rPr>
          <w:rFonts w:ascii="Courier New" w:hAnsi="Courier New" w:cs="Courier New"/>
        </w:rPr>
        <w:t xml:space="preserve">property was </w:t>
      </w:r>
      <w:r w:rsidR="00870223">
        <w:rPr>
          <w:rFonts w:ascii="Courier New" w:hAnsi="Courier New" w:cs="Courier New"/>
        </w:rPr>
        <w:t xml:space="preserve">the purchase price of </w:t>
      </w:r>
      <w:r w:rsidR="00814BA3">
        <w:rPr>
          <w:rFonts w:ascii="Courier New" w:hAnsi="Courier New" w:cs="Courier New"/>
        </w:rPr>
        <w:t>$15,500, M</w:t>
      </w:r>
      <w:r w:rsidR="004D5D9C">
        <w:rPr>
          <w:rFonts w:ascii="Courier New" w:hAnsi="Courier New" w:cs="Courier New"/>
        </w:rPr>
        <w:t>r</w:t>
      </w:r>
      <w:r w:rsidR="00814BA3">
        <w:rPr>
          <w:rFonts w:ascii="Courier New" w:hAnsi="Courier New" w:cs="Courier New"/>
        </w:rPr>
        <w:t>s.</w:t>
      </w:r>
      <w:r w:rsidR="0048494A">
        <w:rPr>
          <w:rFonts w:ascii="Courier New" w:hAnsi="Courier New" w:cs="Courier New"/>
        </w:rPr>
        <w:t> </w:t>
      </w:r>
      <w:r w:rsidR="00814BA3">
        <w:rPr>
          <w:rFonts w:ascii="Courier New" w:hAnsi="Courier New" w:cs="Courier New"/>
        </w:rPr>
        <w:t xml:space="preserve">Hiser </w:t>
      </w:r>
      <w:r w:rsidR="00C36D5B">
        <w:rPr>
          <w:rFonts w:ascii="Courier New" w:hAnsi="Courier New" w:cs="Courier New"/>
        </w:rPr>
        <w:t xml:space="preserve">offered </w:t>
      </w:r>
      <w:r w:rsidR="00814BA3">
        <w:rPr>
          <w:rFonts w:ascii="Courier New" w:hAnsi="Courier New" w:cs="Courier New"/>
        </w:rPr>
        <w:t xml:space="preserve">her testimony </w:t>
      </w:r>
      <w:r w:rsidR="00C36D5B">
        <w:rPr>
          <w:rFonts w:ascii="Courier New" w:hAnsi="Courier New" w:cs="Courier New"/>
        </w:rPr>
        <w:t xml:space="preserve">and </w:t>
      </w:r>
      <w:r>
        <w:rPr>
          <w:rFonts w:ascii="Courier New" w:hAnsi="Courier New" w:cs="Courier New"/>
        </w:rPr>
        <w:t xml:space="preserve">submitted a binder </w:t>
      </w:r>
      <w:r w:rsidR="00C36D5B">
        <w:rPr>
          <w:rFonts w:ascii="Courier New" w:hAnsi="Courier New" w:cs="Courier New"/>
        </w:rPr>
        <w:t xml:space="preserve">that </w:t>
      </w:r>
      <w:r>
        <w:rPr>
          <w:rFonts w:ascii="Courier New" w:hAnsi="Courier New" w:cs="Courier New"/>
        </w:rPr>
        <w:t xml:space="preserve">included </w:t>
      </w:r>
      <w:r w:rsidR="00814BA3">
        <w:rPr>
          <w:rFonts w:ascii="Courier New" w:hAnsi="Courier New" w:cs="Courier New"/>
        </w:rPr>
        <w:t xml:space="preserve">various </w:t>
      </w:r>
      <w:r>
        <w:rPr>
          <w:rFonts w:ascii="Courier New" w:hAnsi="Courier New" w:cs="Courier New"/>
        </w:rPr>
        <w:t>documents</w:t>
      </w:r>
      <w:r w:rsidR="00814BA3">
        <w:rPr>
          <w:rFonts w:ascii="Courier New" w:hAnsi="Courier New" w:cs="Courier New"/>
        </w:rPr>
        <w:t xml:space="preserve">, including a purchase and sale agreement, </w:t>
      </w:r>
      <w:r w:rsidR="00D950E3">
        <w:rPr>
          <w:rFonts w:ascii="Courier New" w:hAnsi="Courier New" w:cs="Courier New"/>
        </w:rPr>
        <w:t>assignment, and deeds concerning the subject property</w:t>
      </w:r>
      <w:r w:rsidR="00D27F7C">
        <w:rPr>
          <w:rFonts w:ascii="Courier New" w:hAnsi="Courier New" w:cs="Courier New"/>
        </w:rPr>
        <w:t xml:space="preserve">, as well as sales and assessment data for other </w:t>
      </w:r>
      <w:r w:rsidR="00E4101A">
        <w:rPr>
          <w:rFonts w:ascii="Courier New" w:hAnsi="Courier New" w:cs="Courier New"/>
        </w:rPr>
        <w:t xml:space="preserve">Dalton </w:t>
      </w:r>
      <w:r w:rsidR="00D27F7C">
        <w:rPr>
          <w:rFonts w:ascii="Courier New" w:hAnsi="Courier New" w:cs="Courier New"/>
        </w:rPr>
        <w:t>properties</w:t>
      </w:r>
      <w:r w:rsidR="00D950E3">
        <w:rPr>
          <w:rFonts w:ascii="Courier New" w:hAnsi="Courier New" w:cs="Courier New"/>
        </w:rPr>
        <w:t>.</w:t>
      </w:r>
      <w:r>
        <w:rPr>
          <w:rFonts w:ascii="Courier New" w:hAnsi="Courier New" w:cs="Courier New"/>
        </w:rPr>
        <w:t xml:space="preserve"> </w:t>
      </w:r>
      <w:r w:rsidR="00B231F7">
        <w:rPr>
          <w:rFonts w:ascii="Courier New" w:hAnsi="Courier New" w:cs="Courier New"/>
        </w:rPr>
        <w:t xml:space="preserve"> Her testimony and the documents that she offered established the following concerning Mr. Hiser’s purchase of the subject property.</w:t>
      </w:r>
    </w:p>
    <w:p w:rsidR="007651C4" w:rsidRDefault="00D950E3" w:rsidP="00E8701F">
      <w:pPr>
        <w:spacing w:line="480" w:lineRule="auto"/>
        <w:ind w:firstLine="720"/>
        <w:jc w:val="both"/>
        <w:rPr>
          <w:rFonts w:ascii="Courier New" w:hAnsi="Courier New" w:cs="Courier New"/>
        </w:rPr>
      </w:pPr>
      <w:r>
        <w:rPr>
          <w:rFonts w:ascii="Courier New" w:hAnsi="Courier New" w:cs="Courier New"/>
        </w:rPr>
        <w:lastRenderedPageBreak/>
        <w:t xml:space="preserve">On October 13, 2014, Mr. Hiser signed a purchase and sale agreement for the subject property at </w:t>
      </w:r>
      <w:r w:rsidR="00E4101A">
        <w:rPr>
          <w:rFonts w:ascii="Courier New" w:hAnsi="Courier New" w:cs="Courier New"/>
        </w:rPr>
        <w:t xml:space="preserve">a </w:t>
      </w:r>
      <w:r>
        <w:rPr>
          <w:rFonts w:ascii="Courier New" w:hAnsi="Courier New" w:cs="Courier New"/>
        </w:rPr>
        <w:t>purchase price of $15,500; the agreement was countersigned by the seller, Marie Musante, on October 14, 2014</w:t>
      </w:r>
      <w:r w:rsidR="007651C4">
        <w:rPr>
          <w:rFonts w:ascii="Courier New" w:hAnsi="Courier New" w:cs="Courier New"/>
        </w:rPr>
        <w:t xml:space="preserve">.  </w:t>
      </w:r>
    </w:p>
    <w:p w:rsidR="000C0FB5" w:rsidRDefault="000C0FB5" w:rsidP="000C0FB5">
      <w:pPr>
        <w:spacing w:line="480" w:lineRule="auto"/>
        <w:ind w:firstLine="720"/>
        <w:jc w:val="both"/>
        <w:rPr>
          <w:rFonts w:ascii="Courier New" w:hAnsi="Courier New" w:cs="Courier New"/>
        </w:rPr>
      </w:pPr>
      <w:r>
        <w:rPr>
          <w:rFonts w:ascii="Courier New" w:hAnsi="Courier New" w:cs="Courier New"/>
        </w:rPr>
        <w:t>Subsequently, on January 15, 201</w:t>
      </w:r>
      <w:r w:rsidR="00447256">
        <w:rPr>
          <w:rFonts w:ascii="Courier New" w:hAnsi="Courier New" w:cs="Courier New"/>
        </w:rPr>
        <w:t>5, Mr. Hiser assigned his right</w:t>
      </w:r>
      <w:r>
        <w:rPr>
          <w:rFonts w:ascii="Courier New" w:hAnsi="Courier New" w:cs="Courier New"/>
        </w:rPr>
        <w:t>, title</w:t>
      </w:r>
      <w:r w:rsidR="00E4101A">
        <w:rPr>
          <w:rFonts w:ascii="Courier New" w:hAnsi="Courier New" w:cs="Courier New"/>
        </w:rPr>
        <w:t>,</w:t>
      </w:r>
      <w:r w:rsidR="00447256">
        <w:rPr>
          <w:rFonts w:ascii="Courier New" w:hAnsi="Courier New" w:cs="Courier New"/>
        </w:rPr>
        <w:t xml:space="preserve"> and interest</w:t>
      </w:r>
      <w:r>
        <w:rPr>
          <w:rFonts w:ascii="Courier New" w:hAnsi="Courier New" w:cs="Courier New"/>
        </w:rPr>
        <w:t xml:space="preserve"> in the purchase and sale agreement to Robert H. Moore, Sr. By a deed dated January 13, 2015</w:t>
      </w:r>
      <w:r>
        <w:rPr>
          <w:rStyle w:val="FootnoteReference"/>
          <w:rFonts w:ascii="Courier New" w:hAnsi="Courier New"/>
        </w:rPr>
        <w:footnoteReference w:id="4"/>
      </w:r>
      <w:r>
        <w:rPr>
          <w:rFonts w:ascii="Courier New" w:hAnsi="Courier New" w:cs="Courier New"/>
        </w:rPr>
        <w:t xml:space="preserve"> and recorded</w:t>
      </w:r>
      <w:r w:rsidR="00447256">
        <w:rPr>
          <w:rFonts w:ascii="Courier New" w:hAnsi="Courier New" w:cs="Courier New"/>
        </w:rPr>
        <w:t xml:space="preserve"> on</w:t>
      </w:r>
      <w:r>
        <w:rPr>
          <w:rFonts w:ascii="Courier New" w:hAnsi="Courier New" w:cs="Courier New"/>
        </w:rPr>
        <w:t xml:space="preserve"> January 16, 2015, Ms. Musante transferred the subject property to Mr. Moore for the stated consideration of $15,500, as agreed to in the purchase and sale agreement. By deed dated January 20, 2015 and recorded on June 3, 2015, Mr.</w:t>
      </w:r>
      <w:r w:rsidR="0048494A">
        <w:rPr>
          <w:rFonts w:ascii="Courier New" w:hAnsi="Courier New" w:cs="Courier New"/>
        </w:rPr>
        <w:t> </w:t>
      </w:r>
      <w:r>
        <w:rPr>
          <w:rFonts w:ascii="Courier New" w:hAnsi="Courier New" w:cs="Courier New"/>
        </w:rPr>
        <w:t>Moore transferred the subject p</w:t>
      </w:r>
      <w:r w:rsidR="00E90F3C">
        <w:rPr>
          <w:rFonts w:ascii="Courier New" w:hAnsi="Courier New" w:cs="Courier New"/>
        </w:rPr>
        <w:t>roperty</w:t>
      </w:r>
      <w:r>
        <w:rPr>
          <w:rFonts w:ascii="Courier New" w:hAnsi="Courier New" w:cs="Courier New"/>
        </w:rPr>
        <w:t xml:space="preserve"> to Mr. Hiser “for no consideration paid as this constitutes a transfer and not sale</w:t>
      </w:r>
      <w:r w:rsidR="00E90F3C">
        <w:rPr>
          <w:rFonts w:ascii="Courier New" w:hAnsi="Courier New" w:cs="Courier New"/>
        </w:rPr>
        <w:t>.</w:t>
      </w:r>
      <w:r>
        <w:rPr>
          <w:rFonts w:ascii="Courier New" w:hAnsi="Courier New" w:cs="Courier New"/>
        </w:rPr>
        <w:t>”</w:t>
      </w:r>
      <w:r w:rsidR="00EB6F11">
        <w:rPr>
          <w:rFonts w:ascii="Courier New" w:hAnsi="Courier New" w:cs="Courier New"/>
        </w:rPr>
        <w:t xml:space="preserve">  The effect of the </w:t>
      </w:r>
      <w:r w:rsidR="00447256">
        <w:rPr>
          <w:rFonts w:ascii="Courier New" w:hAnsi="Courier New" w:cs="Courier New"/>
        </w:rPr>
        <w:t xml:space="preserve">purchase and sale </w:t>
      </w:r>
      <w:r w:rsidR="00EB6F11">
        <w:rPr>
          <w:rFonts w:ascii="Courier New" w:hAnsi="Courier New" w:cs="Courier New"/>
        </w:rPr>
        <w:t>agreement, assignment, and deeds was that Mr. Hiser purchased the subject property within a month of the relevant valuation date for $15,500.</w:t>
      </w:r>
    </w:p>
    <w:p w:rsidR="000C0FB5" w:rsidRDefault="00EB6F11" w:rsidP="00E8701F">
      <w:pPr>
        <w:spacing w:line="480" w:lineRule="auto"/>
        <w:ind w:firstLine="720"/>
        <w:jc w:val="both"/>
        <w:rPr>
          <w:rFonts w:ascii="Courier New" w:hAnsi="Courier New" w:cs="Courier New"/>
        </w:rPr>
      </w:pPr>
      <w:r>
        <w:rPr>
          <w:rFonts w:ascii="Courier New" w:hAnsi="Courier New" w:cs="Courier New"/>
        </w:rPr>
        <w:t>M</w:t>
      </w:r>
      <w:r w:rsidR="00E90F3C">
        <w:rPr>
          <w:rFonts w:ascii="Courier New" w:hAnsi="Courier New" w:cs="Courier New"/>
        </w:rPr>
        <w:t>r</w:t>
      </w:r>
      <w:r>
        <w:rPr>
          <w:rFonts w:ascii="Courier New" w:hAnsi="Courier New" w:cs="Courier New"/>
        </w:rPr>
        <w:t>s. Hiser further testified that the sale was an arm</w:t>
      </w:r>
      <w:r w:rsidR="00B231F7">
        <w:rPr>
          <w:rFonts w:ascii="Courier New" w:hAnsi="Courier New" w:cs="Courier New"/>
        </w:rPr>
        <w:t>’s</w:t>
      </w:r>
      <w:r>
        <w:rPr>
          <w:rFonts w:ascii="Courier New" w:hAnsi="Courier New" w:cs="Courier New"/>
        </w:rPr>
        <w:t>-length sale.  The subject property had been on the market for 2</w:t>
      </w:r>
      <w:r w:rsidR="00E90F3C">
        <w:rPr>
          <w:rFonts w:ascii="Courier New" w:hAnsi="Courier New" w:cs="Courier New"/>
        </w:rPr>
        <w:t>8</w:t>
      </w:r>
      <w:r>
        <w:rPr>
          <w:rFonts w:ascii="Courier New" w:hAnsi="Courier New" w:cs="Courier New"/>
        </w:rPr>
        <w:t>6 days at a listing price of $25,000 before Ms. Musante accepted Mr. Hiser’s offer of $15,500.  Further, the assessors’ property record card for the subject property listed the sale as a “Q” sale, meaning a qualified or arm</w:t>
      </w:r>
      <w:r w:rsidR="00E90F3C">
        <w:rPr>
          <w:rFonts w:ascii="Courier New" w:hAnsi="Courier New" w:cs="Courier New"/>
        </w:rPr>
        <w:t>’</w:t>
      </w:r>
      <w:r>
        <w:rPr>
          <w:rFonts w:ascii="Courier New" w:hAnsi="Courier New" w:cs="Courier New"/>
        </w:rPr>
        <w:t>s-length sale.</w:t>
      </w:r>
      <w:r w:rsidR="00F627D1">
        <w:rPr>
          <w:rFonts w:ascii="Courier New" w:hAnsi="Courier New" w:cs="Courier New"/>
        </w:rPr>
        <w:t xml:space="preserve">  There was </w:t>
      </w:r>
      <w:r w:rsidR="00F627D1">
        <w:rPr>
          <w:rFonts w:ascii="Courier New" w:hAnsi="Courier New" w:cs="Courier New"/>
        </w:rPr>
        <w:lastRenderedPageBreak/>
        <w:t>nothing in the record to suggest that Mr. Moore’s purchase and resale of the subject property to Mr. Hiser made the sale price of $15,500 an unreliable indicator of fair cash value.</w:t>
      </w:r>
    </w:p>
    <w:p w:rsidR="00E8701F" w:rsidRDefault="0069696D" w:rsidP="00AA56E9">
      <w:pPr>
        <w:spacing w:line="480" w:lineRule="auto"/>
        <w:ind w:firstLine="720"/>
        <w:jc w:val="both"/>
        <w:rPr>
          <w:rFonts w:ascii="Courier New" w:hAnsi="Courier New" w:cs="Courier New"/>
        </w:rPr>
      </w:pPr>
      <w:r>
        <w:rPr>
          <w:rFonts w:ascii="Courier New" w:hAnsi="Courier New" w:cs="Courier New"/>
        </w:rPr>
        <w:t>Accordingly, a</w:t>
      </w:r>
      <w:r w:rsidR="00E8701F">
        <w:rPr>
          <w:rFonts w:ascii="Courier New" w:hAnsi="Courier New" w:cs="Courier New"/>
        </w:rPr>
        <w:t xml:space="preserve">fter considering all of the evidence, the Presiding Commissioner ultimately found </w:t>
      </w:r>
      <w:r w:rsidR="00AA56E9">
        <w:rPr>
          <w:rFonts w:ascii="Courier New" w:hAnsi="Courier New" w:cs="Courier New"/>
        </w:rPr>
        <w:t xml:space="preserve">and ruled </w:t>
      </w:r>
      <w:r w:rsidR="00E8701F">
        <w:rPr>
          <w:rFonts w:ascii="Courier New" w:hAnsi="Courier New" w:cs="Courier New"/>
        </w:rPr>
        <w:t xml:space="preserve">that the appellants sustained their burden of proof. </w:t>
      </w:r>
      <w:r w:rsidR="006F288C">
        <w:rPr>
          <w:rFonts w:ascii="Courier New" w:hAnsi="Courier New" w:cs="Courier New"/>
        </w:rPr>
        <w:t xml:space="preserve"> The Presiding Commissioner found that the purchase price of the subject property, paid within a month of the relevant valuation date and after it had been exposed to the market for 286 days, was the best evidence of value in this appeal.  Accordingly, the Presiding Commissioner found that the fair cash value of the subject property for the fiscal year at issue was </w:t>
      </w:r>
      <w:r w:rsidR="00E8701F">
        <w:rPr>
          <w:rFonts w:ascii="Courier New" w:hAnsi="Courier New" w:cs="Courier New"/>
        </w:rPr>
        <w:t>$15,500</w:t>
      </w:r>
      <w:r w:rsidR="006F288C">
        <w:rPr>
          <w:rFonts w:ascii="Courier New" w:hAnsi="Courier New" w:cs="Courier New"/>
        </w:rPr>
        <w:t xml:space="preserve"> and ordered an abatement in the amount of $107.18.</w:t>
      </w:r>
    </w:p>
    <w:p w:rsidR="00D4575A" w:rsidRDefault="00D4575A" w:rsidP="00AA56E9">
      <w:pPr>
        <w:spacing w:line="480" w:lineRule="auto"/>
        <w:ind w:firstLine="720"/>
        <w:jc w:val="both"/>
        <w:rPr>
          <w:rFonts w:ascii="Courier New" w:hAnsi="Courier New" w:cs="Courier New"/>
        </w:rPr>
      </w:pPr>
    </w:p>
    <w:p w:rsidR="00E8701F" w:rsidRPr="0055715D" w:rsidRDefault="00E8701F" w:rsidP="006F288C">
      <w:pPr>
        <w:spacing w:line="480" w:lineRule="auto"/>
        <w:jc w:val="center"/>
        <w:rPr>
          <w:rFonts w:ascii="Courier New" w:eastAsiaTheme="minorHAnsi" w:hAnsi="Courier New" w:cs="Courier New"/>
          <w:b/>
        </w:rPr>
      </w:pPr>
      <w:r w:rsidRPr="0055715D">
        <w:rPr>
          <w:rFonts w:ascii="Courier New" w:eastAsiaTheme="minorHAnsi" w:hAnsi="Courier New" w:cs="Courier New"/>
          <w:b/>
        </w:rPr>
        <w:t>OPINION</w:t>
      </w:r>
    </w:p>
    <w:p w:rsidR="00E8701F" w:rsidRPr="0055715D" w:rsidRDefault="00E8701F" w:rsidP="00E8701F">
      <w:pPr>
        <w:spacing w:line="480" w:lineRule="auto"/>
        <w:ind w:firstLine="720"/>
        <w:jc w:val="both"/>
        <w:rPr>
          <w:rFonts w:ascii="Courier New" w:hAnsi="Courier New" w:cs="Courier New"/>
        </w:rPr>
      </w:pPr>
      <w:r w:rsidRPr="0055715D">
        <w:rPr>
          <w:rFonts w:ascii="Courier New" w:hAnsi="Courier New" w:cs="Courier New"/>
        </w:rPr>
        <w:t xml:space="preserve">Assessors are required to assess real estate at its “fair cash value.”  G.L. c. 59, § 38.  Fair cash value is defined as the price on which a willing seller and a willing buyer will agree if both of them are fully informed and under no compulsion.  </w:t>
      </w:r>
      <w:r w:rsidRPr="0055715D">
        <w:rPr>
          <w:rFonts w:ascii="Courier New" w:hAnsi="Courier New" w:cs="Courier New"/>
          <w:b/>
          <w:bCs/>
          <w:i/>
          <w:iCs/>
        </w:rPr>
        <w:t xml:space="preserve">Boston Gas Co. v. Assessors of Boston, </w:t>
      </w:r>
      <w:r w:rsidRPr="0055715D">
        <w:rPr>
          <w:rFonts w:ascii="Courier New" w:hAnsi="Courier New" w:cs="Courier New"/>
        </w:rPr>
        <w:t xml:space="preserve">334 Mass. 549, 566 (1956).  </w:t>
      </w:r>
    </w:p>
    <w:p w:rsidR="00E8701F" w:rsidRPr="0055715D" w:rsidRDefault="00E8701F" w:rsidP="00E8701F">
      <w:pPr>
        <w:spacing w:line="480" w:lineRule="auto"/>
        <w:ind w:firstLine="720"/>
        <w:jc w:val="both"/>
        <w:rPr>
          <w:rFonts w:ascii="Courier New" w:hAnsi="Courier New" w:cs="Courier New"/>
        </w:rPr>
      </w:pPr>
      <w:r w:rsidRPr="0055715D">
        <w:rPr>
          <w:rFonts w:ascii="Courier New" w:hAnsi="Courier New" w:cs="Courier New"/>
        </w:rPr>
        <w:t xml:space="preserve">Generally, the burden of proof is upon the taxpayer to prove that the subject property has a lower value than that assessed.  </w:t>
      </w:r>
      <w:r w:rsidRPr="0055715D">
        <w:rPr>
          <w:rFonts w:ascii="Courier New" w:hAnsi="Courier New" w:cs="Courier New"/>
          <w:b/>
          <w:i/>
        </w:rPr>
        <w:t>Schlaiker v. Assessors of Great Barrington,</w:t>
      </w:r>
      <w:r w:rsidRPr="0055715D">
        <w:rPr>
          <w:rFonts w:ascii="Courier New" w:hAnsi="Courier New" w:cs="Courier New"/>
          <w:b/>
        </w:rPr>
        <w:t xml:space="preserve"> </w:t>
      </w:r>
      <w:r w:rsidRPr="0055715D">
        <w:rPr>
          <w:rFonts w:ascii="Courier New" w:hAnsi="Courier New" w:cs="Courier New"/>
        </w:rPr>
        <w:t xml:space="preserve">365 Mass. </w:t>
      </w:r>
      <w:r w:rsidRPr="0055715D">
        <w:rPr>
          <w:rFonts w:ascii="Courier New" w:hAnsi="Courier New" w:cs="Courier New"/>
        </w:rPr>
        <w:lastRenderedPageBreak/>
        <w:t xml:space="preserve">243, 245 (1974) (citing </w:t>
      </w:r>
      <w:r w:rsidRPr="0055715D">
        <w:rPr>
          <w:rFonts w:ascii="Courier New" w:hAnsi="Courier New" w:cs="Courier New"/>
          <w:b/>
          <w:i/>
        </w:rPr>
        <w:t>Judson Freight Forwarding Co. v. Commonwealth</w:t>
      </w:r>
      <w:r w:rsidRPr="0055715D">
        <w:rPr>
          <w:rFonts w:ascii="Courier New" w:hAnsi="Courier New" w:cs="Courier New"/>
        </w:rPr>
        <w:t xml:space="preserve">, 242 Mass. 47, 55 (1922)).  The assessment is presumed valid until the taxpayer sustains its burden of proving otherwise.  </w:t>
      </w:r>
      <w:r w:rsidRPr="0055715D">
        <w:rPr>
          <w:rFonts w:ascii="Courier New" w:hAnsi="Courier New" w:cs="Courier New"/>
          <w:b/>
          <w:i/>
        </w:rPr>
        <w:t>General Electric Co. v. Assessors of Lynn</w:t>
      </w:r>
      <w:r w:rsidRPr="0055715D">
        <w:rPr>
          <w:rFonts w:ascii="Courier New" w:hAnsi="Courier New" w:cs="Courier New"/>
        </w:rPr>
        <w:t>, 393 Mass. 591, 598 (1984) (quoting</w:t>
      </w:r>
      <w:r w:rsidRPr="0055715D">
        <w:rPr>
          <w:rFonts w:ascii="Courier New" w:hAnsi="Courier New" w:cs="Courier New"/>
          <w:i/>
        </w:rPr>
        <w:t xml:space="preserve"> </w:t>
      </w:r>
      <w:r w:rsidRPr="0055715D">
        <w:rPr>
          <w:rFonts w:ascii="Courier New" w:hAnsi="Courier New" w:cs="Courier New"/>
          <w:b/>
          <w:i/>
        </w:rPr>
        <w:t>Schlaiker</w:t>
      </w:r>
      <w:r w:rsidRPr="0055715D">
        <w:rPr>
          <w:rFonts w:ascii="Courier New" w:hAnsi="Courier New" w:cs="Courier New"/>
        </w:rPr>
        <w:t xml:space="preserve">, 365 Mass. at 245).  </w:t>
      </w:r>
    </w:p>
    <w:p w:rsidR="00E8701F" w:rsidRPr="00A75742" w:rsidRDefault="00E8701F" w:rsidP="00E8701F">
      <w:pPr>
        <w:spacing w:line="480" w:lineRule="auto"/>
        <w:ind w:firstLine="720"/>
        <w:jc w:val="both"/>
        <w:rPr>
          <w:rFonts w:ascii="Courier New" w:hAnsi="Courier New"/>
          <w:szCs w:val="20"/>
        </w:rPr>
      </w:pPr>
      <w:r>
        <w:rPr>
          <w:rFonts w:ascii="Courier New" w:hAnsi="Courier New" w:cs="Courier New"/>
        </w:rPr>
        <w:t xml:space="preserve">Actual sales of the </w:t>
      </w:r>
      <w:r w:rsidR="0069696D">
        <w:rPr>
          <w:rFonts w:ascii="Courier New" w:hAnsi="Courier New" w:cs="Courier New"/>
        </w:rPr>
        <w:t>property at issue</w:t>
      </w:r>
      <w:r>
        <w:rPr>
          <w:rFonts w:ascii="Courier New" w:hAnsi="Courier New" w:cs="Courier New"/>
        </w:rPr>
        <w:t xml:space="preserve"> “are very strong evidence of fair market value, for they represent what a buyer has been willing to pay to a seller for [the] particular property [under appeal].”  </w:t>
      </w:r>
      <w:r w:rsidRPr="007A6042">
        <w:rPr>
          <w:rFonts w:ascii="Courier New" w:hAnsi="Courier New" w:cs="Courier New"/>
          <w:b/>
          <w:i/>
        </w:rPr>
        <w:t>New Boston Garden Corp. v. Assessors of Boston</w:t>
      </w:r>
      <w:r>
        <w:rPr>
          <w:rFonts w:ascii="Courier New" w:hAnsi="Courier New" w:cs="Courier New"/>
        </w:rPr>
        <w:t xml:space="preserve">, 383 Mass. 456, 469 (1981) (quoting </w:t>
      </w:r>
      <w:r w:rsidRPr="007A6042">
        <w:rPr>
          <w:rFonts w:ascii="Courier New" w:hAnsi="Courier New" w:cs="Courier New"/>
          <w:b/>
          <w:i/>
        </w:rPr>
        <w:t xml:space="preserve">First Nat’l Stores, </w:t>
      </w:r>
      <w:r w:rsidRPr="003602BA">
        <w:rPr>
          <w:rFonts w:ascii="Courier New" w:hAnsi="Courier New" w:cs="Courier New"/>
          <w:b/>
          <w:bCs/>
          <w:i/>
          <w:iCs/>
        </w:rPr>
        <w:t xml:space="preserve">Inc. v. Assessors of Somerville, </w:t>
      </w:r>
      <w:r w:rsidRPr="003602BA">
        <w:rPr>
          <w:rFonts w:ascii="Courier New" w:hAnsi="Courier New" w:cs="Courier New"/>
        </w:rPr>
        <w:t>358 Mass. 554, 560 (1971)).</w:t>
      </w:r>
      <w:r>
        <w:rPr>
          <w:rFonts w:ascii="Courier New" w:hAnsi="Courier New" w:cs="Courier New"/>
        </w:rPr>
        <w:t xml:space="preserve"> </w:t>
      </w:r>
      <w:r w:rsidR="0069696D">
        <w:rPr>
          <w:rFonts w:ascii="Courier New" w:hAnsi="Courier New" w:cs="Courier New"/>
        </w:rPr>
        <w:t xml:space="preserve"> Here, t</w:t>
      </w:r>
      <w:r w:rsidR="009A6412">
        <w:rPr>
          <w:rFonts w:ascii="Courier New" w:hAnsi="Courier New" w:cs="Courier New"/>
        </w:rPr>
        <w:t xml:space="preserve">he subject property was exposed to the market for a significant period of time and there was no indication </w:t>
      </w:r>
      <w:r w:rsidR="00D811B2">
        <w:rPr>
          <w:rFonts w:ascii="Courier New" w:hAnsi="Courier New" w:cs="Courier New"/>
        </w:rPr>
        <w:t>that the sale was other than an</w:t>
      </w:r>
      <w:r w:rsidR="009A6412">
        <w:rPr>
          <w:rFonts w:ascii="Courier New" w:hAnsi="Courier New" w:cs="Courier New"/>
        </w:rPr>
        <w:t xml:space="preserve"> arm</w:t>
      </w:r>
      <w:r w:rsidR="0069696D">
        <w:rPr>
          <w:rFonts w:ascii="Courier New" w:hAnsi="Courier New" w:cs="Courier New"/>
        </w:rPr>
        <w:t>’s</w:t>
      </w:r>
      <w:r w:rsidR="009A6412">
        <w:rPr>
          <w:rFonts w:ascii="Courier New" w:hAnsi="Courier New" w:cs="Courier New"/>
        </w:rPr>
        <w:t xml:space="preserve">-length sale.  </w:t>
      </w:r>
      <w:r>
        <w:rPr>
          <w:rFonts w:ascii="Courier New" w:hAnsi="Courier New" w:cs="Courier New"/>
        </w:rPr>
        <w:t>Therefore, the Presiding Commissioner</w:t>
      </w:r>
      <w:r w:rsidRPr="00E57504">
        <w:rPr>
          <w:rFonts w:ascii="Courier New" w:hAnsi="Courier New" w:cs="Courier New"/>
        </w:rPr>
        <w:t xml:space="preserve"> found and ruled that</w:t>
      </w:r>
      <w:r w:rsidR="009A6412">
        <w:rPr>
          <w:rFonts w:ascii="Courier New" w:hAnsi="Courier New" w:cs="Courier New"/>
        </w:rPr>
        <w:t xml:space="preserve"> this sale constituted relevant, persuasive </w:t>
      </w:r>
      <w:r w:rsidRPr="00E57504">
        <w:rPr>
          <w:rFonts w:ascii="Courier New" w:hAnsi="Courier New" w:cs="Courier New"/>
        </w:rPr>
        <w:t>evidence of the value of the subject property as of the relevant assessment date</w:t>
      </w:r>
      <w:r w:rsidR="009A6412">
        <w:rPr>
          <w:rFonts w:ascii="Courier New" w:hAnsi="Courier New" w:cs="Courier New"/>
        </w:rPr>
        <w:t xml:space="preserve">, particularly because the sale was within </w:t>
      </w:r>
      <w:r w:rsidR="0069696D">
        <w:rPr>
          <w:rFonts w:ascii="Courier New" w:hAnsi="Courier New" w:cs="Courier New"/>
        </w:rPr>
        <w:t>one</w:t>
      </w:r>
      <w:r w:rsidR="009A6412">
        <w:rPr>
          <w:rFonts w:ascii="Courier New" w:hAnsi="Courier New" w:cs="Courier New"/>
        </w:rPr>
        <w:t xml:space="preserve"> month of the relevant valuation date.</w:t>
      </w:r>
    </w:p>
    <w:p w:rsidR="009A6412" w:rsidRDefault="00E8701F" w:rsidP="00E90F3C">
      <w:pPr>
        <w:spacing w:line="480" w:lineRule="auto"/>
        <w:ind w:firstLine="720"/>
        <w:jc w:val="both"/>
        <w:rPr>
          <w:rFonts w:ascii="Courier New" w:hAnsi="Courier New"/>
          <w:szCs w:val="20"/>
        </w:rPr>
      </w:pPr>
      <w:r w:rsidRPr="00A75742">
        <w:rPr>
          <w:rFonts w:ascii="Courier New" w:hAnsi="Courier New"/>
          <w:szCs w:val="20"/>
        </w:rPr>
        <w:t xml:space="preserve">The mere production of evidence is not enough to meet </w:t>
      </w:r>
      <w:r w:rsidR="0069696D">
        <w:rPr>
          <w:rFonts w:ascii="Courier New" w:hAnsi="Courier New"/>
          <w:szCs w:val="20"/>
        </w:rPr>
        <w:t xml:space="preserve">a </w:t>
      </w:r>
      <w:r w:rsidRPr="00A75742">
        <w:rPr>
          <w:rFonts w:ascii="Courier New" w:hAnsi="Courier New"/>
          <w:szCs w:val="20"/>
        </w:rPr>
        <w:t>taxpayer</w:t>
      </w:r>
      <w:r w:rsidR="0069696D">
        <w:rPr>
          <w:rFonts w:ascii="Courier New" w:hAnsi="Courier New"/>
          <w:szCs w:val="20"/>
        </w:rPr>
        <w:t>’s</w:t>
      </w:r>
      <w:r w:rsidRPr="00A75742">
        <w:rPr>
          <w:rFonts w:ascii="Courier New" w:hAnsi="Courier New"/>
          <w:szCs w:val="20"/>
        </w:rPr>
        <w:t xml:space="preserve"> burden in this regard; the evidence must be credible and persuasive.  </w:t>
      </w:r>
      <w:r w:rsidRPr="00A75742">
        <w:rPr>
          <w:rFonts w:ascii="Courier New" w:hAnsi="Courier New"/>
          <w:i/>
          <w:iCs/>
          <w:szCs w:val="20"/>
        </w:rPr>
        <w:t xml:space="preserve">See </w:t>
      </w:r>
      <w:r w:rsidRPr="00A75742">
        <w:rPr>
          <w:rFonts w:ascii="Courier New" w:hAnsi="Courier New"/>
          <w:b/>
          <w:bCs/>
          <w:i/>
          <w:iCs/>
          <w:szCs w:val="20"/>
        </w:rPr>
        <w:t>Foxboro Assocs. v. Assessors of Foxborough,</w:t>
      </w:r>
      <w:r w:rsidRPr="00A75742">
        <w:rPr>
          <w:rFonts w:ascii="Courier New" w:hAnsi="Courier New"/>
          <w:szCs w:val="20"/>
        </w:rPr>
        <w:t xml:space="preserve"> 385 Mass. 679, 691 (1982).  In the present appeal, the </w:t>
      </w:r>
      <w:r>
        <w:rPr>
          <w:rFonts w:ascii="Courier New" w:hAnsi="Courier New"/>
          <w:szCs w:val="20"/>
        </w:rPr>
        <w:t xml:space="preserve">Presiding </w:t>
      </w:r>
      <w:r>
        <w:rPr>
          <w:rFonts w:ascii="Courier New" w:hAnsi="Courier New"/>
          <w:szCs w:val="20"/>
        </w:rPr>
        <w:lastRenderedPageBreak/>
        <w:t>Commissioner</w:t>
      </w:r>
      <w:r w:rsidRPr="00A75742">
        <w:rPr>
          <w:rFonts w:ascii="Courier New" w:hAnsi="Courier New"/>
          <w:szCs w:val="20"/>
        </w:rPr>
        <w:t xml:space="preserve"> found and ruled that the appellants’ evidence was </w:t>
      </w:r>
      <w:r>
        <w:rPr>
          <w:rFonts w:ascii="Courier New" w:hAnsi="Courier New"/>
          <w:szCs w:val="20"/>
        </w:rPr>
        <w:t>reliable, credible</w:t>
      </w:r>
      <w:r w:rsidR="006F288C">
        <w:rPr>
          <w:rFonts w:ascii="Courier New" w:hAnsi="Courier New"/>
          <w:szCs w:val="20"/>
        </w:rPr>
        <w:t>,</w:t>
      </w:r>
      <w:r>
        <w:rPr>
          <w:rFonts w:ascii="Courier New" w:hAnsi="Courier New"/>
          <w:szCs w:val="20"/>
        </w:rPr>
        <w:t xml:space="preserve"> and </w:t>
      </w:r>
      <w:r w:rsidRPr="00A75742">
        <w:rPr>
          <w:rFonts w:ascii="Courier New" w:hAnsi="Courier New"/>
          <w:szCs w:val="20"/>
        </w:rPr>
        <w:t xml:space="preserve">persuasive.  </w:t>
      </w:r>
    </w:p>
    <w:p w:rsidR="00E8701F" w:rsidRPr="00A75742" w:rsidRDefault="00E8701F" w:rsidP="00E90F3C">
      <w:pPr>
        <w:spacing w:line="480" w:lineRule="auto"/>
        <w:ind w:firstLine="720"/>
        <w:jc w:val="both"/>
        <w:rPr>
          <w:rFonts w:ascii="Courier New" w:hAnsi="Courier New"/>
          <w:szCs w:val="20"/>
        </w:rPr>
      </w:pPr>
      <w:r w:rsidRPr="00A75742">
        <w:rPr>
          <w:rFonts w:ascii="Courier New" w:hAnsi="Courier New"/>
          <w:szCs w:val="20"/>
        </w:rPr>
        <w:t xml:space="preserve">In reaching </w:t>
      </w:r>
      <w:r w:rsidR="0069696D">
        <w:rPr>
          <w:rFonts w:ascii="Courier New" w:hAnsi="Courier New"/>
          <w:szCs w:val="20"/>
        </w:rPr>
        <w:t>his</w:t>
      </w:r>
      <w:r w:rsidRPr="00A75742">
        <w:rPr>
          <w:rFonts w:ascii="Courier New" w:hAnsi="Courier New"/>
          <w:szCs w:val="20"/>
        </w:rPr>
        <w:t xml:space="preserve"> decision in this appeal, </w:t>
      </w:r>
      <w:r>
        <w:rPr>
          <w:rFonts w:ascii="Courier New" w:hAnsi="Courier New"/>
          <w:szCs w:val="20"/>
        </w:rPr>
        <w:t xml:space="preserve">the </w:t>
      </w:r>
      <w:r w:rsidR="009A6412">
        <w:rPr>
          <w:rFonts w:ascii="Courier New" w:hAnsi="Courier New"/>
          <w:szCs w:val="20"/>
        </w:rPr>
        <w:t xml:space="preserve">Presiding </w:t>
      </w:r>
      <w:r>
        <w:rPr>
          <w:rFonts w:ascii="Courier New" w:hAnsi="Courier New"/>
          <w:szCs w:val="20"/>
        </w:rPr>
        <w:t>Commissioner</w:t>
      </w:r>
      <w:r w:rsidRPr="00A75742">
        <w:rPr>
          <w:rFonts w:ascii="Courier New" w:hAnsi="Courier New"/>
          <w:szCs w:val="20"/>
        </w:rPr>
        <w:t xml:space="preserve"> was not required to believe the testimony of any particular witness or adopt any particular method of valuation that a witness suggested.  Rather, </w:t>
      </w:r>
      <w:r w:rsidR="0069696D">
        <w:rPr>
          <w:rFonts w:ascii="Courier New" w:hAnsi="Courier New"/>
          <w:szCs w:val="20"/>
        </w:rPr>
        <w:t xml:space="preserve">the </w:t>
      </w:r>
      <w:r w:rsidR="009A6412">
        <w:rPr>
          <w:rFonts w:ascii="Courier New" w:hAnsi="Courier New"/>
          <w:szCs w:val="20"/>
        </w:rPr>
        <w:t>Presiding Commissioner</w:t>
      </w:r>
      <w:r w:rsidRPr="00A75742">
        <w:rPr>
          <w:rFonts w:ascii="Courier New" w:hAnsi="Courier New"/>
          <w:szCs w:val="20"/>
        </w:rPr>
        <w:t xml:space="preserve"> could accept those portions of the evidence that </w:t>
      </w:r>
      <w:r w:rsidR="0069696D">
        <w:rPr>
          <w:rFonts w:ascii="Courier New" w:hAnsi="Courier New"/>
          <w:szCs w:val="20"/>
        </w:rPr>
        <w:t>he</w:t>
      </w:r>
      <w:r w:rsidRPr="00A75742">
        <w:rPr>
          <w:rFonts w:ascii="Courier New" w:hAnsi="Courier New"/>
          <w:szCs w:val="20"/>
        </w:rPr>
        <w:t xml:space="preserve"> determined had more convincing weight.  </w:t>
      </w:r>
      <w:r w:rsidRPr="00A75742">
        <w:rPr>
          <w:rFonts w:ascii="Courier New" w:hAnsi="Courier New"/>
          <w:b/>
          <w:bCs/>
          <w:i/>
          <w:iCs/>
          <w:szCs w:val="20"/>
        </w:rPr>
        <w:t>Foxboro Assocs.</w:t>
      </w:r>
      <w:r w:rsidRPr="00A75742">
        <w:rPr>
          <w:rFonts w:ascii="Courier New" w:hAnsi="Courier New"/>
          <w:szCs w:val="20"/>
        </w:rPr>
        <w:t xml:space="preserve">, 385 Mass. at 683; </w:t>
      </w:r>
      <w:r w:rsidR="0069696D">
        <w:rPr>
          <w:rFonts w:ascii="Courier New" w:hAnsi="Courier New"/>
          <w:b/>
          <w:bCs/>
          <w:i/>
          <w:iCs/>
          <w:szCs w:val="20"/>
        </w:rPr>
        <w:t xml:space="preserve">New Boston Garden Corp., </w:t>
      </w:r>
      <w:r w:rsidRPr="00A75742">
        <w:rPr>
          <w:rFonts w:ascii="Courier New" w:hAnsi="Courier New"/>
          <w:szCs w:val="20"/>
        </w:rPr>
        <w:t xml:space="preserve">383 Mass. at 473; </w:t>
      </w:r>
      <w:r w:rsidRPr="00A75742">
        <w:rPr>
          <w:rFonts w:ascii="Courier New" w:hAnsi="Courier New"/>
          <w:b/>
          <w:bCs/>
          <w:i/>
          <w:iCs/>
          <w:szCs w:val="20"/>
        </w:rPr>
        <w:t>New E</w:t>
      </w:r>
      <w:r w:rsidR="0069696D">
        <w:rPr>
          <w:rFonts w:ascii="Courier New" w:hAnsi="Courier New"/>
          <w:b/>
          <w:bCs/>
          <w:i/>
          <w:iCs/>
          <w:szCs w:val="20"/>
        </w:rPr>
        <w:t>ngland Oyster House, Inc. v. Assessors of Lynnfield,</w:t>
      </w:r>
      <w:r w:rsidRPr="00A75742">
        <w:rPr>
          <w:rFonts w:ascii="Courier New" w:hAnsi="Courier New"/>
          <w:b/>
          <w:bCs/>
          <w:i/>
          <w:iCs/>
          <w:szCs w:val="20"/>
        </w:rPr>
        <w:t xml:space="preserve"> </w:t>
      </w:r>
      <w:r w:rsidRPr="00A75742">
        <w:rPr>
          <w:rFonts w:ascii="Courier New" w:hAnsi="Courier New"/>
          <w:szCs w:val="20"/>
        </w:rPr>
        <w:t>362 Mass.</w:t>
      </w:r>
      <w:r>
        <w:rPr>
          <w:rFonts w:ascii="Courier New" w:hAnsi="Courier New"/>
          <w:szCs w:val="20"/>
        </w:rPr>
        <w:t xml:space="preserve"> </w:t>
      </w:r>
      <w:r w:rsidR="0069696D">
        <w:rPr>
          <w:rFonts w:ascii="Courier New" w:hAnsi="Courier New"/>
          <w:szCs w:val="20"/>
        </w:rPr>
        <w:t>696 (1972)</w:t>
      </w:r>
      <w:r w:rsidRPr="00A75742">
        <w:rPr>
          <w:rFonts w:ascii="Courier New" w:hAnsi="Courier New"/>
          <w:szCs w:val="20"/>
        </w:rPr>
        <w:t xml:space="preserve">.  “The credibility of witnesses, the weight of evidence, the inferences to be drawn from the evidence are matters for the board.”  </w:t>
      </w:r>
      <w:r w:rsidRPr="00A75742">
        <w:rPr>
          <w:rFonts w:ascii="Courier New" w:hAnsi="Courier New"/>
          <w:b/>
          <w:bCs/>
          <w:i/>
          <w:iCs/>
          <w:szCs w:val="20"/>
        </w:rPr>
        <w:t>Cummington School of the Arts, Inc. v. Assessors of Cummington,</w:t>
      </w:r>
      <w:r w:rsidRPr="00A75742">
        <w:rPr>
          <w:rFonts w:ascii="Courier New" w:hAnsi="Courier New"/>
          <w:szCs w:val="20"/>
        </w:rPr>
        <w:t xml:space="preserve"> 373 Mass. 597, 605 (1977).  </w:t>
      </w:r>
    </w:p>
    <w:p w:rsidR="0048494A" w:rsidRDefault="00E8701F" w:rsidP="0048494A">
      <w:pPr>
        <w:spacing w:line="480" w:lineRule="auto"/>
        <w:ind w:firstLine="720"/>
        <w:jc w:val="both"/>
        <w:rPr>
          <w:rFonts w:ascii="Courier New" w:hAnsi="Courier New" w:cs="Courier New"/>
          <w:szCs w:val="20"/>
        </w:rPr>
      </w:pPr>
      <w:r>
        <w:rPr>
          <w:rFonts w:ascii="Courier New" w:hAnsi="Courier New"/>
          <w:szCs w:val="20"/>
        </w:rPr>
        <w:t>On this basis, the Presiding Commissioner</w:t>
      </w:r>
      <w:r w:rsidRPr="00A75742">
        <w:rPr>
          <w:rFonts w:ascii="Courier New" w:hAnsi="Courier New"/>
          <w:szCs w:val="20"/>
        </w:rPr>
        <w:t xml:space="preserve"> </w:t>
      </w:r>
      <w:r w:rsidRPr="00A75742">
        <w:rPr>
          <w:rFonts w:ascii="Courier New" w:hAnsi="Courier New" w:cs="Courier New"/>
          <w:szCs w:val="20"/>
        </w:rPr>
        <w:t xml:space="preserve">found </w:t>
      </w:r>
      <w:r w:rsidR="009A6412">
        <w:rPr>
          <w:rFonts w:ascii="Courier New" w:hAnsi="Courier New" w:cs="Courier New"/>
        </w:rPr>
        <w:t xml:space="preserve">that the fair cash value of the subject property for the fiscal year at issue was $15,500 and </w:t>
      </w:r>
      <w:r w:rsidR="00D4575A">
        <w:rPr>
          <w:rFonts w:ascii="Courier New" w:hAnsi="Courier New" w:cs="Courier New"/>
        </w:rPr>
        <w:t>ordered an abatement</w:t>
      </w:r>
      <w:r w:rsidR="009A6412">
        <w:rPr>
          <w:rFonts w:ascii="Courier New" w:hAnsi="Courier New" w:cs="Courier New"/>
        </w:rPr>
        <w:t xml:space="preserve"> in the amount of $107.18</w:t>
      </w:r>
      <w:r>
        <w:rPr>
          <w:rFonts w:ascii="Courier New" w:hAnsi="Courier New" w:cs="Courier New"/>
          <w:szCs w:val="20"/>
        </w:rPr>
        <w:t>.</w:t>
      </w:r>
    </w:p>
    <w:p w:rsidR="0048494A" w:rsidRDefault="00447256" w:rsidP="0048494A">
      <w:pPr>
        <w:ind w:firstLine="720"/>
        <w:jc w:val="both"/>
        <w:rPr>
          <w:rFonts w:ascii="Courier New" w:hAnsi="Courier New" w:cs="Courier New"/>
          <w:b/>
        </w:rPr>
      </w:pPr>
      <w:r>
        <w:tab/>
      </w:r>
      <w:r>
        <w:tab/>
      </w:r>
      <w:r>
        <w:tab/>
        <w:t xml:space="preserve">              </w:t>
      </w:r>
      <w:r w:rsidR="00D4575A">
        <w:t xml:space="preserve">    </w:t>
      </w:r>
      <w:r w:rsidR="00E8701F" w:rsidRPr="00A75742">
        <w:rPr>
          <w:rFonts w:ascii="Courier New" w:hAnsi="Courier New" w:cs="Courier New"/>
          <w:b/>
        </w:rPr>
        <w:t>THE</w:t>
      </w:r>
      <w:r w:rsidR="00E8701F" w:rsidRPr="00A75742">
        <w:rPr>
          <w:b/>
        </w:rPr>
        <w:t xml:space="preserve"> </w:t>
      </w:r>
      <w:r w:rsidR="00E8701F" w:rsidRPr="00A75742">
        <w:rPr>
          <w:rFonts w:ascii="Courier New" w:hAnsi="Courier New" w:cs="Courier New"/>
          <w:b/>
        </w:rPr>
        <w:t>APPELLATE TAX BOARD</w:t>
      </w:r>
    </w:p>
    <w:p w:rsidR="0048494A" w:rsidRDefault="0048494A" w:rsidP="0048494A">
      <w:pPr>
        <w:ind w:firstLine="720"/>
        <w:jc w:val="both"/>
        <w:rPr>
          <w:rFonts w:ascii="Courier New" w:hAnsi="Courier New" w:cs="Courier New"/>
          <w:b/>
        </w:rPr>
      </w:pPr>
    </w:p>
    <w:p w:rsidR="0048494A" w:rsidRDefault="0048494A" w:rsidP="0048494A">
      <w:pPr>
        <w:ind w:firstLine="720"/>
        <w:jc w:val="both"/>
        <w:rPr>
          <w:rFonts w:ascii="Courier New" w:hAnsi="Courier New" w:cs="Courier New"/>
          <w:b/>
        </w:rPr>
      </w:pPr>
    </w:p>
    <w:p w:rsidR="00447256" w:rsidRPr="00A75742" w:rsidRDefault="00447256" w:rsidP="00E8701F">
      <w:pPr>
        <w:jc w:val="both"/>
        <w:rPr>
          <w:rFonts w:ascii="Courier New" w:hAnsi="Courier New" w:cs="Courier New"/>
          <w:b/>
        </w:rPr>
      </w:pPr>
    </w:p>
    <w:p w:rsidR="00A22CCD" w:rsidRDefault="00E8701F" w:rsidP="00E8701F">
      <w:pPr>
        <w:jc w:val="both"/>
        <w:rPr>
          <w:rFonts w:ascii="Courier New" w:hAnsi="Courier New" w:cs="Courier New"/>
          <w:b/>
        </w:rPr>
      </w:pP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t xml:space="preserve">  </w:t>
      </w:r>
      <w:r w:rsidR="00D4575A">
        <w:rPr>
          <w:rFonts w:ascii="Courier New" w:hAnsi="Courier New" w:cs="Courier New"/>
          <w:b/>
        </w:rPr>
        <w:tab/>
      </w:r>
      <w:r w:rsidRPr="00A75742">
        <w:rPr>
          <w:rFonts w:ascii="Courier New" w:hAnsi="Courier New" w:cs="Courier New"/>
          <w:b/>
        </w:rPr>
        <w:t>By:</w:t>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t>________</w:t>
      </w:r>
      <w:r w:rsidR="00D4575A">
        <w:rPr>
          <w:rFonts w:ascii="Courier New" w:hAnsi="Courier New" w:cs="Courier New"/>
          <w:b/>
          <w:u w:val="single"/>
        </w:rPr>
        <w:t>___</w:t>
      </w:r>
      <w:r w:rsidRPr="00A75742">
        <w:rPr>
          <w:rFonts w:ascii="Courier New" w:hAnsi="Courier New" w:cs="Courier New"/>
          <w:b/>
        </w:rPr>
        <w:t xml:space="preserve">   </w:t>
      </w: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t xml:space="preserve">    </w:t>
      </w:r>
      <w:r w:rsidRPr="00A75742">
        <w:rPr>
          <w:rFonts w:ascii="Courier New" w:hAnsi="Courier New" w:cs="Courier New"/>
          <w:b/>
        </w:rPr>
        <w:tab/>
        <w:t xml:space="preserve">     </w:t>
      </w:r>
      <w:r w:rsidR="00D4575A">
        <w:rPr>
          <w:rFonts w:ascii="Courier New" w:hAnsi="Courier New" w:cs="Courier New"/>
          <w:b/>
        </w:rPr>
        <w:t>        </w:t>
      </w:r>
      <w:r w:rsidR="00A22CCD">
        <w:rPr>
          <w:rFonts w:ascii="Courier New" w:hAnsi="Courier New" w:cs="Courier New"/>
          <w:b/>
        </w:rPr>
        <w:t>James D. Rose, Commissioner</w:t>
      </w:r>
    </w:p>
    <w:p w:rsidR="006056BF" w:rsidRDefault="006056BF" w:rsidP="006056BF">
      <w:pPr>
        <w:jc w:val="both"/>
        <w:rPr>
          <w:rFonts w:ascii="Courier New" w:hAnsi="Courier New" w:cs="Courier New"/>
          <w:b/>
        </w:rPr>
      </w:pPr>
    </w:p>
    <w:p w:rsidR="006056BF" w:rsidRPr="00A75742" w:rsidRDefault="006056BF" w:rsidP="006056BF">
      <w:pPr>
        <w:jc w:val="both"/>
        <w:rPr>
          <w:rFonts w:ascii="Courier New" w:hAnsi="Courier New" w:cs="Courier New"/>
          <w:b/>
        </w:rPr>
      </w:pPr>
      <w:r w:rsidRPr="00A75742">
        <w:rPr>
          <w:rFonts w:ascii="Courier New" w:hAnsi="Courier New" w:cs="Courier New"/>
          <w:b/>
        </w:rPr>
        <w:t>A true copy,</w:t>
      </w:r>
    </w:p>
    <w:p w:rsidR="006056BF" w:rsidRPr="00A75742" w:rsidRDefault="006056BF" w:rsidP="006056BF">
      <w:pPr>
        <w:jc w:val="both"/>
        <w:rPr>
          <w:rFonts w:ascii="Courier New" w:hAnsi="Courier New" w:cs="Courier New"/>
          <w:b/>
        </w:rPr>
      </w:pPr>
    </w:p>
    <w:p w:rsidR="006056BF" w:rsidRPr="00A75742" w:rsidRDefault="006056BF" w:rsidP="006056BF">
      <w:pPr>
        <w:jc w:val="both"/>
        <w:rPr>
          <w:rFonts w:ascii="Courier New" w:hAnsi="Courier New" w:cs="Courier New"/>
          <w:b/>
          <w:u w:val="single"/>
        </w:rPr>
      </w:pPr>
      <w:r w:rsidRPr="00A75742">
        <w:rPr>
          <w:rFonts w:ascii="Courier New" w:hAnsi="Courier New" w:cs="Courier New"/>
          <w:b/>
        </w:rPr>
        <w:t>Attest:</w:t>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t>_</w:t>
      </w:r>
    </w:p>
    <w:p w:rsidR="006056BF" w:rsidRDefault="006056BF" w:rsidP="00E8701F">
      <w:pPr>
        <w:jc w:val="both"/>
        <w:rPr>
          <w:rFonts w:ascii="Courier New" w:hAnsi="Courier New" w:cs="Courier New"/>
          <w:b/>
        </w:rPr>
      </w:pPr>
      <w:r w:rsidRPr="00A75742">
        <w:rPr>
          <w:rFonts w:ascii="Courier New" w:hAnsi="Courier New" w:cs="Courier New"/>
          <w:b/>
        </w:rPr>
        <w:t xml:space="preserve">       Clerk of the Board</w:t>
      </w:r>
    </w:p>
    <w:sectPr w:rsidR="006056BF" w:rsidSect="006056BF">
      <w:footerReference w:type="default" r:id="rId8"/>
      <w:pgSz w:w="12240" w:h="15840"/>
      <w:pgMar w:top="1440" w:right="1440" w:bottom="1440" w:left="1440" w:header="720" w:footer="720" w:gutter="0"/>
      <w:pgNumType w:start="48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1F" w:rsidRDefault="00E8701F" w:rsidP="00E8701F">
      <w:r>
        <w:separator/>
      </w:r>
    </w:p>
  </w:endnote>
  <w:endnote w:type="continuationSeparator" w:id="0">
    <w:p w:rsidR="00E8701F" w:rsidRDefault="00E8701F" w:rsidP="00E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876430211"/>
      <w:docPartObj>
        <w:docPartGallery w:val="Page Numbers (Bottom of Page)"/>
        <w:docPartUnique/>
      </w:docPartObj>
    </w:sdtPr>
    <w:sdtEndPr>
      <w:rPr>
        <w:noProof/>
      </w:rPr>
    </w:sdtEndPr>
    <w:sdtContent>
      <w:p w:rsidR="00A22CCD" w:rsidRPr="006056BF" w:rsidRDefault="006056BF" w:rsidP="006056BF">
        <w:pPr>
          <w:pStyle w:val="Footer"/>
          <w:jc w:val="center"/>
          <w:rPr>
            <w:rFonts w:ascii="Courier New" w:hAnsi="Courier New" w:cs="Courier New"/>
            <w:b/>
          </w:rPr>
        </w:pPr>
        <w:r w:rsidRPr="006056BF">
          <w:rPr>
            <w:rFonts w:ascii="Courier New" w:hAnsi="Courier New" w:cs="Courier New"/>
            <w:b/>
          </w:rPr>
          <w:t>ATB 2018-</w:t>
        </w:r>
        <w:r w:rsidR="00A22CCD" w:rsidRPr="006056BF">
          <w:rPr>
            <w:rFonts w:ascii="Courier New" w:hAnsi="Courier New" w:cs="Courier New"/>
            <w:b/>
          </w:rPr>
          <w:fldChar w:fldCharType="begin"/>
        </w:r>
        <w:r w:rsidR="00A22CCD" w:rsidRPr="006056BF">
          <w:rPr>
            <w:rFonts w:ascii="Courier New" w:hAnsi="Courier New" w:cs="Courier New"/>
            <w:b/>
          </w:rPr>
          <w:instrText xml:space="preserve"> PAGE   \* MERGEFORMAT </w:instrText>
        </w:r>
        <w:r w:rsidR="00A22CCD" w:rsidRPr="006056BF">
          <w:rPr>
            <w:rFonts w:ascii="Courier New" w:hAnsi="Courier New" w:cs="Courier New"/>
            <w:b/>
          </w:rPr>
          <w:fldChar w:fldCharType="separate"/>
        </w:r>
        <w:r w:rsidR="0097648D">
          <w:rPr>
            <w:rFonts w:ascii="Courier New" w:hAnsi="Courier New" w:cs="Courier New"/>
            <w:b/>
            <w:noProof/>
          </w:rPr>
          <w:t>487</w:t>
        </w:r>
        <w:r w:rsidR="00A22CCD" w:rsidRPr="006056BF">
          <w:rPr>
            <w:rFonts w:ascii="Courier New" w:hAnsi="Courier New" w:cs="Courier New"/>
            <w:b/>
            <w:noProof/>
          </w:rPr>
          <w:fldChar w:fldCharType="end"/>
        </w:r>
      </w:p>
    </w:sdtContent>
  </w:sdt>
  <w:p w:rsidR="00A22CCD" w:rsidRDefault="00A22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1F" w:rsidRDefault="00E8701F" w:rsidP="00E8701F">
      <w:r>
        <w:separator/>
      </w:r>
    </w:p>
  </w:footnote>
  <w:footnote w:type="continuationSeparator" w:id="0">
    <w:p w:rsidR="00E8701F" w:rsidRDefault="00E8701F" w:rsidP="00E8701F">
      <w:r>
        <w:continuationSeparator/>
      </w:r>
    </w:p>
  </w:footnote>
  <w:footnote w:id="1">
    <w:p w:rsidR="00AD19E7" w:rsidRPr="00D4575A" w:rsidRDefault="00AD19E7" w:rsidP="00AD19E7">
      <w:pPr>
        <w:pStyle w:val="FootnoteText"/>
        <w:jc w:val="both"/>
        <w:rPr>
          <w:rFonts w:ascii="Courier New" w:hAnsi="Courier New" w:cs="Courier New"/>
        </w:rPr>
      </w:pPr>
      <w:r w:rsidRPr="00D4575A">
        <w:rPr>
          <w:rStyle w:val="FootnoteReference"/>
          <w:rFonts w:ascii="Courier New" w:hAnsi="Courier New" w:cs="Courier New"/>
        </w:rPr>
        <w:footnoteRef/>
      </w:r>
      <w:r w:rsidRPr="00F74759">
        <w:rPr>
          <w:rFonts w:ascii="Courier New" w:hAnsi="Courier New" w:cs="Courier New"/>
          <w:sz w:val="22"/>
          <w:szCs w:val="22"/>
        </w:rPr>
        <w:t xml:space="preserve"> </w:t>
      </w:r>
      <w:r w:rsidRPr="00D4575A">
        <w:rPr>
          <w:rFonts w:ascii="Courier New" w:hAnsi="Courier New" w:cs="Courier New"/>
        </w:rPr>
        <w:t xml:space="preserve">Although this appeal was filed by both Peter </w:t>
      </w:r>
      <w:r>
        <w:rPr>
          <w:rFonts w:ascii="Courier New" w:hAnsi="Courier New" w:cs="Courier New"/>
        </w:rPr>
        <w:t xml:space="preserve">J. </w:t>
      </w:r>
      <w:r w:rsidRPr="00D4575A">
        <w:rPr>
          <w:rFonts w:ascii="Courier New" w:hAnsi="Courier New" w:cs="Courier New"/>
        </w:rPr>
        <w:t xml:space="preserve">and Nadine </w:t>
      </w:r>
      <w:r>
        <w:rPr>
          <w:rFonts w:ascii="Courier New" w:hAnsi="Courier New" w:cs="Courier New"/>
        </w:rPr>
        <w:t xml:space="preserve">M. </w:t>
      </w:r>
      <w:r w:rsidRPr="00D4575A">
        <w:rPr>
          <w:rFonts w:ascii="Courier New" w:hAnsi="Courier New" w:cs="Courier New"/>
        </w:rPr>
        <w:t xml:space="preserve">Hiser as appellants, only </w:t>
      </w:r>
      <w:r>
        <w:rPr>
          <w:rFonts w:ascii="Courier New" w:hAnsi="Courier New" w:cs="Courier New"/>
        </w:rPr>
        <w:t>Mr.</w:t>
      </w:r>
      <w:r w:rsidRPr="00D4575A">
        <w:rPr>
          <w:rFonts w:ascii="Courier New" w:hAnsi="Courier New" w:cs="Courier New"/>
        </w:rPr>
        <w:t xml:space="preserve"> Hiser owned record title to the subject property.</w:t>
      </w:r>
    </w:p>
  </w:footnote>
  <w:footnote w:id="2">
    <w:p w:rsidR="00940882" w:rsidRPr="00D4575A" w:rsidRDefault="00940882" w:rsidP="00940882">
      <w:pPr>
        <w:pStyle w:val="FootnoteText"/>
        <w:jc w:val="both"/>
      </w:pPr>
      <w:r w:rsidRPr="00D4575A">
        <w:rPr>
          <w:rStyle w:val="FootnoteReference"/>
          <w:rFonts w:ascii="Courier New" w:hAnsi="Courier New" w:cs="Courier New"/>
        </w:rPr>
        <w:footnoteRef/>
      </w:r>
      <w:r w:rsidRPr="000C0FB5">
        <w:rPr>
          <w:sz w:val="22"/>
          <w:szCs w:val="22"/>
        </w:rPr>
        <w:t xml:space="preserve"> </w:t>
      </w:r>
      <w:r w:rsidRPr="00D4575A">
        <w:rPr>
          <w:rFonts w:ascii="Courier New" w:hAnsi="Courier New" w:cs="Courier New"/>
        </w:rPr>
        <w:t xml:space="preserve">Effective for fiscal years beginning </w:t>
      </w:r>
      <w:r w:rsidR="002F7C7F">
        <w:rPr>
          <w:rFonts w:ascii="Courier New" w:hAnsi="Courier New" w:cs="Courier New"/>
        </w:rPr>
        <w:t>with</w:t>
      </w:r>
      <w:r w:rsidRPr="00D4575A">
        <w:rPr>
          <w:rFonts w:ascii="Courier New" w:hAnsi="Courier New" w:cs="Courier New"/>
        </w:rPr>
        <w:t xml:space="preserve"> fiscal year 2017, the $3,000 jurisdictional amount in </w:t>
      </w:r>
      <w:r w:rsidR="002F7C7F">
        <w:rPr>
          <w:rFonts w:ascii="Courier New" w:hAnsi="Courier New" w:cs="Courier New"/>
        </w:rPr>
        <w:t xml:space="preserve">G.L. c. 59, </w:t>
      </w:r>
      <w:r w:rsidRPr="00D4575A">
        <w:rPr>
          <w:rFonts w:ascii="Courier New" w:hAnsi="Courier New" w:cs="Courier New"/>
        </w:rPr>
        <w:t xml:space="preserve">§ 64 was increased to $5,000. </w:t>
      </w:r>
      <w:r w:rsidRPr="00D4575A">
        <w:rPr>
          <w:rFonts w:ascii="Courier New" w:hAnsi="Courier New" w:cs="Courier New"/>
          <w:i/>
        </w:rPr>
        <w:t xml:space="preserve">See </w:t>
      </w:r>
      <w:r w:rsidRPr="00D4575A">
        <w:rPr>
          <w:rFonts w:ascii="Courier New" w:hAnsi="Courier New" w:cs="Courier New"/>
        </w:rPr>
        <w:t>St. 2016, c. 218, 149.</w:t>
      </w:r>
    </w:p>
  </w:footnote>
  <w:footnote w:id="3">
    <w:p w:rsidR="00B231F7" w:rsidRPr="00E4101A" w:rsidRDefault="00B231F7" w:rsidP="00363781">
      <w:pPr>
        <w:pStyle w:val="FootnoteText"/>
        <w:jc w:val="both"/>
        <w:rPr>
          <w:rFonts w:ascii="Courier New" w:hAnsi="Courier New" w:cs="Courier New"/>
          <w:sz w:val="22"/>
          <w:szCs w:val="22"/>
        </w:rPr>
      </w:pPr>
      <w:r w:rsidRPr="00D4575A">
        <w:rPr>
          <w:rStyle w:val="FootnoteReference"/>
          <w:rFonts w:ascii="Courier New" w:hAnsi="Courier New" w:cs="Courier New"/>
        </w:rPr>
        <w:footnoteRef/>
      </w:r>
      <w:r>
        <w:t xml:space="preserve"> </w:t>
      </w:r>
      <w:r w:rsidR="00801EC9">
        <w:t xml:space="preserve">  </w:t>
      </w:r>
      <w:r>
        <w:rPr>
          <w:rFonts w:ascii="Courier New" w:hAnsi="Courier New" w:cs="Courier New"/>
        </w:rPr>
        <w:t>Mr. Hiser had given M</w:t>
      </w:r>
      <w:r w:rsidR="00E90F3C">
        <w:rPr>
          <w:rFonts w:ascii="Courier New" w:hAnsi="Courier New" w:cs="Courier New"/>
        </w:rPr>
        <w:t>r</w:t>
      </w:r>
      <w:r>
        <w:rPr>
          <w:rFonts w:ascii="Courier New" w:hAnsi="Courier New" w:cs="Courier New"/>
        </w:rPr>
        <w:t>s. Hiser a limited power of attorney to represent him at the hearing.</w:t>
      </w:r>
    </w:p>
  </w:footnote>
  <w:footnote w:id="4">
    <w:p w:rsidR="000C0FB5" w:rsidRPr="000C0FB5" w:rsidRDefault="000C0FB5" w:rsidP="000C0FB5">
      <w:pPr>
        <w:pStyle w:val="FootnoteText"/>
        <w:jc w:val="both"/>
        <w:rPr>
          <w:rFonts w:ascii="Courier New" w:hAnsi="Courier New" w:cs="Courier New"/>
          <w:sz w:val="22"/>
          <w:szCs w:val="22"/>
        </w:rPr>
      </w:pPr>
      <w:r w:rsidRPr="00D4575A">
        <w:rPr>
          <w:rStyle w:val="FootnoteReference"/>
          <w:rFonts w:ascii="Courier New" w:hAnsi="Courier New" w:cs="Courier New"/>
        </w:rPr>
        <w:footnoteRef/>
      </w:r>
      <w:r w:rsidRPr="000C0FB5">
        <w:rPr>
          <w:rFonts w:ascii="Courier New" w:hAnsi="Courier New" w:cs="Courier New"/>
          <w:sz w:val="22"/>
          <w:szCs w:val="22"/>
        </w:rPr>
        <w:t xml:space="preserve"> </w:t>
      </w:r>
      <w:r w:rsidR="00B87B5A" w:rsidRPr="00D4575A">
        <w:rPr>
          <w:rFonts w:ascii="Courier New" w:hAnsi="Courier New" w:cs="Courier New"/>
        </w:rPr>
        <w:t xml:space="preserve">The signing of the deed predated the assignment because </w:t>
      </w:r>
      <w:r w:rsidR="00EB6F11" w:rsidRPr="00D4575A">
        <w:rPr>
          <w:rFonts w:ascii="Courier New" w:hAnsi="Courier New" w:cs="Courier New"/>
        </w:rPr>
        <w:t xml:space="preserve">the deed was mailed to Massachusetts prior to the closing; </w:t>
      </w:r>
      <w:r w:rsidR="00B87B5A" w:rsidRPr="00D4575A">
        <w:rPr>
          <w:rFonts w:ascii="Courier New" w:hAnsi="Courier New" w:cs="Courier New"/>
        </w:rPr>
        <w:t>the grantor, Ms. Musante, was a resident of Virginia and, according to the notary public acknowledgement, t</w:t>
      </w:r>
      <w:r w:rsidR="00EB6F11" w:rsidRPr="00D4575A">
        <w:rPr>
          <w:rFonts w:ascii="Courier New" w:hAnsi="Courier New" w:cs="Courier New"/>
        </w:rPr>
        <w:t>he deed was signed in Virginia</w:t>
      </w:r>
      <w:r w:rsidR="00EB6F11">
        <w:rPr>
          <w:rFonts w:ascii="Courier New" w:hAnsi="Courier New" w:cs="Courier New"/>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1F"/>
    <w:rsid w:val="000C0FB5"/>
    <w:rsid w:val="002449E5"/>
    <w:rsid w:val="00282C79"/>
    <w:rsid w:val="002F7C7F"/>
    <w:rsid w:val="00363781"/>
    <w:rsid w:val="00403745"/>
    <w:rsid w:val="00447256"/>
    <w:rsid w:val="0048494A"/>
    <w:rsid w:val="004D5D9C"/>
    <w:rsid w:val="00523B53"/>
    <w:rsid w:val="006056BF"/>
    <w:rsid w:val="0069696D"/>
    <w:rsid w:val="006A7AB1"/>
    <w:rsid w:val="006F288C"/>
    <w:rsid w:val="007651C4"/>
    <w:rsid w:val="00801EC9"/>
    <w:rsid w:val="00814BA3"/>
    <w:rsid w:val="00870223"/>
    <w:rsid w:val="009319E0"/>
    <w:rsid w:val="00936771"/>
    <w:rsid w:val="00940882"/>
    <w:rsid w:val="0097648D"/>
    <w:rsid w:val="009A6412"/>
    <w:rsid w:val="009F551B"/>
    <w:rsid w:val="00A22CCD"/>
    <w:rsid w:val="00AA56E9"/>
    <w:rsid w:val="00AA7071"/>
    <w:rsid w:val="00AD19E7"/>
    <w:rsid w:val="00B231F7"/>
    <w:rsid w:val="00B87B5A"/>
    <w:rsid w:val="00BE1ECF"/>
    <w:rsid w:val="00C137C8"/>
    <w:rsid w:val="00C36D5B"/>
    <w:rsid w:val="00D27F7C"/>
    <w:rsid w:val="00D4575A"/>
    <w:rsid w:val="00D63059"/>
    <w:rsid w:val="00D811B2"/>
    <w:rsid w:val="00D950E3"/>
    <w:rsid w:val="00E4101A"/>
    <w:rsid w:val="00E71240"/>
    <w:rsid w:val="00E8701F"/>
    <w:rsid w:val="00E90F3C"/>
    <w:rsid w:val="00EB6F11"/>
    <w:rsid w:val="00F627D1"/>
    <w:rsid w:val="00F7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701F"/>
    <w:pPr>
      <w:keepNext/>
      <w:outlineLvl w:val="0"/>
    </w:pPr>
    <w:rPr>
      <w:rFonts w:ascii="Courier New" w:eastAsia="Arial Unicode MS"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01F"/>
    <w:rPr>
      <w:rFonts w:ascii="Courier New" w:eastAsia="Arial Unicode MS" w:hAnsi="Courier New" w:cs="Courier New"/>
      <w:b/>
      <w:bCs/>
      <w:sz w:val="24"/>
      <w:szCs w:val="24"/>
    </w:rPr>
  </w:style>
  <w:style w:type="paragraph" w:styleId="Title">
    <w:name w:val="Title"/>
    <w:basedOn w:val="Normal"/>
    <w:link w:val="TitleChar"/>
    <w:qFormat/>
    <w:rsid w:val="00E8701F"/>
    <w:pPr>
      <w:jc w:val="center"/>
    </w:pPr>
    <w:rPr>
      <w:rFonts w:ascii="Courier New" w:hAnsi="Courier New" w:cs="Courier New"/>
      <w:b/>
      <w:bCs/>
    </w:rPr>
  </w:style>
  <w:style w:type="character" w:customStyle="1" w:styleId="TitleChar">
    <w:name w:val="Title Char"/>
    <w:basedOn w:val="DefaultParagraphFont"/>
    <w:link w:val="Title"/>
    <w:rsid w:val="00E8701F"/>
    <w:rPr>
      <w:rFonts w:ascii="Courier New" w:eastAsia="Times New Roman" w:hAnsi="Courier New" w:cs="Courier New"/>
      <w:b/>
      <w:bCs/>
      <w:sz w:val="24"/>
      <w:szCs w:val="24"/>
    </w:rPr>
  </w:style>
  <w:style w:type="paragraph" w:styleId="BodyTextIndent">
    <w:name w:val="Body Text Indent"/>
    <w:basedOn w:val="Normal"/>
    <w:link w:val="BodyTextIndentChar"/>
    <w:semiHidden/>
    <w:unhideWhenUsed/>
    <w:rsid w:val="00E8701F"/>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semiHidden/>
    <w:rsid w:val="00E8701F"/>
    <w:rPr>
      <w:rFonts w:ascii="Courier New" w:eastAsia="Times New Roman" w:hAnsi="Courier New" w:cs="Courier New"/>
      <w:sz w:val="24"/>
      <w:szCs w:val="24"/>
    </w:rPr>
  </w:style>
  <w:style w:type="character" w:styleId="FootnoteReference">
    <w:name w:val="footnote reference"/>
    <w:semiHidden/>
    <w:rsid w:val="00E8701F"/>
    <w:rPr>
      <w:rFonts w:cs="Times New Roman"/>
      <w:vertAlign w:val="superscript"/>
    </w:rPr>
  </w:style>
  <w:style w:type="paragraph" w:styleId="FootnoteText">
    <w:name w:val="footnote text"/>
    <w:basedOn w:val="Normal"/>
    <w:link w:val="FootnoteTextChar"/>
    <w:uiPriority w:val="99"/>
    <w:semiHidden/>
    <w:unhideWhenUsed/>
    <w:rsid w:val="00E8701F"/>
    <w:rPr>
      <w:sz w:val="20"/>
      <w:szCs w:val="20"/>
    </w:rPr>
  </w:style>
  <w:style w:type="character" w:customStyle="1" w:styleId="FootnoteTextChar">
    <w:name w:val="Footnote Text Char"/>
    <w:basedOn w:val="DefaultParagraphFont"/>
    <w:link w:val="FootnoteText"/>
    <w:uiPriority w:val="99"/>
    <w:semiHidden/>
    <w:rsid w:val="00E8701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36771"/>
    <w:rPr>
      <w:sz w:val="20"/>
      <w:szCs w:val="20"/>
    </w:rPr>
  </w:style>
  <w:style w:type="character" w:customStyle="1" w:styleId="EndnoteTextChar">
    <w:name w:val="Endnote Text Char"/>
    <w:basedOn w:val="DefaultParagraphFont"/>
    <w:link w:val="EndnoteText"/>
    <w:uiPriority w:val="99"/>
    <w:semiHidden/>
    <w:rsid w:val="0093677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36771"/>
    <w:rPr>
      <w:vertAlign w:val="superscript"/>
    </w:rPr>
  </w:style>
  <w:style w:type="paragraph" w:styleId="Header">
    <w:name w:val="header"/>
    <w:basedOn w:val="Normal"/>
    <w:link w:val="HeaderChar"/>
    <w:uiPriority w:val="99"/>
    <w:unhideWhenUsed/>
    <w:rsid w:val="00A22CCD"/>
    <w:pPr>
      <w:tabs>
        <w:tab w:val="center" w:pos="4680"/>
        <w:tab w:val="right" w:pos="9360"/>
      </w:tabs>
    </w:pPr>
  </w:style>
  <w:style w:type="character" w:customStyle="1" w:styleId="HeaderChar">
    <w:name w:val="Header Char"/>
    <w:basedOn w:val="DefaultParagraphFont"/>
    <w:link w:val="Header"/>
    <w:uiPriority w:val="99"/>
    <w:rsid w:val="00A22C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CCD"/>
    <w:pPr>
      <w:tabs>
        <w:tab w:val="center" w:pos="4680"/>
        <w:tab w:val="right" w:pos="9360"/>
      </w:tabs>
    </w:pPr>
  </w:style>
  <w:style w:type="character" w:customStyle="1" w:styleId="FooterChar">
    <w:name w:val="Footer Char"/>
    <w:basedOn w:val="DefaultParagraphFont"/>
    <w:link w:val="Footer"/>
    <w:uiPriority w:val="99"/>
    <w:rsid w:val="00A22C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2CCD"/>
    <w:rPr>
      <w:rFonts w:ascii="Tahoma" w:hAnsi="Tahoma" w:cs="Tahoma"/>
      <w:sz w:val="16"/>
      <w:szCs w:val="16"/>
    </w:rPr>
  </w:style>
  <w:style w:type="character" w:customStyle="1" w:styleId="BalloonTextChar">
    <w:name w:val="Balloon Text Char"/>
    <w:basedOn w:val="DefaultParagraphFont"/>
    <w:link w:val="BalloonText"/>
    <w:uiPriority w:val="99"/>
    <w:semiHidden/>
    <w:rsid w:val="00A22C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701F"/>
    <w:pPr>
      <w:keepNext/>
      <w:outlineLvl w:val="0"/>
    </w:pPr>
    <w:rPr>
      <w:rFonts w:ascii="Courier New" w:eastAsia="Arial Unicode MS"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01F"/>
    <w:rPr>
      <w:rFonts w:ascii="Courier New" w:eastAsia="Arial Unicode MS" w:hAnsi="Courier New" w:cs="Courier New"/>
      <w:b/>
      <w:bCs/>
      <w:sz w:val="24"/>
      <w:szCs w:val="24"/>
    </w:rPr>
  </w:style>
  <w:style w:type="paragraph" w:styleId="Title">
    <w:name w:val="Title"/>
    <w:basedOn w:val="Normal"/>
    <w:link w:val="TitleChar"/>
    <w:qFormat/>
    <w:rsid w:val="00E8701F"/>
    <w:pPr>
      <w:jc w:val="center"/>
    </w:pPr>
    <w:rPr>
      <w:rFonts w:ascii="Courier New" w:hAnsi="Courier New" w:cs="Courier New"/>
      <w:b/>
      <w:bCs/>
    </w:rPr>
  </w:style>
  <w:style w:type="character" w:customStyle="1" w:styleId="TitleChar">
    <w:name w:val="Title Char"/>
    <w:basedOn w:val="DefaultParagraphFont"/>
    <w:link w:val="Title"/>
    <w:rsid w:val="00E8701F"/>
    <w:rPr>
      <w:rFonts w:ascii="Courier New" w:eastAsia="Times New Roman" w:hAnsi="Courier New" w:cs="Courier New"/>
      <w:b/>
      <w:bCs/>
      <w:sz w:val="24"/>
      <w:szCs w:val="24"/>
    </w:rPr>
  </w:style>
  <w:style w:type="paragraph" w:styleId="BodyTextIndent">
    <w:name w:val="Body Text Indent"/>
    <w:basedOn w:val="Normal"/>
    <w:link w:val="BodyTextIndentChar"/>
    <w:semiHidden/>
    <w:unhideWhenUsed/>
    <w:rsid w:val="00E8701F"/>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semiHidden/>
    <w:rsid w:val="00E8701F"/>
    <w:rPr>
      <w:rFonts w:ascii="Courier New" w:eastAsia="Times New Roman" w:hAnsi="Courier New" w:cs="Courier New"/>
      <w:sz w:val="24"/>
      <w:szCs w:val="24"/>
    </w:rPr>
  </w:style>
  <w:style w:type="character" w:styleId="FootnoteReference">
    <w:name w:val="footnote reference"/>
    <w:semiHidden/>
    <w:rsid w:val="00E8701F"/>
    <w:rPr>
      <w:rFonts w:cs="Times New Roman"/>
      <w:vertAlign w:val="superscript"/>
    </w:rPr>
  </w:style>
  <w:style w:type="paragraph" w:styleId="FootnoteText">
    <w:name w:val="footnote text"/>
    <w:basedOn w:val="Normal"/>
    <w:link w:val="FootnoteTextChar"/>
    <w:uiPriority w:val="99"/>
    <w:semiHidden/>
    <w:unhideWhenUsed/>
    <w:rsid w:val="00E8701F"/>
    <w:rPr>
      <w:sz w:val="20"/>
      <w:szCs w:val="20"/>
    </w:rPr>
  </w:style>
  <w:style w:type="character" w:customStyle="1" w:styleId="FootnoteTextChar">
    <w:name w:val="Footnote Text Char"/>
    <w:basedOn w:val="DefaultParagraphFont"/>
    <w:link w:val="FootnoteText"/>
    <w:uiPriority w:val="99"/>
    <w:semiHidden/>
    <w:rsid w:val="00E8701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36771"/>
    <w:rPr>
      <w:sz w:val="20"/>
      <w:szCs w:val="20"/>
    </w:rPr>
  </w:style>
  <w:style w:type="character" w:customStyle="1" w:styleId="EndnoteTextChar">
    <w:name w:val="Endnote Text Char"/>
    <w:basedOn w:val="DefaultParagraphFont"/>
    <w:link w:val="EndnoteText"/>
    <w:uiPriority w:val="99"/>
    <w:semiHidden/>
    <w:rsid w:val="0093677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36771"/>
    <w:rPr>
      <w:vertAlign w:val="superscript"/>
    </w:rPr>
  </w:style>
  <w:style w:type="paragraph" w:styleId="Header">
    <w:name w:val="header"/>
    <w:basedOn w:val="Normal"/>
    <w:link w:val="HeaderChar"/>
    <w:uiPriority w:val="99"/>
    <w:unhideWhenUsed/>
    <w:rsid w:val="00A22CCD"/>
    <w:pPr>
      <w:tabs>
        <w:tab w:val="center" w:pos="4680"/>
        <w:tab w:val="right" w:pos="9360"/>
      </w:tabs>
    </w:pPr>
  </w:style>
  <w:style w:type="character" w:customStyle="1" w:styleId="HeaderChar">
    <w:name w:val="Header Char"/>
    <w:basedOn w:val="DefaultParagraphFont"/>
    <w:link w:val="Header"/>
    <w:uiPriority w:val="99"/>
    <w:rsid w:val="00A22C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CCD"/>
    <w:pPr>
      <w:tabs>
        <w:tab w:val="center" w:pos="4680"/>
        <w:tab w:val="right" w:pos="9360"/>
      </w:tabs>
    </w:pPr>
  </w:style>
  <w:style w:type="character" w:customStyle="1" w:styleId="FooterChar">
    <w:name w:val="Footer Char"/>
    <w:basedOn w:val="DefaultParagraphFont"/>
    <w:link w:val="Footer"/>
    <w:uiPriority w:val="99"/>
    <w:rsid w:val="00A22C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2CCD"/>
    <w:rPr>
      <w:rFonts w:ascii="Tahoma" w:hAnsi="Tahoma" w:cs="Tahoma"/>
      <w:sz w:val="16"/>
      <w:szCs w:val="16"/>
    </w:rPr>
  </w:style>
  <w:style w:type="character" w:customStyle="1" w:styleId="BalloonTextChar">
    <w:name w:val="Balloon Text Char"/>
    <w:basedOn w:val="DefaultParagraphFont"/>
    <w:link w:val="BalloonText"/>
    <w:uiPriority w:val="99"/>
    <w:semiHidden/>
    <w:rsid w:val="00A22C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A7E2-9F1E-420E-9FAB-4CB92845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2018-10-17T13:49:00Z</cp:lastPrinted>
  <dcterms:created xsi:type="dcterms:W3CDTF">2018-10-17T14:00:00Z</dcterms:created>
  <dcterms:modified xsi:type="dcterms:W3CDTF">2018-10-17T14:00:00Z</dcterms:modified>
</cp:coreProperties>
</file>