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A67163F" w14:textId="77777777" w:rsidR="00950044" w:rsidRDefault="00950044" w:rsidP="00950044">
      <w:pPr>
        <w:pStyle w:val="Heading1"/>
      </w:pPr>
      <w:r>
        <w:t>Attachment APR</w:t>
      </w:r>
    </w:p>
    <w:p w14:paraId="5FCD596F" w14:textId="77777777" w:rsidR="00950044" w:rsidRDefault="00950044" w:rsidP="00950044">
      <w:pPr>
        <w:pStyle w:val="Heading1"/>
      </w:pPr>
    </w:p>
    <w:p w14:paraId="63ECDC8D" w14:textId="77777777" w:rsidR="00950044" w:rsidRDefault="00950044" w:rsidP="00950044">
      <w:pPr>
        <w:pStyle w:val="Heading1"/>
      </w:pPr>
      <w:r>
        <w:t>Delivery System Reform Incentive Payment (DSRIP) Program</w:t>
      </w:r>
    </w:p>
    <w:p w14:paraId="10D5F646" w14:textId="77777777" w:rsidR="00950044" w:rsidRDefault="00950044" w:rsidP="00950044">
      <w:pPr>
        <w:pStyle w:val="Heading1"/>
      </w:pPr>
      <w:r>
        <w:t>Accountable Care Organization (ACO) PY1 Annual Progress Report Response Form</w:t>
      </w:r>
    </w:p>
    <w:p w14:paraId="72D498B6" w14:textId="77777777" w:rsidR="009654D7" w:rsidRPr="009D4FC2" w:rsidRDefault="009654D7" w:rsidP="00371447">
      <w:pPr>
        <w:pStyle w:val="Heading2"/>
        <w:numPr>
          <w:ilvl w:val="0"/>
          <w:numId w:val="0"/>
        </w:numPr>
        <w:ind w:left="360"/>
      </w:pPr>
      <w:r w:rsidRPr="009D4FC2">
        <w:t>General Information</w:t>
      </w:r>
    </w:p>
    <w:tbl>
      <w:tblPr>
        <w:tblStyle w:val="TableGridLight"/>
        <w:tblW w:w="9560" w:type="dxa"/>
        <w:tblLook w:val="04A0" w:firstRow="1" w:lastRow="0" w:firstColumn="1" w:lastColumn="0" w:noHBand="0" w:noVBand="1"/>
      </w:tblPr>
      <w:tblGrid>
        <w:gridCol w:w="3400"/>
        <w:gridCol w:w="6160"/>
      </w:tblGrid>
      <w:tr w:rsidR="009654D7" w:rsidRPr="009D4FC2" w14:paraId="4A475A08" w14:textId="77777777" w:rsidTr="00371447">
        <w:trPr>
          <w:trHeight w:val="375"/>
        </w:trPr>
        <w:tc>
          <w:tcPr>
            <w:tcW w:w="3400" w:type="dxa"/>
            <w:shd w:val="clear" w:color="auto" w:fill="F2F2F1"/>
            <w:hideMark/>
          </w:tcPr>
          <w:p w14:paraId="60F36392" w14:textId="77777777" w:rsidR="009654D7" w:rsidRPr="009D4FC2" w:rsidRDefault="009654D7" w:rsidP="00EA42C3">
            <w:pPr>
              <w:spacing w:after="0"/>
              <w:contextualSpacing/>
              <w:rPr>
                <w:rFonts w:eastAsia="Times New Roman" w:cs="Times New Roman"/>
                <w:b/>
                <w:bCs/>
                <w:color w:val="000000"/>
              </w:rPr>
            </w:pPr>
            <w:r>
              <w:rPr>
                <w:rFonts w:eastAsia="Times New Roman" w:cs="Times New Roman"/>
                <w:b/>
                <w:bCs/>
                <w:color w:val="000000"/>
              </w:rPr>
              <w:t>Full ACO</w:t>
            </w:r>
            <w:r w:rsidRPr="009D4FC2">
              <w:rPr>
                <w:rFonts w:eastAsia="Times New Roman" w:cs="Times New Roman"/>
                <w:b/>
                <w:bCs/>
                <w:color w:val="000000"/>
              </w:rPr>
              <w:t xml:space="preserve"> Name:</w:t>
            </w:r>
          </w:p>
        </w:tc>
        <w:tc>
          <w:tcPr>
            <w:tcW w:w="6160" w:type="dxa"/>
            <w:shd w:val="clear" w:color="auto" w:fill="F2F2F1"/>
            <w:hideMark/>
          </w:tcPr>
          <w:p w14:paraId="743FAFC7" w14:textId="2795EFF9" w:rsidR="009654D7" w:rsidRPr="009D4FC2" w:rsidRDefault="003B33A7" w:rsidP="00EA42C3">
            <w:pPr>
              <w:spacing w:after="0"/>
              <w:contextualSpacing/>
              <w:rPr>
                <w:rFonts w:eastAsia="Times New Roman" w:cs="Times New Roman"/>
                <w:color w:val="000000"/>
              </w:rPr>
            </w:pPr>
            <w:r>
              <w:rPr>
                <w:rFonts w:eastAsia="Times New Roman" w:cs="Times New Roman"/>
                <w:color w:val="000000"/>
              </w:rPr>
              <w:t>Partners HealthCare Choice</w:t>
            </w:r>
          </w:p>
        </w:tc>
      </w:tr>
      <w:tr w:rsidR="009654D7" w:rsidRPr="009D4FC2" w14:paraId="107B53D8" w14:textId="77777777" w:rsidTr="00371447">
        <w:trPr>
          <w:trHeight w:val="375"/>
        </w:trPr>
        <w:tc>
          <w:tcPr>
            <w:tcW w:w="3400" w:type="dxa"/>
            <w:hideMark/>
          </w:tcPr>
          <w:p w14:paraId="2E55BEBF" w14:textId="77777777" w:rsidR="009654D7" w:rsidRPr="009D4FC2" w:rsidRDefault="009654D7" w:rsidP="00EA42C3">
            <w:pPr>
              <w:spacing w:after="0"/>
              <w:contextualSpacing/>
              <w:rPr>
                <w:rFonts w:eastAsia="Times New Roman" w:cs="Times New Roman"/>
                <w:b/>
                <w:bCs/>
                <w:color w:val="000000"/>
              </w:rPr>
            </w:pPr>
            <w:r>
              <w:rPr>
                <w:rFonts w:eastAsia="Times New Roman" w:cs="Times New Roman"/>
                <w:b/>
                <w:bCs/>
                <w:color w:val="000000"/>
              </w:rPr>
              <w:t xml:space="preserve">ACO </w:t>
            </w:r>
            <w:r w:rsidRPr="009D4FC2">
              <w:rPr>
                <w:rFonts w:eastAsia="Times New Roman" w:cs="Times New Roman"/>
                <w:b/>
                <w:bCs/>
                <w:color w:val="000000"/>
              </w:rPr>
              <w:t>Address:</w:t>
            </w:r>
          </w:p>
        </w:tc>
        <w:tc>
          <w:tcPr>
            <w:tcW w:w="6160" w:type="dxa"/>
            <w:hideMark/>
          </w:tcPr>
          <w:p w14:paraId="2A83770F" w14:textId="122EC706" w:rsidR="009654D7" w:rsidRPr="008C3945" w:rsidRDefault="008C3945" w:rsidP="008C3945">
            <w:pPr>
              <w:spacing w:after="0"/>
              <w:rPr>
                <w:rFonts w:eastAsia="Times New Roman" w:cs="Times New Roman"/>
                <w:color w:val="000000"/>
              </w:rPr>
            </w:pPr>
            <w:r>
              <w:rPr>
                <w:rFonts w:eastAsia="Times New Roman" w:cs="Times New Roman"/>
                <w:color w:val="000000"/>
              </w:rPr>
              <w:t xml:space="preserve">399 </w:t>
            </w:r>
            <w:r w:rsidRPr="008C3945">
              <w:rPr>
                <w:rFonts w:eastAsia="Times New Roman" w:cs="Times New Roman"/>
                <w:color w:val="000000"/>
              </w:rPr>
              <w:t>Re</w:t>
            </w:r>
            <w:r w:rsidR="003B33A7" w:rsidRPr="008C3945">
              <w:rPr>
                <w:rFonts w:eastAsia="Times New Roman" w:cs="Times New Roman"/>
                <w:color w:val="000000"/>
              </w:rPr>
              <w:t>volution Drive, Somerville, MA 02145</w:t>
            </w:r>
          </w:p>
        </w:tc>
      </w:tr>
    </w:tbl>
    <w:p w14:paraId="341DA3AB" w14:textId="4903F5BB" w:rsidR="009654D7" w:rsidRPr="009654D7" w:rsidRDefault="009654D7" w:rsidP="00EA42C3">
      <w:pPr>
        <w:contextualSpacing/>
        <w:rPr>
          <w:rFonts w:cs="Times New Roman"/>
        </w:rPr>
      </w:pPr>
    </w:p>
    <w:p w14:paraId="701CA3B2" w14:textId="7F9EE64B" w:rsidR="009654D7" w:rsidRPr="00662194" w:rsidRDefault="00371447" w:rsidP="00371447">
      <w:pPr>
        <w:pStyle w:val="Heading2"/>
        <w:numPr>
          <w:ilvl w:val="0"/>
          <w:numId w:val="0"/>
        </w:numPr>
        <w:ind w:left="360" w:hanging="360"/>
      </w:pPr>
      <w:r w:rsidRPr="00371447">
        <w:rPr>
          <w:color w:val="000000" w:themeColor="text1"/>
        </w:rPr>
        <w:t xml:space="preserve">Part 1. </w:t>
      </w:r>
      <w:r w:rsidR="00595BD4" w:rsidRPr="00662194">
        <w:t xml:space="preserve"> </w:t>
      </w:r>
      <w:r w:rsidR="00D204A7">
        <w:t>PY</w:t>
      </w:r>
      <w:r w:rsidR="008C1D78">
        <w:t>1</w:t>
      </w:r>
      <w:r w:rsidR="00D204A7">
        <w:t xml:space="preserve"> Progress Report Executive Summary</w:t>
      </w:r>
    </w:p>
    <w:p w14:paraId="0BFE4C64" w14:textId="7BFB3E6B" w:rsidR="003B33A7" w:rsidRDefault="00C14C85" w:rsidP="00371447">
      <w:pPr>
        <w:pStyle w:val="Heading2"/>
      </w:pPr>
      <w:r>
        <w:t xml:space="preserve">ACO Goals from </w:t>
      </w:r>
      <w:r w:rsidR="003A582B">
        <w:t xml:space="preserve">its </w:t>
      </w:r>
      <w:r w:rsidR="008C1D78">
        <w:t>Full</w:t>
      </w:r>
      <w:r>
        <w:t xml:space="preserve"> </w:t>
      </w:r>
      <w:r w:rsidR="00461D55">
        <w:t>Participation Plan</w:t>
      </w:r>
    </w:p>
    <w:p w14:paraId="35C5431D" w14:textId="77777777" w:rsidR="00AC2AEA" w:rsidRPr="00AC2AEA" w:rsidRDefault="00AC2AEA" w:rsidP="00AC2AEA"/>
    <w:p w14:paraId="6BAC7E82" w14:textId="77777777" w:rsidR="003B33A7" w:rsidRPr="00687A4B" w:rsidRDefault="003B33A7" w:rsidP="003B33A7">
      <w:pPr>
        <w:pStyle w:val="ListParagraph"/>
        <w:numPr>
          <w:ilvl w:val="0"/>
          <w:numId w:val="24"/>
        </w:numPr>
        <w:rPr>
          <w:rFonts w:cs="Times New Roman"/>
          <w:b/>
          <w:color w:val="000000" w:themeColor="text1"/>
        </w:rPr>
      </w:pPr>
      <w:r w:rsidRPr="00687A4B">
        <w:rPr>
          <w:rFonts w:cs="Times New Roman"/>
          <w:b/>
          <w:color w:val="000000" w:themeColor="text1"/>
        </w:rPr>
        <w:t>Cost and Utilization Management</w:t>
      </w:r>
    </w:p>
    <w:p w14:paraId="537E2C4C" w14:textId="77777777" w:rsidR="003B33A7" w:rsidRPr="00687A4B" w:rsidRDefault="003B33A7" w:rsidP="003B33A7">
      <w:pPr>
        <w:pStyle w:val="ListParagraph"/>
        <w:numPr>
          <w:ilvl w:val="1"/>
          <w:numId w:val="24"/>
        </w:numPr>
        <w:rPr>
          <w:rFonts w:cs="Times New Roman"/>
          <w:color w:val="000000" w:themeColor="text1"/>
        </w:rPr>
      </w:pPr>
      <w:r w:rsidRPr="00687A4B">
        <w:rPr>
          <w:rFonts w:cs="Times New Roman"/>
          <w:color w:val="000000" w:themeColor="text1"/>
        </w:rPr>
        <w:t>Goal #1 (Cost and Utilization Management) Reduce ED visits</w:t>
      </w:r>
    </w:p>
    <w:p w14:paraId="2A764F2E" w14:textId="423F5CDA" w:rsidR="003B33A7" w:rsidRPr="00687A4B" w:rsidRDefault="003B33A7" w:rsidP="003B33A7">
      <w:pPr>
        <w:pStyle w:val="ListParagraph"/>
        <w:numPr>
          <w:ilvl w:val="1"/>
          <w:numId w:val="24"/>
        </w:numPr>
        <w:rPr>
          <w:rFonts w:cs="Times New Roman"/>
          <w:color w:val="000000" w:themeColor="text1"/>
        </w:rPr>
      </w:pPr>
      <w:r w:rsidRPr="00687A4B">
        <w:rPr>
          <w:rFonts w:cs="Times New Roman"/>
          <w:color w:val="000000" w:themeColor="text1"/>
        </w:rPr>
        <w:t xml:space="preserve">Goal #2 (Cost and Utilization </w:t>
      </w:r>
      <w:r w:rsidR="009A3166" w:rsidRPr="00687A4B">
        <w:rPr>
          <w:rFonts w:cs="Times New Roman"/>
          <w:color w:val="000000" w:themeColor="text1"/>
        </w:rPr>
        <w:t>Management)</w:t>
      </w:r>
      <w:r w:rsidRPr="00687A4B">
        <w:rPr>
          <w:rFonts w:cs="Times New Roman"/>
          <w:color w:val="000000" w:themeColor="text1"/>
        </w:rPr>
        <w:t xml:space="preserve"> Reduce IP admits</w:t>
      </w:r>
    </w:p>
    <w:p w14:paraId="17C85CF3" w14:textId="77777777" w:rsidR="003B33A7" w:rsidRPr="00687A4B" w:rsidRDefault="003B33A7" w:rsidP="003B33A7">
      <w:pPr>
        <w:pStyle w:val="ListParagraph"/>
        <w:numPr>
          <w:ilvl w:val="1"/>
          <w:numId w:val="24"/>
        </w:numPr>
        <w:rPr>
          <w:rFonts w:cs="Times New Roman"/>
          <w:color w:val="000000" w:themeColor="text1"/>
        </w:rPr>
      </w:pPr>
      <w:r w:rsidRPr="00687A4B">
        <w:rPr>
          <w:rFonts w:cs="Times New Roman"/>
          <w:color w:val="000000" w:themeColor="text1"/>
        </w:rPr>
        <w:t>Goal #3 (Cost and Utilization Management) Reduce TCOC by greater than 2% from benchmark)</w:t>
      </w:r>
    </w:p>
    <w:p w14:paraId="7CA28375" w14:textId="77777777" w:rsidR="003B33A7" w:rsidRPr="00687A4B" w:rsidRDefault="003B33A7" w:rsidP="003B33A7">
      <w:pPr>
        <w:pStyle w:val="ListParagraph"/>
        <w:numPr>
          <w:ilvl w:val="1"/>
          <w:numId w:val="24"/>
        </w:numPr>
        <w:rPr>
          <w:rFonts w:cs="Times New Roman"/>
          <w:color w:val="000000" w:themeColor="text1"/>
        </w:rPr>
      </w:pPr>
      <w:r w:rsidRPr="00687A4B">
        <w:rPr>
          <w:rFonts w:cs="Times New Roman"/>
          <w:color w:val="000000" w:themeColor="text1"/>
        </w:rPr>
        <w:t xml:space="preserve">Goal #4 (Cost and Utilization Management) Expand </w:t>
      </w:r>
      <w:proofErr w:type="spellStart"/>
      <w:r w:rsidRPr="00687A4B">
        <w:rPr>
          <w:rFonts w:cs="Times New Roman"/>
          <w:color w:val="000000" w:themeColor="text1"/>
        </w:rPr>
        <w:t>iCMP</w:t>
      </w:r>
      <w:proofErr w:type="spellEnd"/>
      <w:r w:rsidRPr="00687A4B">
        <w:rPr>
          <w:rFonts w:cs="Times New Roman"/>
          <w:color w:val="000000" w:themeColor="text1"/>
        </w:rPr>
        <w:t xml:space="preserve"> to enroll appropriate percentage of MassHealth ACO patients, and specifically address the needs of those patients.</w:t>
      </w:r>
    </w:p>
    <w:p w14:paraId="019A0DA7" w14:textId="77777777" w:rsidR="003B33A7" w:rsidRPr="00687A4B" w:rsidRDefault="003B33A7" w:rsidP="003B33A7">
      <w:pPr>
        <w:pStyle w:val="ListParagraph"/>
        <w:ind w:left="1080"/>
        <w:rPr>
          <w:rFonts w:cs="Times New Roman"/>
          <w:color w:val="000000" w:themeColor="text1"/>
        </w:rPr>
      </w:pPr>
    </w:p>
    <w:p w14:paraId="0E0A73BF" w14:textId="77777777" w:rsidR="003B33A7" w:rsidRPr="00687A4B" w:rsidRDefault="003B33A7" w:rsidP="003B33A7">
      <w:pPr>
        <w:pStyle w:val="ListParagraph"/>
        <w:numPr>
          <w:ilvl w:val="0"/>
          <w:numId w:val="24"/>
        </w:numPr>
        <w:rPr>
          <w:rFonts w:cs="Times New Roman"/>
          <w:b/>
          <w:color w:val="000000" w:themeColor="text1"/>
        </w:rPr>
      </w:pPr>
      <w:r w:rsidRPr="00687A4B">
        <w:rPr>
          <w:rFonts w:cs="Times New Roman"/>
          <w:b/>
          <w:color w:val="000000" w:themeColor="text1"/>
        </w:rPr>
        <w:t xml:space="preserve">Integration of Physical Health, BH, LTSS, and Health-Related Social Services </w:t>
      </w:r>
    </w:p>
    <w:p w14:paraId="42072314" w14:textId="77777777" w:rsidR="003B33A7" w:rsidRPr="00687A4B" w:rsidRDefault="003B33A7" w:rsidP="003B33A7">
      <w:pPr>
        <w:pStyle w:val="ListParagraph"/>
        <w:numPr>
          <w:ilvl w:val="1"/>
          <w:numId w:val="24"/>
        </w:numPr>
        <w:rPr>
          <w:rFonts w:cs="Times New Roman"/>
          <w:color w:val="000000" w:themeColor="text1"/>
        </w:rPr>
      </w:pPr>
      <w:r w:rsidRPr="00687A4B">
        <w:rPr>
          <w:rFonts w:cs="Times New Roman"/>
          <w:color w:val="000000" w:themeColor="text1"/>
        </w:rPr>
        <w:t>Goal #5 (Integration) Expand Collaborative Care Program and other necessary resources to serve an appropriate percentage of ACO patients with behavioral health needs.</w:t>
      </w:r>
    </w:p>
    <w:p w14:paraId="26D9A08E" w14:textId="77777777" w:rsidR="003B33A7" w:rsidRPr="00687A4B" w:rsidRDefault="003B33A7" w:rsidP="003B33A7">
      <w:pPr>
        <w:pStyle w:val="ListParagraph"/>
        <w:numPr>
          <w:ilvl w:val="1"/>
          <w:numId w:val="24"/>
        </w:numPr>
        <w:rPr>
          <w:rFonts w:cs="Times New Roman"/>
          <w:color w:val="000000" w:themeColor="text1"/>
        </w:rPr>
      </w:pPr>
      <w:r w:rsidRPr="00687A4B">
        <w:rPr>
          <w:rFonts w:cs="Times New Roman"/>
          <w:color w:val="000000" w:themeColor="text1"/>
        </w:rPr>
        <w:t>Goal #6 (Integration) Expand SUDs Recovery Coach Program and other necessary resources to serve an appropriate percentage of ACO patients with SUDs related needs.</w:t>
      </w:r>
    </w:p>
    <w:p w14:paraId="05F12122" w14:textId="18B712D8" w:rsidR="003B33A7" w:rsidRPr="00687A4B" w:rsidRDefault="003B33A7" w:rsidP="003B33A7">
      <w:pPr>
        <w:pStyle w:val="ListParagraph"/>
        <w:numPr>
          <w:ilvl w:val="1"/>
          <w:numId w:val="24"/>
        </w:numPr>
        <w:rPr>
          <w:rFonts w:cs="Times New Roman"/>
          <w:color w:val="000000" w:themeColor="text1"/>
        </w:rPr>
      </w:pPr>
      <w:r w:rsidRPr="00687A4B">
        <w:rPr>
          <w:rFonts w:cs="Times New Roman"/>
          <w:color w:val="000000" w:themeColor="text1"/>
        </w:rPr>
        <w:t xml:space="preserve">Goal #7 (Integration) Screen ACO patients for </w:t>
      </w:r>
      <w:r w:rsidR="009B4519">
        <w:rPr>
          <w:rFonts w:cs="Times New Roman"/>
          <w:color w:val="000000" w:themeColor="text1"/>
        </w:rPr>
        <w:t>SDOH</w:t>
      </w:r>
      <w:r w:rsidRPr="00687A4B">
        <w:rPr>
          <w:rFonts w:cs="Times New Roman"/>
          <w:color w:val="000000" w:themeColor="text1"/>
        </w:rPr>
        <w:t xml:space="preserve"> needs in outpatient primary care setting</w:t>
      </w:r>
    </w:p>
    <w:p w14:paraId="0E90DC03" w14:textId="46E526BD" w:rsidR="003B33A7" w:rsidRPr="00687A4B" w:rsidRDefault="003B33A7" w:rsidP="003B33A7">
      <w:pPr>
        <w:pStyle w:val="ListParagraph"/>
        <w:numPr>
          <w:ilvl w:val="1"/>
          <w:numId w:val="24"/>
        </w:numPr>
        <w:rPr>
          <w:rFonts w:cs="Times New Roman"/>
          <w:color w:val="000000" w:themeColor="text1"/>
        </w:rPr>
      </w:pPr>
      <w:r w:rsidRPr="00687A4B">
        <w:rPr>
          <w:rFonts w:cs="Times New Roman"/>
          <w:color w:val="000000" w:themeColor="text1"/>
        </w:rPr>
        <w:t xml:space="preserve">Goal #8 (Integration) Increase </w:t>
      </w:r>
      <w:r w:rsidR="009B4519">
        <w:rPr>
          <w:rFonts w:cs="Times New Roman"/>
          <w:color w:val="000000" w:themeColor="text1"/>
        </w:rPr>
        <w:t>SDOH</w:t>
      </w:r>
      <w:r w:rsidRPr="00687A4B">
        <w:rPr>
          <w:rFonts w:cs="Times New Roman"/>
          <w:color w:val="000000" w:themeColor="text1"/>
        </w:rPr>
        <w:t xml:space="preserve"> support capacity for patients screened positive for </w:t>
      </w:r>
      <w:r w:rsidR="009B4519">
        <w:rPr>
          <w:rFonts w:cs="Times New Roman"/>
          <w:color w:val="000000" w:themeColor="text1"/>
        </w:rPr>
        <w:t>SDOH</w:t>
      </w:r>
      <w:r w:rsidRPr="00687A4B">
        <w:rPr>
          <w:rFonts w:cs="Times New Roman"/>
          <w:color w:val="000000" w:themeColor="text1"/>
        </w:rPr>
        <w:t xml:space="preserve"> needs through both internal and </w:t>
      </w:r>
      <w:r w:rsidR="009A3166" w:rsidRPr="00687A4B">
        <w:rPr>
          <w:rFonts w:cs="Times New Roman"/>
          <w:color w:val="000000" w:themeColor="text1"/>
        </w:rPr>
        <w:t>community-based</w:t>
      </w:r>
      <w:r w:rsidRPr="00687A4B">
        <w:rPr>
          <w:rFonts w:cs="Times New Roman"/>
          <w:color w:val="000000" w:themeColor="text1"/>
        </w:rPr>
        <w:t xml:space="preserve"> resources.</w:t>
      </w:r>
    </w:p>
    <w:p w14:paraId="66551D94" w14:textId="77777777" w:rsidR="003B33A7" w:rsidRPr="00687A4B" w:rsidRDefault="003B33A7" w:rsidP="003B33A7">
      <w:pPr>
        <w:pStyle w:val="ListParagraph"/>
        <w:ind w:left="1080"/>
        <w:rPr>
          <w:rFonts w:cs="Times New Roman"/>
          <w:color w:val="000000" w:themeColor="text1"/>
        </w:rPr>
      </w:pPr>
    </w:p>
    <w:p w14:paraId="6A5CA356" w14:textId="77777777" w:rsidR="003B33A7" w:rsidRPr="00687A4B" w:rsidRDefault="003B33A7" w:rsidP="003B33A7">
      <w:pPr>
        <w:pStyle w:val="ListParagraph"/>
        <w:numPr>
          <w:ilvl w:val="0"/>
          <w:numId w:val="24"/>
        </w:numPr>
        <w:rPr>
          <w:rFonts w:cs="Times New Roman"/>
          <w:b/>
          <w:color w:val="000000" w:themeColor="text1"/>
        </w:rPr>
      </w:pPr>
      <w:r w:rsidRPr="00687A4B">
        <w:rPr>
          <w:rFonts w:cs="Times New Roman"/>
          <w:b/>
          <w:color w:val="000000" w:themeColor="text1"/>
        </w:rPr>
        <w:t>Member Engagement</w:t>
      </w:r>
    </w:p>
    <w:p w14:paraId="7EF2FBA5" w14:textId="77777777" w:rsidR="003B33A7" w:rsidRPr="00687A4B" w:rsidRDefault="003B33A7" w:rsidP="003B33A7">
      <w:pPr>
        <w:pStyle w:val="ListParagraph"/>
        <w:numPr>
          <w:ilvl w:val="1"/>
          <w:numId w:val="24"/>
        </w:numPr>
        <w:rPr>
          <w:rFonts w:cs="Times New Roman"/>
          <w:color w:val="000000" w:themeColor="text1"/>
        </w:rPr>
      </w:pPr>
      <w:r w:rsidRPr="00687A4B">
        <w:rPr>
          <w:rFonts w:eastAsia="Times New Roman" w:cs="Times New Roman"/>
          <w:color w:val="000000" w:themeColor="text1"/>
        </w:rPr>
        <w:t>Goal #9 (Engagement) Engage highest-risk, unengaged, homebound and challenging patients, including with mobile primary care where necessary.</w:t>
      </w:r>
    </w:p>
    <w:p w14:paraId="4AACEE3D" w14:textId="77777777" w:rsidR="003B33A7" w:rsidRPr="00687A4B" w:rsidRDefault="003B33A7" w:rsidP="003B33A7">
      <w:pPr>
        <w:pStyle w:val="ListParagraph"/>
        <w:numPr>
          <w:ilvl w:val="1"/>
          <w:numId w:val="24"/>
        </w:numPr>
        <w:rPr>
          <w:rFonts w:cs="Times New Roman"/>
          <w:color w:val="000000" w:themeColor="text1"/>
        </w:rPr>
      </w:pPr>
      <w:r w:rsidRPr="00687A4B">
        <w:rPr>
          <w:rFonts w:cs="Times New Roman"/>
          <w:color w:val="000000" w:themeColor="text1"/>
        </w:rPr>
        <w:t>Goal #10 (Engagement) Engage patients outside of traditional care settings through the use of Community Health Workers and SUDs Recovery Coaches</w:t>
      </w:r>
    </w:p>
    <w:p w14:paraId="673C7964" w14:textId="77777777" w:rsidR="003B33A7" w:rsidRPr="00687A4B" w:rsidRDefault="003B33A7" w:rsidP="003B33A7">
      <w:pPr>
        <w:pStyle w:val="ListParagraph"/>
        <w:numPr>
          <w:ilvl w:val="1"/>
          <w:numId w:val="24"/>
        </w:numPr>
        <w:rPr>
          <w:rFonts w:cs="Times New Roman"/>
          <w:color w:val="000000" w:themeColor="text1"/>
        </w:rPr>
      </w:pPr>
      <w:r w:rsidRPr="00687A4B">
        <w:rPr>
          <w:rFonts w:cs="Times New Roman"/>
          <w:color w:val="000000" w:themeColor="text1"/>
        </w:rPr>
        <w:t>Goal#11 Reach out to patients and provide materials and education in multiple languages and in a culturally appropriate manner.</w:t>
      </w:r>
    </w:p>
    <w:p w14:paraId="1609EC5D" w14:textId="77777777" w:rsidR="003B33A7" w:rsidRPr="00687A4B" w:rsidRDefault="003B33A7" w:rsidP="003B33A7">
      <w:pPr>
        <w:pStyle w:val="ListParagraph"/>
        <w:ind w:left="1800"/>
        <w:rPr>
          <w:rFonts w:cs="Times New Roman"/>
          <w:color w:val="000000" w:themeColor="text1"/>
          <w:highlight w:val="yellow"/>
        </w:rPr>
      </w:pPr>
    </w:p>
    <w:p w14:paraId="15BD6901" w14:textId="77777777" w:rsidR="003B33A7" w:rsidRPr="00687A4B" w:rsidRDefault="003B33A7" w:rsidP="003B33A7">
      <w:pPr>
        <w:pStyle w:val="ListParagraph"/>
        <w:numPr>
          <w:ilvl w:val="0"/>
          <w:numId w:val="24"/>
        </w:numPr>
        <w:rPr>
          <w:rFonts w:cs="Times New Roman"/>
          <w:b/>
          <w:color w:val="000000" w:themeColor="text1"/>
        </w:rPr>
      </w:pPr>
      <w:r w:rsidRPr="00687A4B">
        <w:rPr>
          <w:rFonts w:cs="Times New Roman"/>
          <w:b/>
          <w:color w:val="000000" w:themeColor="text1"/>
        </w:rPr>
        <w:t>Quality</w:t>
      </w:r>
    </w:p>
    <w:p w14:paraId="1E720E34" w14:textId="5DE54FC1" w:rsidR="003B33A7" w:rsidRPr="00687A4B" w:rsidRDefault="003B33A7" w:rsidP="003B33A7">
      <w:pPr>
        <w:pStyle w:val="ListParagraph"/>
        <w:numPr>
          <w:ilvl w:val="1"/>
          <w:numId w:val="24"/>
        </w:numPr>
        <w:rPr>
          <w:rFonts w:cs="Times New Roman"/>
          <w:color w:val="000000" w:themeColor="text1"/>
        </w:rPr>
      </w:pPr>
      <w:r w:rsidRPr="00687A4B">
        <w:rPr>
          <w:rFonts w:cs="Times New Roman"/>
          <w:color w:val="000000" w:themeColor="text1"/>
        </w:rPr>
        <w:lastRenderedPageBreak/>
        <w:t xml:space="preserve">Goal #12 (Quality) achieve benchmark performance on all quality measures, but with particular focus on clinical </w:t>
      </w:r>
      <w:r w:rsidR="009A3166" w:rsidRPr="00687A4B">
        <w:rPr>
          <w:rFonts w:cs="Times New Roman"/>
          <w:color w:val="000000" w:themeColor="text1"/>
        </w:rPr>
        <w:t>improv</w:t>
      </w:r>
      <w:r w:rsidR="001A4437">
        <w:rPr>
          <w:rFonts w:cs="Times New Roman"/>
          <w:color w:val="000000" w:themeColor="text1"/>
        </w:rPr>
        <w:t>e</w:t>
      </w:r>
      <w:r w:rsidR="009A3166">
        <w:rPr>
          <w:rFonts w:cs="Times New Roman"/>
          <w:color w:val="000000" w:themeColor="text1"/>
        </w:rPr>
        <w:t>ment</w:t>
      </w:r>
      <w:r w:rsidR="009A3166" w:rsidRPr="00687A4B">
        <w:rPr>
          <w:rFonts w:cs="Times New Roman"/>
          <w:color w:val="000000" w:themeColor="text1"/>
        </w:rPr>
        <w:t xml:space="preserve"> </w:t>
      </w:r>
      <w:r w:rsidRPr="00687A4B">
        <w:rPr>
          <w:rFonts w:cs="Times New Roman"/>
          <w:color w:val="000000" w:themeColor="text1"/>
        </w:rPr>
        <w:t>on the depression screening measure (#17).</w:t>
      </w:r>
    </w:p>
    <w:p w14:paraId="18979545" w14:textId="77777777" w:rsidR="003B33A7" w:rsidRPr="00687A4B" w:rsidRDefault="003B33A7" w:rsidP="003B33A7">
      <w:pPr>
        <w:pStyle w:val="ListParagraph"/>
        <w:numPr>
          <w:ilvl w:val="0"/>
          <w:numId w:val="24"/>
        </w:numPr>
        <w:rPr>
          <w:rFonts w:cs="Times New Roman"/>
          <w:b/>
          <w:color w:val="000000" w:themeColor="text1"/>
        </w:rPr>
      </w:pPr>
      <w:r w:rsidRPr="00687A4B">
        <w:rPr>
          <w:rFonts w:cs="Times New Roman"/>
          <w:b/>
          <w:color w:val="000000" w:themeColor="text1"/>
        </w:rPr>
        <w:t>Other</w:t>
      </w:r>
    </w:p>
    <w:p w14:paraId="0A462A46" w14:textId="77777777" w:rsidR="003B33A7" w:rsidRPr="00687A4B" w:rsidRDefault="003B33A7" w:rsidP="003B33A7">
      <w:pPr>
        <w:pStyle w:val="ListParagraph"/>
        <w:numPr>
          <w:ilvl w:val="1"/>
          <w:numId w:val="24"/>
        </w:numPr>
        <w:rPr>
          <w:rFonts w:cs="Times New Roman"/>
          <w:color w:val="000000" w:themeColor="text1"/>
        </w:rPr>
      </w:pPr>
      <w:r w:rsidRPr="00687A4B">
        <w:rPr>
          <w:rFonts w:cs="Times New Roman"/>
          <w:color w:val="000000" w:themeColor="text1"/>
        </w:rPr>
        <w:t>Goal #13 (Other) Coordinate and enact program development across Partners Healthcare, and within each member institution.</w:t>
      </w:r>
    </w:p>
    <w:p w14:paraId="40D0675E" w14:textId="77777777" w:rsidR="003B33A7" w:rsidRPr="00687A4B" w:rsidRDefault="003B33A7" w:rsidP="003B33A7">
      <w:pPr>
        <w:pStyle w:val="ListParagraph"/>
        <w:numPr>
          <w:ilvl w:val="1"/>
          <w:numId w:val="24"/>
        </w:numPr>
        <w:rPr>
          <w:rFonts w:cs="Times New Roman"/>
          <w:color w:val="000000" w:themeColor="text1"/>
        </w:rPr>
      </w:pPr>
      <w:r w:rsidRPr="00687A4B">
        <w:rPr>
          <w:rFonts w:cs="Times New Roman"/>
          <w:color w:val="000000" w:themeColor="text1"/>
        </w:rPr>
        <w:t>Goal #14 (Other) Promote system wide IT integration and analytic capabilities to gather relevant information to support care management.</w:t>
      </w:r>
    </w:p>
    <w:p w14:paraId="0B1059DF" w14:textId="77777777" w:rsidR="004C741A" w:rsidRDefault="004C741A" w:rsidP="004C741A"/>
    <w:p w14:paraId="0D547AE9" w14:textId="77777777" w:rsidR="004C741A" w:rsidRPr="004C741A" w:rsidRDefault="004C741A" w:rsidP="004C741A"/>
    <w:p w14:paraId="7CFBE746" w14:textId="07CE2DF7" w:rsidR="009654D7" w:rsidRDefault="00C14C85" w:rsidP="00C14C85">
      <w:pPr>
        <w:pStyle w:val="Heading2"/>
      </w:pPr>
      <w:r>
        <w:t>PY</w:t>
      </w:r>
      <w:r w:rsidR="008C1D78">
        <w:t>1</w:t>
      </w:r>
      <w:r>
        <w:t xml:space="preserve"> Investments </w:t>
      </w:r>
      <w:r w:rsidR="003A582B">
        <w:t>Overview</w:t>
      </w:r>
      <w:r w:rsidR="002C271C">
        <w:t xml:space="preserve"> and Progress </w:t>
      </w:r>
      <w:r w:rsidR="00226D41">
        <w:t>toward</w:t>
      </w:r>
      <w:r w:rsidR="002C271C">
        <w:t xml:space="preserve"> Goals</w:t>
      </w:r>
    </w:p>
    <w:p w14:paraId="0BC61D19" w14:textId="77777777" w:rsidR="00371447" w:rsidRPr="00371447" w:rsidRDefault="00371447" w:rsidP="00371447"/>
    <w:p w14:paraId="66E47631" w14:textId="77777777" w:rsidR="004C741A" w:rsidRDefault="003B33A7" w:rsidP="00C14C85">
      <w:r>
        <w:t xml:space="preserve">Partners is </w:t>
      </w:r>
      <w:r w:rsidR="00EC51A1">
        <w:t xml:space="preserve">excited about the progress the </w:t>
      </w:r>
      <w:r w:rsidR="00D317D9">
        <w:t xml:space="preserve">MassHealth </w:t>
      </w:r>
      <w:r w:rsidR="00EC51A1">
        <w:t xml:space="preserve">ACO has made </w:t>
      </w:r>
      <w:r w:rsidR="00102DCB">
        <w:t>towards</w:t>
      </w:r>
      <w:r w:rsidR="00CF1488">
        <w:t xml:space="preserve"> achieving the</w:t>
      </w:r>
      <w:r w:rsidR="00102DCB">
        <w:t xml:space="preserve"> g</w:t>
      </w:r>
      <w:r w:rsidR="00CF1488">
        <w:t>oals outlined in the Full Participation Plan</w:t>
      </w:r>
      <w:r w:rsidR="00EC51A1">
        <w:t>.  The support and resources that went towards existing Partners Population Health programs allowed the</w:t>
      </w:r>
      <w:r w:rsidR="00FB6D59">
        <w:t>se</w:t>
      </w:r>
      <w:r w:rsidR="00EC51A1">
        <w:t xml:space="preserve"> programs to expand </w:t>
      </w:r>
      <w:r w:rsidR="00FB6D59">
        <w:t>throughout the year</w:t>
      </w:r>
      <w:r w:rsidR="00EC51A1">
        <w:t>.</w:t>
      </w:r>
      <w:r w:rsidR="00FB6D59">
        <w:t xml:space="preserve">  Additionally, the strategic investments </w:t>
      </w:r>
      <w:r w:rsidR="00CF1488">
        <w:t xml:space="preserve">that generated the </w:t>
      </w:r>
      <w:r w:rsidR="00FB6D59">
        <w:t>new Population Health programs and initiatives are already demonstrating success</w:t>
      </w:r>
      <w:r w:rsidR="0064278D">
        <w:t xml:space="preserve"> in some areas</w:t>
      </w:r>
      <w:r w:rsidR="00FB6D59">
        <w:t xml:space="preserve">.  The investments in year one of the program focused on building up the care management teams at local institutions to support the meaningful work that would be necessary to integrate BH, LTSS, and Health-Related social services into </w:t>
      </w:r>
      <w:r w:rsidR="00CF1488">
        <w:t xml:space="preserve">our </w:t>
      </w:r>
      <w:r w:rsidR="00FB6D59">
        <w:t xml:space="preserve">primary care settings.  Although hiring and onboarding </w:t>
      </w:r>
      <w:r w:rsidR="00701786">
        <w:t xml:space="preserve">both central and local resources </w:t>
      </w:r>
      <w:r w:rsidR="00FB6D59">
        <w:t xml:space="preserve">took longer than expected, Partners is </w:t>
      </w:r>
      <w:r w:rsidR="00CF1488">
        <w:t>proud of</w:t>
      </w:r>
      <w:r w:rsidR="00FB6D59">
        <w:t xml:space="preserve"> the progress both teams have made towards achieving the</w:t>
      </w:r>
      <w:r w:rsidR="00701786">
        <w:t xml:space="preserve"> ACO’s</w:t>
      </w:r>
      <w:r w:rsidR="00FB6D59">
        <w:t xml:space="preserve"> goals. The expansion of existing high-risk care management and behavioral health programs in combination with new Population Health initiatives such as the </w:t>
      </w:r>
      <w:proofErr w:type="spellStart"/>
      <w:r w:rsidR="00701786">
        <w:t>i</w:t>
      </w:r>
      <w:r w:rsidR="00FB6D59">
        <w:t>CMP</w:t>
      </w:r>
      <w:proofErr w:type="spellEnd"/>
      <w:r w:rsidR="00FB6D59">
        <w:t xml:space="preserve"> PLUS and </w:t>
      </w:r>
      <w:r w:rsidR="003956E8">
        <w:t xml:space="preserve">the </w:t>
      </w:r>
      <w:r w:rsidR="00FB6D59">
        <w:t xml:space="preserve">ED </w:t>
      </w:r>
      <w:r w:rsidR="00102DCB">
        <w:t>N</w:t>
      </w:r>
      <w:r w:rsidR="00FB6D59">
        <w:t xml:space="preserve">avigator program </w:t>
      </w:r>
      <w:r w:rsidR="003956E8">
        <w:t xml:space="preserve">position the ACO for success in meeting goals related to cost and utilization management, primary care integration, member engagement, quality, and system-wide integration and coordination. </w:t>
      </w:r>
    </w:p>
    <w:p w14:paraId="6597291D" w14:textId="77777777" w:rsidR="0029710B" w:rsidRPr="00C14C85" w:rsidRDefault="0029710B" w:rsidP="00C14C85"/>
    <w:p w14:paraId="73112C47" w14:textId="5CE31D6D" w:rsidR="00C14C85" w:rsidRDefault="00C14C85" w:rsidP="00C14C85">
      <w:pPr>
        <w:pStyle w:val="Heading2"/>
      </w:pPr>
      <w:r>
        <w:t>Success and Challenges of PY</w:t>
      </w:r>
      <w:r w:rsidR="008C1D78">
        <w:t>1</w:t>
      </w:r>
    </w:p>
    <w:p w14:paraId="0FECBAFD" w14:textId="77777777" w:rsidR="00371447" w:rsidRPr="00371447" w:rsidRDefault="00371447" w:rsidP="00371447"/>
    <w:p w14:paraId="74DC8B76" w14:textId="77777777" w:rsidR="0071051E" w:rsidRDefault="00102DCB" w:rsidP="00C14C85">
      <w:r>
        <w:t>The Partners MassHealth ACO overcame many of the challenges associated with implementation and is proud of the progress it has made in accomplishing goals for PY1.</w:t>
      </w:r>
    </w:p>
    <w:p w14:paraId="4BDF2ED2" w14:textId="77777777" w:rsidR="0071051E" w:rsidRDefault="00453C4F" w:rsidP="00C14C85">
      <w:r>
        <w:t>Hiring and onboarding resources was one of the biggest challenges throughout PY1.  Many of the programs</w:t>
      </w:r>
      <w:r w:rsidR="00102DCB">
        <w:t xml:space="preserve"> </w:t>
      </w:r>
      <w:r>
        <w:t xml:space="preserve">such as </w:t>
      </w:r>
      <w:proofErr w:type="spellStart"/>
      <w:r>
        <w:t>iCMP</w:t>
      </w:r>
      <w:proofErr w:type="spellEnd"/>
      <w:r>
        <w:t>, Collaborative Care, and SUDs Recovery Coach, experienced delays in filling the social work</w:t>
      </w:r>
      <w:r w:rsidR="00075447">
        <w:t>er</w:t>
      </w:r>
      <w:r>
        <w:t xml:space="preserve"> and community health worker care management positions.  Additionally, central program management required more resources than initially expected. Despite the delays early on, most of the programs became fully or close to fully staffed by the end of the year. However, we do anticipate hiring to continue into PY2. </w:t>
      </w:r>
    </w:p>
    <w:p w14:paraId="4C13F8FE" w14:textId="77777777" w:rsidR="00B52B9F" w:rsidRDefault="00B52B9F" w:rsidP="00C14C85">
      <w:r>
        <w:t xml:space="preserve">Behavioral Health integration and expansion was somewhat challenging throughout the year.  </w:t>
      </w:r>
      <w:r w:rsidR="00102DCB">
        <w:t xml:space="preserve">The integration of behavioral health treatment into primary care proved difficult with many of our local institutions. </w:t>
      </w:r>
      <w:r>
        <w:t xml:space="preserve">Program enrollment began to slow towards the latter part of the year which </w:t>
      </w:r>
      <w:r w:rsidR="00102DCB">
        <w:t>forced</w:t>
      </w:r>
      <w:r>
        <w:t xml:space="preserve"> central </w:t>
      </w:r>
      <w:r>
        <w:lastRenderedPageBreak/>
        <w:t xml:space="preserve">teams to reevaluate current strategies and techniques.  </w:t>
      </w:r>
      <w:r w:rsidR="00065C1F">
        <w:t xml:space="preserve">Transferring the work that had previously been done in the community into the primary care setting is still a work in progress. The ACO </w:t>
      </w:r>
      <w:r w:rsidR="00102DCB">
        <w:t xml:space="preserve">will </w:t>
      </w:r>
      <w:r w:rsidR="009A3166">
        <w:t xml:space="preserve">be </w:t>
      </w:r>
      <w:r w:rsidR="00102DCB">
        <w:t xml:space="preserve">working on creating </w:t>
      </w:r>
      <w:r w:rsidR="00065C1F">
        <w:t>new recruitment and engagement techniques</w:t>
      </w:r>
      <w:r w:rsidR="00102DCB">
        <w:t xml:space="preserve"> for members in addition to educating both patients and care teams about the importance integrating behavioral health into primary care.</w:t>
      </w:r>
    </w:p>
    <w:p w14:paraId="354405C9" w14:textId="41317C79" w:rsidR="00453C4F" w:rsidRDefault="00453C4F" w:rsidP="00C14C85">
      <w:r>
        <w:t xml:space="preserve">The </w:t>
      </w:r>
      <w:r w:rsidR="00CF1488">
        <w:t xml:space="preserve">challenges in </w:t>
      </w:r>
      <w:r w:rsidR="00316C51">
        <w:t>staffing</w:t>
      </w:r>
      <w:r>
        <w:t xml:space="preserve"> </w:t>
      </w:r>
      <w:r w:rsidR="00B52B9F">
        <w:t xml:space="preserve">and onboarding </w:t>
      </w:r>
      <w:r w:rsidR="00410DBE">
        <w:t xml:space="preserve">care management </w:t>
      </w:r>
      <w:r w:rsidR="00B52B9F">
        <w:t>resources did not prevent program enrollment from increasing. B</w:t>
      </w:r>
      <w:r>
        <w:t xml:space="preserve">oth </w:t>
      </w:r>
      <w:r w:rsidR="00316C51">
        <w:t>Partners</w:t>
      </w:r>
      <w:r>
        <w:t xml:space="preserve"> core and new </w:t>
      </w:r>
      <w:r w:rsidR="00316C51">
        <w:t xml:space="preserve">Population Health </w:t>
      </w:r>
      <w:r>
        <w:t xml:space="preserve">programs demonstrated increased enrollment throughout the </w:t>
      </w:r>
      <w:r w:rsidR="00B52B9F">
        <w:t>first year</w:t>
      </w:r>
      <w:r>
        <w:t>.</w:t>
      </w:r>
      <w:r w:rsidR="00B52B9F">
        <w:t xml:space="preserve">  Member</w:t>
      </w:r>
      <w:r w:rsidR="00316C51">
        <w:t xml:space="preserve"> enrollment in t</w:t>
      </w:r>
      <w:r w:rsidR="00075447">
        <w:t xml:space="preserve">he ACO’s core programs, </w:t>
      </w:r>
      <w:proofErr w:type="spellStart"/>
      <w:r w:rsidR="00075447">
        <w:t>iCMP</w:t>
      </w:r>
      <w:proofErr w:type="spellEnd"/>
      <w:r w:rsidR="00075447">
        <w:t>, Collaborative Care, and SUDs Recovery Coach</w:t>
      </w:r>
      <w:r w:rsidR="00316C51">
        <w:t>,</w:t>
      </w:r>
      <w:r w:rsidR="00075447">
        <w:t xml:space="preserve"> </w:t>
      </w:r>
      <w:r w:rsidR="00410DBE">
        <w:t>grew</w:t>
      </w:r>
      <w:r w:rsidR="000F4547">
        <w:t xml:space="preserve"> </w:t>
      </w:r>
      <w:r w:rsidR="00316C51">
        <w:t>over the course of</w:t>
      </w:r>
      <w:r w:rsidR="000F4547">
        <w:t xml:space="preserve"> the year</w:t>
      </w:r>
      <w:r w:rsidR="00075447">
        <w:t xml:space="preserve">.  </w:t>
      </w:r>
      <w:r w:rsidR="00316C51">
        <w:t>The ACO team was</w:t>
      </w:r>
      <w:r w:rsidR="000F4547">
        <w:t xml:space="preserve"> also pleased with the successful roll out of </w:t>
      </w:r>
      <w:r w:rsidR="00316C51">
        <w:t xml:space="preserve">the </w:t>
      </w:r>
      <w:r w:rsidR="000F4547">
        <w:t xml:space="preserve">new </w:t>
      </w:r>
      <w:r w:rsidR="00316C51">
        <w:t>P</w:t>
      </w:r>
      <w:r w:rsidR="000F4547">
        <w:t xml:space="preserve">opulation </w:t>
      </w:r>
      <w:r w:rsidR="00316C51">
        <w:t>H</w:t>
      </w:r>
      <w:r w:rsidR="000F4547">
        <w:t xml:space="preserve">ealth programs: </w:t>
      </w:r>
      <w:proofErr w:type="spellStart"/>
      <w:r w:rsidR="000F4547">
        <w:t>iCMP</w:t>
      </w:r>
      <w:proofErr w:type="spellEnd"/>
      <w:r w:rsidR="000F4547">
        <w:t xml:space="preserve"> PLUS, ED </w:t>
      </w:r>
      <w:r w:rsidR="00316C51">
        <w:t>N</w:t>
      </w:r>
      <w:r w:rsidR="000F4547">
        <w:t xml:space="preserve">avigator, and Social </w:t>
      </w:r>
      <w:r w:rsidR="00316C51">
        <w:t>D</w:t>
      </w:r>
      <w:r w:rsidR="000F4547">
        <w:t xml:space="preserve">eterminants of </w:t>
      </w:r>
      <w:r w:rsidR="00316C51">
        <w:t>H</w:t>
      </w:r>
      <w:r w:rsidR="000F4547">
        <w:t xml:space="preserve">ealth screening and referral workflows. </w:t>
      </w:r>
    </w:p>
    <w:p w14:paraId="0D9EBDE0" w14:textId="449BE8EF" w:rsidR="0029710B" w:rsidRDefault="009A3166" w:rsidP="00C14C85">
      <w:r>
        <w:t>I</w:t>
      </w:r>
      <w:r w:rsidR="00075447">
        <w:t>mplementation of the Social Determinants of Health</w:t>
      </w:r>
      <w:r w:rsidR="009B4519">
        <w:t xml:space="preserve"> (SDOH)</w:t>
      </w:r>
      <w:r w:rsidR="00075447">
        <w:t xml:space="preserve"> Screening and Referral </w:t>
      </w:r>
      <w:r w:rsidR="00316C51">
        <w:t>process</w:t>
      </w:r>
      <w:r w:rsidR="00075447">
        <w:t xml:space="preserve"> </w:t>
      </w:r>
      <w:r w:rsidR="00316C51">
        <w:t>at the local</w:t>
      </w:r>
      <w:r w:rsidR="00075447">
        <w:t xml:space="preserve"> institutions</w:t>
      </w:r>
      <w:r>
        <w:t xml:space="preserve"> was a major success</w:t>
      </w:r>
      <w:r w:rsidR="00075447">
        <w:t>. This work required a large amount of coordination from central and partnering teams to not only carry out system-wide IT integration, but also engage members</w:t>
      </w:r>
      <w:r w:rsidR="00316C51">
        <w:t xml:space="preserve"> and physicians</w:t>
      </w:r>
      <w:r w:rsidR="00075447">
        <w:t xml:space="preserve"> </w:t>
      </w:r>
      <w:r w:rsidR="004E77A9">
        <w:t xml:space="preserve">around the </w:t>
      </w:r>
      <w:r w:rsidR="00316C51">
        <w:t>benefits of</w:t>
      </w:r>
      <w:r w:rsidR="004E77A9">
        <w:t xml:space="preserve"> </w:t>
      </w:r>
      <w:r w:rsidR="00316C51">
        <w:t xml:space="preserve">integrating </w:t>
      </w:r>
      <w:r w:rsidR="004E77A9">
        <w:t xml:space="preserve">health-related social services into primary care. </w:t>
      </w:r>
      <w:r w:rsidR="00316C51">
        <w:t>Partners is</w:t>
      </w:r>
      <w:r w:rsidR="004E77A9">
        <w:t xml:space="preserve"> excited about the progress in the first year of implementation and will be working towards refining processes and improving care in the coming years. </w:t>
      </w:r>
    </w:p>
    <w:p w14:paraId="1DE6E34A" w14:textId="68228A63" w:rsidR="00C14C85" w:rsidRDefault="00B12851" w:rsidP="00C14C85">
      <w:r>
        <w:t>Partners is</w:t>
      </w:r>
      <w:r w:rsidR="004E77A9">
        <w:t xml:space="preserve"> also excited about the successful implementation of the ED </w:t>
      </w:r>
      <w:r w:rsidR="00683015">
        <w:t>N</w:t>
      </w:r>
      <w:r w:rsidR="004E77A9">
        <w:t xml:space="preserve">avigator pilot program that was </w:t>
      </w:r>
      <w:r w:rsidR="000550E1">
        <w:t>developed</w:t>
      </w:r>
      <w:r w:rsidR="004E77A9">
        <w:t xml:space="preserve"> with the goal of engaging members in non-traditional settings</w:t>
      </w:r>
      <w:r w:rsidR="00683015">
        <w:t xml:space="preserve">, </w:t>
      </w:r>
      <w:r w:rsidR="004E77A9">
        <w:t>connecting them to primary care</w:t>
      </w:r>
      <w:r w:rsidR="00683015">
        <w:t xml:space="preserve">, and addressing </w:t>
      </w:r>
      <w:r w:rsidR="004E77A9">
        <w:t>health-related social needs.  By the end of PY1</w:t>
      </w:r>
      <w:r w:rsidR="00B52B9F">
        <w:t>,</w:t>
      </w:r>
      <w:r w:rsidR="004E77A9">
        <w:t xml:space="preserve"> </w:t>
      </w:r>
      <w:r w:rsidR="00683015">
        <w:t>the program</w:t>
      </w:r>
      <w:r w:rsidR="004E77A9">
        <w:t xml:space="preserve"> had </w:t>
      </w:r>
      <w:r w:rsidR="00683015">
        <w:t>three</w:t>
      </w:r>
      <w:r w:rsidR="004E77A9">
        <w:t xml:space="preserve"> ED navigators working to connect with patients in the ED setting</w:t>
      </w:r>
      <w:r w:rsidR="00683015">
        <w:t xml:space="preserve"> at MGH, BWH, and NSHS</w:t>
      </w:r>
      <w:r w:rsidR="004E77A9">
        <w:t>.  Due to the successful number of encounters and referrals in th</w:t>
      </w:r>
      <w:r w:rsidR="00CE62EF">
        <w:t>e</w:t>
      </w:r>
      <w:r w:rsidR="004E77A9">
        <w:t xml:space="preserve"> first year of the program, </w:t>
      </w:r>
      <w:r w:rsidR="00683015">
        <w:t>Partners will be expanding</w:t>
      </w:r>
      <w:r w:rsidR="004E77A9">
        <w:t xml:space="preserve"> the ED </w:t>
      </w:r>
      <w:r w:rsidR="001A4437">
        <w:t>N</w:t>
      </w:r>
      <w:r w:rsidR="004E77A9">
        <w:t xml:space="preserve">avigator program by doubling the ED </w:t>
      </w:r>
      <w:r w:rsidR="009B4519">
        <w:t>n</w:t>
      </w:r>
      <w:r w:rsidR="004E77A9">
        <w:t xml:space="preserve">avigators </w:t>
      </w:r>
      <w:r w:rsidR="009A3166">
        <w:t>at</w:t>
      </w:r>
      <w:r w:rsidR="004E77A9">
        <w:t xml:space="preserve"> the BWH and MGH locations. </w:t>
      </w:r>
    </w:p>
    <w:p w14:paraId="3DAA481A" w14:textId="77777777" w:rsidR="00C14C85" w:rsidRPr="00C14C85" w:rsidRDefault="00B52B9F" w:rsidP="00C14C85">
      <w:r>
        <w:t xml:space="preserve">The Partners ACO also experienced success with the rollout of the </w:t>
      </w:r>
      <w:proofErr w:type="spellStart"/>
      <w:r w:rsidR="007B5BBC">
        <w:t>iCMP</w:t>
      </w:r>
      <w:proofErr w:type="spellEnd"/>
      <w:r w:rsidR="007B5BBC">
        <w:t xml:space="preserve"> PLUS</w:t>
      </w:r>
      <w:r>
        <w:t xml:space="preserve"> program </w:t>
      </w:r>
      <w:r w:rsidR="009A3166">
        <w:t xml:space="preserve">which was </w:t>
      </w:r>
      <w:r>
        <w:t xml:space="preserve">designed to engage and address the needs of the highest-risk, unengaged, homebound and challenging patients.  The program was extremely close to hitting target enrollment numbers and was able to successfully carryout an evaluation of the program impact to date. </w:t>
      </w:r>
    </w:p>
    <w:p w14:paraId="489CEC74" w14:textId="77777777" w:rsidR="009654D7" w:rsidRPr="009654D7" w:rsidRDefault="009654D7" w:rsidP="00EA42C3">
      <w:pPr>
        <w:contextualSpacing/>
      </w:pPr>
    </w:p>
    <w:p w14:paraId="47280445" w14:textId="77777777" w:rsidR="00E1159A" w:rsidRDefault="00E1159A" w:rsidP="00EA42C3">
      <w:pPr>
        <w:pStyle w:val="Heading2"/>
        <w:numPr>
          <w:ilvl w:val="0"/>
          <w:numId w:val="0"/>
        </w:numPr>
        <w:ind w:left="1890" w:hanging="360"/>
        <w:contextualSpacing/>
      </w:pPr>
    </w:p>
    <w:p w14:paraId="653894A5" w14:textId="77777777" w:rsidR="00E1159A" w:rsidRDefault="00E1159A" w:rsidP="00EA42C3">
      <w:pPr>
        <w:pStyle w:val="Heading2"/>
        <w:numPr>
          <w:ilvl w:val="0"/>
          <w:numId w:val="0"/>
        </w:numPr>
        <w:ind w:left="1890" w:hanging="360"/>
        <w:contextualSpacing/>
      </w:pPr>
    </w:p>
    <w:sectPr w:rsidR="00E1159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347F51"/>
    <w:multiLevelType w:val="hybridMultilevel"/>
    <w:tmpl w:val="0F7A27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704072"/>
    <w:multiLevelType w:val="hybridMultilevel"/>
    <w:tmpl w:val="363C14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43479B"/>
    <w:multiLevelType w:val="hybridMultilevel"/>
    <w:tmpl w:val="940860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5133298"/>
    <w:multiLevelType w:val="hybridMultilevel"/>
    <w:tmpl w:val="8C78792C"/>
    <w:lvl w:ilvl="0" w:tplc="25021002">
      <w:start w:val="1"/>
      <w:numFmt w:val="bullet"/>
      <w:lvlText w:val="-"/>
      <w:lvlJc w:val="left"/>
      <w:pPr>
        <w:ind w:left="1080" w:hanging="360"/>
      </w:pPr>
      <w:rPr>
        <w:rFonts w:ascii="Calibri" w:eastAsiaTheme="minorHAnsi" w:hAnsi="Calibri"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9C55528"/>
    <w:multiLevelType w:val="hybridMultilevel"/>
    <w:tmpl w:val="3A2E5CB0"/>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BA40B1D4">
      <w:start w:val="1"/>
      <w:numFmt w:val="lowerRoman"/>
      <w:lvlText w:val="%3."/>
      <w:lvlJc w:val="right"/>
      <w:pPr>
        <w:ind w:left="2160" w:hanging="180"/>
      </w:pPr>
      <w:rPr>
        <w:b w:val="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7837B98"/>
    <w:multiLevelType w:val="multilevel"/>
    <w:tmpl w:val="D092F37A"/>
    <w:lvl w:ilvl="0">
      <w:start w:val="1"/>
      <w:numFmt w:val="decimal"/>
      <w:suff w:val="space"/>
      <w:lvlText w:val="Part %1."/>
      <w:lvlJc w:val="left"/>
      <w:pPr>
        <w:ind w:left="360" w:hanging="360"/>
      </w:pPr>
      <w:rPr>
        <w:rFonts w:ascii="Times New Roman" w:hAnsi="Times New Roman"/>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Heading2"/>
      <w:suff w:val="space"/>
      <w:lvlText w:val="%1.%2 "/>
      <w:lvlJc w:val="left"/>
      <w:pPr>
        <w:ind w:left="360" w:hanging="360"/>
      </w:pPr>
      <w:rPr>
        <w:rFonts w:hint="default"/>
      </w:rPr>
    </w:lvl>
    <w:lvl w:ilvl="2">
      <w:start w:val="1"/>
      <w:numFmt w:val="decimal"/>
      <w:pStyle w:val="Heading3"/>
      <w:lvlText w:val="%1.%2.%3"/>
      <w:lvlJc w:val="left"/>
      <w:pPr>
        <w:ind w:left="360" w:hanging="360"/>
      </w:pPr>
      <w:rPr>
        <w:rFonts w:hint="default"/>
      </w:rPr>
    </w:lvl>
    <w:lvl w:ilvl="3">
      <w:start w:val="1"/>
      <w:numFmt w:val="decimal"/>
      <w:pStyle w:val="Heading4"/>
      <w:lvlText w:val="%1.%2.%3.%4"/>
      <w:lvlJc w:val="left"/>
      <w:pPr>
        <w:ind w:left="360" w:hanging="360"/>
      </w:pPr>
      <w:rPr>
        <w:rFonts w:hint="default"/>
      </w:rPr>
    </w:lvl>
    <w:lvl w:ilvl="4">
      <w:start w:val="1"/>
      <w:numFmt w:val="lowerLetter"/>
      <w:lvlText w:val="(%5)"/>
      <w:lvlJc w:val="left"/>
      <w:pPr>
        <w:ind w:left="360" w:hanging="360"/>
      </w:pPr>
      <w:rPr>
        <w:rFonts w:hint="default"/>
      </w:rPr>
    </w:lvl>
    <w:lvl w:ilvl="5">
      <w:start w:val="1"/>
      <w:numFmt w:val="lowerRoman"/>
      <w:lvlText w:val="(%6)"/>
      <w:lvlJc w:val="left"/>
      <w:pPr>
        <w:ind w:left="360" w:hanging="360"/>
      </w:pPr>
      <w:rPr>
        <w:rFonts w:hint="default"/>
      </w:rPr>
    </w:lvl>
    <w:lvl w:ilvl="6">
      <w:start w:val="1"/>
      <w:numFmt w:val="decimal"/>
      <w:lvlText w:val="%7."/>
      <w:lvlJc w:val="left"/>
      <w:pPr>
        <w:ind w:left="360" w:hanging="360"/>
      </w:pPr>
      <w:rPr>
        <w:rFonts w:hint="default"/>
      </w:rPr>
    </w:lvl>
    <w:lvl w:ilvl="7">
      <w:start w:val="1"/>
      <w:numFmt w:val="lowerLetter"/>
      <w:lvlText w:val="%8."/>
      <w:lvlJc w:val="left"/>
      <w:pPr>
        <w:ind w:left="360" w:hanging="360"/>
      </w:pPr>
      <w:rPr>
        <w:rFonts w:hint="default"/>
      </w:rPr>
    </w:lvl>
    <w:lvl w:ilvl="8">
      <w:start w:val="1"/>
      <w:numFmt w:val="lowerRoman"/>
      <w:lvlText w:val="%9."/>
      <w:lvlJc w:val="left"/>
      <w:pPr>
        <w:ind w:left="360" w:hanging="360"/>
      </w:pPr>
      <w:rPr>
        <w:rFonts w:hint="default"/>
      </w:rPr>
    </w:lvl>
  </w:abstractNum>
  <w:abstractNum w:abstractNumId="6" w15:restartNumberingAfterBreak="0">
    <w:nsid w:val="2D930FEA"/>
    <w:multiLevelType w:val="multilevel"/>
    <w:tmpl w:val="D3E812DE"/>
    <w:lvl w:ilvl="0">
      <w:start w:val="1"/>
      <w:numFmt w:val="decimal"/>
      <w:lvlText w:val="Section %1.  "/>
      <w:lvlJc w:val="left"/>
      <w:pPr>
        <w:ind w:left="360" w:hanging="360"/>
      </w:pPr>
      <w:rPr>
        <w:b/>
        <w:bCs w:val="0"/>
        <w:i w:val="0"/>
        <w:iCs w:val="0"/>
        <w:caps w:val="0"/>
        <w:smallCaps w:val="0"/>
        <w:strike w:val="0"/>
        <w:dstrike w:val="0"/>
        <w:noProof w:val="0"/>
        <w:vanish w:val="0"/>
        <w:color w:val="244061" w:themeColor="accent1" w:themeShade="8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suff w:val="space"/>
      <w:lvlText w:val="%1.%2"/>
      <w:lvlJc w:val="left"/>
      <w:pPr>
        <w:ind w:left="189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189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31C03CE8"/>
    <w:multiLevelType w:val="hybridMultilevel"/>
    <w:tmpl w:val="304C55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B6E29DF"/>
    <w:multiLevelType w:val="hybridMultilevel"/>
    <w:tmpl w:val="0F0469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D3660E8"/>
    <w:multiLevelType w:val="hybridMultilevel"/>
    <w:tmpl w:val="E1F2B6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4341990"/>
    <w:multiLevelType w:val="hybridMultilevel"/>
    <w:tmpl w:val="BC521F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5002B8C"/>
    <w:multiLevelType w:val="hybridMultilevel"/>
    <w:tmpl w:val="88A0DE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69E2EDA"/>
    <w:multiLevelType w:val="hybridMultilevel"/>
    <w:tmpl w:val="1C343D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9A14693"/>
    <w:multiLevelType w:val="hybridMultilevel"/>
    <w:tmpl w:val="1EE830DE"/>
    <w:lvl w:ilvl="0" w:tplc="B6AA156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1EB3FDD"/>
    <w:multiLevelType w:val="hybridMultilevel"/>
    <w:tmpl w:val="88B297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2895EEE"/>
    <w:multiLevelType w:val="hybridMultilevel"/>
    <w:tmpl w:val="1840AF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F">
      <w:start w:val="1"/>
      <w:numFmt w:val="decimal"/>
      <w:lvlText w:val="%3."/>
      <w:lvlJc w:val="left"/>
      <w:pPr>
        <w:ind w:left="2160" w:hanging="360"/>
      </w:pPr>
      <w:rPr>
        <w:rFont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4F9608E"/>
    <w:multiLevelType w:val="hybridMultilevel"/>
    <w:tmpl w:val="FF702332"/>
    <w:lvl w:ilvl="0" w:tplc="04090015">
      <w:start w:val="1"/>
      <w:numFmt w:val="upperLetter"/>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BA40B1D4">
      <w:start w:val="1"/>
      <w:numFmt w:val="lowerRoman"/>
      <w:lvlText w:val="%3."/>
      <w:lvlJc w:val="right"/>
      <w:pPr>
        <w:ind w:left="2160" w:hanging="180"/>
      </w:pPr>
      <w:rPr>
        <w:b w:val="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57B5E97"/>
    <w:multiLevelType w:val="hybridMultilevel"/>
    <w:tmpl w:val="4B14D2EE"/>
    <w:lvl w:ilvl="0" w:tplc="22B4A8F4">
      <w:start w:val="399"/>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8" w15:restartNumberingAfterBreak="0">
    <w:nsid w:val="6C070F55"/>
    <w:multiLevelType w:val="hybridMultilevel"/>
    <w:tmpl w:val="B052AD2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F0561AB"/>
    <w:multiLevelType w:val="hybridMultilevel"/>
    <w:tmpl w:val="AC14E8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219051D"/>
    <w:multiLevelType w:val="hybridMultilevel"/>
    <w:tmpl w:val="C02E366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76032CC4"/>
    <w:multiLevelType w:val="multilevel"/>
    <w:tmpl w:val="11741516"/>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5"/>
  </w:num>
  <w:num w:numId="2">
    <w:abstractNumId w:val="5"/>
  </w:num>
  <w:num w:numId="3">
    <w:abstractNumId w:val="5"/>
  </w:num>
  <w:num w:numId="4">
    <w:abstractNumId w:val="5"/>
  </w:num>
  <w:num w:numId="5">
    <w:abstractNumId w:val="6"/>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8"/>
  </w:num>
  <w:num w:numId="8">
    <w:abstractNumId w:val="9"/>
  </w:num>
  <w:num w:numId="9">
    <w:abstractNumId w:val="21"/>
  </w:num>
  <w:num w:numId="10">
    <w:abstractNumId w:val="2"/>
  </w:num>
  <w:num w:numId="11">
    <w:abstractNumId w:val="16"/>
  </w:num>
  <w:num w:numId="12">
    <w:abstractNumId w:val="10"/>
  </w:num>
  <w:num w:numId="13">
    <w:abstractNumId w:val="19"/>
  </w:num>
  <w:num w:numId="14">
    <w:abstractNumId w:val="4"/>
  </w:num>
  <w:num w:numId="15">
    <w:abstractNumId w:val="5"/>
  </w:num>
  <w:num w:numId="16">
    <w:abstractNumId w:val="13"/>
    <w:lvlOverride w:ilvl="0">
      <w:startOverride w:val="1"/>
    </w:lvlOverride>
  </w:num>
  <w:num w:numId="17">
    <w:abstractNumId w:val="15"/>
  </w:num>
  <w:num w:numId="18">
    <w:abstractNumId w:val="0"/>
  </w:num>
  <w:num w:numId="19">
    <w:abstractNumId w:val="11"/>
  </w:num>
  <w:num w:numId="20">
    <w:abstractNumId w:val="14"/>
  </w:num>
  <w:num w:numId="21">
    <w:abstractNumId w:val="12"/>
  </w:num>
  <w:num w:numId="22">
    <w:abstractNumId w:val="1"/>
  </w:num>
  <w:num w:numId="23">
    <w:abstractNumId w:val="7"/>
  </w:num>
  <w:num w:numId="24">
    <w:abstractNumId w:val="20"/>
  </w:num>
  <w:num w:numId="25">
    <w:abstractNumId w:val="5"/>
  </w:num>
  <w:num w:numId="26">
    <w:abstractNumId w:val="5"/>
  </w:num>
  <w:num w:numId="27">
    <w:abstractNumId w:val="5"/>
  </w:num>
  <w:num w:numId="28">
    <w:abstractNumId w:val="5"/>
  </w:num>
  <w:num w:numId="29">
    <w:abstractNumId w:val="8"/>
  </w:num>
  <w:num w:numId="30">
    <w:abstractNumId w:val="3"/>
  </w:num>
  <w:num w:numId="31">
    <w:abstractNumId w:val="5"/>
  </w:num>
  <w:num w:numId="3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54D7"/>
    <w:rsid w:val="00024A2D"/>
    <w:rsid w:val="0002722F"/>
    <w:rsid w:val="00033D68"/>
    <w:rsid w:val="00046C02"/>
    <w:rsid w:val="0004751F"/>
    <w:rsid w:val="000550E1"/>
    <w:rsid w:val="00065C1F"/>
    <w:rsid w:val="00070B26"/>
    <w:rsid w:val="00075447"/>
    <w:rsid w:val="000822CF"/>
    <w:rsid w:val="000839C1"/>
    <w:rsid w:val="00087069"/>
    <w:rsid w:val="0009566E"/>
    <w:rsid w:val="000A206D"/>
    <w:rsid w:val="000A4644"/>
    <w:rsid w:val="000B54F1"/>
    <w:rsid w:val="000E3D33"/>
    <w:rsid w:val="000E5F21"/>
    <w:rsid w:val="000E7920"/>
    <w:rsid w:val="000F4547"/>
    <w:rsid w:val="00102DCB"/>
    <w:rsid w:val="00123C96"/>
    <w:rsid w:val="0014258E"/>
    <w:rsid w:val="00147FFD"/>
    <w:rsid w:val="00151EF6"/>
    <w:rsid w:val="0017155A"/>
    <w:rsid w:val="0017400B"/>
    <w:rsid w:val="00174038"/>
    <w:rsid w:val="0018774B"/>
    <w:rsid w:val="00194D12"/>
    <w:rsid w:val="001A4437"/>
    <w:rsid w:val="001B711D"/>
    <w:rsid w:val="001E17C8"/>
    <w:rsid w:val="001E6009"/>
    <w:rsid w:val="001F51C8"/>
    <w:rsid w:val="002055CF"/>
    <w:rsid w:val="00226D41"/>
    <w:rsid w:val="00236255"/>
    <w:rsid w:val="0024144A"/>
    <w:rsid w:val="00245E73"/>
    <w:rsid w:val="00275549"/>
    <w:rsid w:val="00276DFD"/>
    <w:rsid w:val="0029710B"/>
    <w:rsid w:val="0029758C"/>
    <w:rsid w:val="002B7C16"/>
    <w:rsid w:val="002B7E92"/>
    <w:rsid w:val="002C14E3"/>
    <w:rsid w:val="002C271C"/>
    <w:rsid w:val="002C2BB4"/>
    <w:rsid w:val="002D40AB"/>
    <w:rsid w:val="002E39E9"/>
    <w:rsid w:val="0030094E"/>
    <w:rsid w:val="00310344"/>
    <w:rsid w:val="00316C51"/>
    <w:rsid w:val="0032240D"/>
    <w:rsid w:val="003300DF"/>
    <w:rsid w:val="00335DE2"/>
    <w:rsid w:val="00337562"/>
    <w:rsid w:val="00363FD8"/>
    <w:rsid w:val="003649A2"/>
    <w:rsid w:val="00371447"/>
    <w:rsid w:val="00377C4F"/>
    <w:rsid w:val="003956E8"/>
    <w:rsid w:val="003A582B"/>
    <w:rsid w:val="003B33A7"/>
    <w:rsid w:val="003D2D28"/>
    <w:rsid w:val="003D30B1"/>
    <w:rsid w:val="003F0A0A"/>
    <w:rsid w:val="003F23A6"/>
    <w:rsid w:val="00410DBE"/>
    <w:rsid w:val="00431DD1"/>
    <w:rsid w:val="00435D04"/>
    <w:rsid w:val="00436736"/>
    <w:rsid w:val="00446499"/>
    <w:rsid w:val="00453C4F"/>
    <w:rsid w:val="00461D55"/>
    <w:rsid w:val="004657E9"/>
    <w:rsid w:val="004659A7"/>
    <w:rsid w:val="00482B9A"/>
    <w:rsid w:val="004B595B"/>
    <w:rsid w:val="004C741A"/>
    <w:rsid w:val="004E0BA1"/>
    <w:rsid w:val="004E77A9"/>
    <w:rsid w:val="005114A4"/>
    <w:rsid w:val="00512C65"/>
    <w:rsid w:val="00522EEE"/>
    <w:rsid w:val="00532C8B"/>
    <w:rsid w:val="00535ADB"/>
    <w:rsid w:val="00563D1A"/>
    <w:rsid w:val="005807C7"/>
    <w:rsid w:val="00587BFE"/>
    <w:rsid w:val="0059008A"/>
    <w:rsid w:val="00595BD4"/>
    <w:rsid w:val="00597D72"/>
    <w:rsid w:val="005D6ECA"/>
    <w:rsid w:val="005F010E"/>
    <w:rsid w:val="005F240F"/>
    <w:rsid w:val="00614A09"/>
    <w:rsid w:val="00615BBA"/>
    <w:rsid w:val="0061614E"/>
    <w:rsid w:val="0062553A"/>
    <w:rsid w:val="00627ABB"/>
    <w:rsid w:val="0064278D"/>
    <w:rsid w:val="00662194"/>
    <w:rsid w:val="006718E0"/>
    <w:rsid w:val="00676C1C"/>
    <w:rsid w:val="00676D3D"/>
    <w:rsid w:val="00683015"/>
    <w:rsid w:val="00691F3B"/>
    <w:rsid w:val="006A22FE"/>
    <w:rsid w:val="006A2543"/>
    <w:rsid w:val="006B6EC7"/>
    <w:rsid w:val="006D5164"/>
    <w:rsid w:val="006D69F0"/>
    <w:rsid w:val="006D78D7"/>
    <w:rsid w:val="00700139"/>
    <w:rsid w:val="00701786"/>
    <w:rsid w:val="0071051E"/>
    <w:rsid w:val="007157C4"/>
    <w:rsid w:val="00717F23"/>
    <w:rsid w:val="00720F3F"/>
    <w:rsid w:val="007225BB"/>
    <w:rsid w:val="007255B6"/>
    <w:rsid w:val="00727D4C"/>
    <w:rsid w:val="007329E6"/>
    <w:rsid w:val="00742E41"/>
    <w:rsid w:val="00762DCE"/>
    <w:rsid w:val="00766846"/>
    <w:rsid w:val="0077316B"/>
    <w:rsid w:val="00780CCC"/>
    <w:rsid w:val="007923D1"/>
    <w:rsid w:val="007A3C2B"/>
    <w:rsid w:val="007B2797"/>
    <w:rsid w:val="007B5BBC"/>
    <w:rsid w:val="007C2F88"/>
    <w:rsid w:val="007C3771"/>
    <w:rsid w:val="007C38DF"/>
    <w:rsid w:val="007D6D8A"/>
    <w:rsid w:val="00801050"/>
    <w:rsid w:val="00802973"/>
    <w:rsid w:val="00833928"/>
    <w:rsid w:val="00836761"/>
    <w:rsid w:val="00872C88"/>
    <w:rsid w:val="008972B0"/>
    <w:rsid w:val="008B26A1"/>
    <w:rsid w:val="008B63A9"/>
    <w:rsid w:val="008C0A0B"/>
    <w:rsid w:val="008C1D2E"/>
    <w:rsid w:val="008C1D78"/>
    <w:rsid w:val="008C3945"/>
    <w:rsid w:val="008E0999"/>
    <w:rsid w:val="008E1504"/>
    <w:rsid w:val="008E7097"/>
    <w:rsid w:val="0090000A"/>
    <w:rsid w:val="009017F0"/>
    <w:rsid w:val="00907736"/>
    <w:rsid w:val="009101EE"/>
    <w:rsid w:val="009208AC"/>
    <w:rsid w:val="0093211B"/>
    <w:rsid w:val="0094745E"/>
    <w:rsid w:val="00950044"/>
    <w:rsid w:val="009558A7"/>
    <w:rsid w:val="009618AF"/>
    <w:rsid w:val="009654D7"/>
    <w:rsid w:val="009A1FB7"/>
    <w:rsid w:val="009A3166"/>
    <w:rsid w:val="009B4519"/>
    <w:rsid w:val="009B6B9F"/>
    <w:rsid w:val="009C1094"/>
    <w:rsid w:val="009C5AB0"/>
    <w:rsid w:val="009D3717"/>
    <w:rsid w:val="009E233A"/>
    <w:rsid w:val="00A347E9"/>
    <w:rsid w:val="00A415B8"/>
    <w:rsid w:val="00A51E68"/>
    <w:rsid w:val="00A5487D"/>
    <w:rsid w:val="00A905C4"/>
    <w:rsid w:val="00AA23A9"/>
    <w:rsid w:val="00AA3039"/>
    <w:rsid w:val="00AA3F58"/>
    <w:rsid w:val="00AC2AEA"/>
    <w:rsid w:val="00AD330B"/>
    <w:rsid w:val="00AE4065"/>
    <w:rsid w:val="00AF11D9"/>
    <w:rsid w:val="00AF15A3"/>
    <w:rsid w:val="00AF6E47"/>
    <w:rsid w:val="00AF7678"/>
    <w:rsid w:val="00B0586D"/>
    <w:rsid w:val="00B12851"/>
    <w:rsid w:val="00B377AF"/>
    <w:rsid w:val="00B47A3A"/>
    <w:rsid w:val="00B52B9F"/>
    <w:rsid w:val="00B55C05"/>
    <w:rsid w:val="00B6328F"/>
    <w:rsid w:val="00B64FDD"/>
    <w:rsid w:val="00B70116"/>
    <w:rsid w:val="00B731C6"/>
    <w:rsid w:val="00B82C13"/>
    <w:rsid w:val="00B94B3A"/>
    <w:rsid w:val="00BC0125"/>
    <w:rsid w:val="00BD434D"/>
    <w:rsid w:val="00BF050B"/>
    <w:rsid w:val="00BF3316"/>
    <w:rsid w:val="00C0264D"/>
    <w:rsid w:val="00C14C85"/>
    <w:rsid w:val="00C173E0"/>
    <w:rsid w:val="00C4575E"/>
    <w:rsid w:val="00C65B4F"/>
    <w:rsid w:val="00C7469C"/>
    <w:rsid w:val="00C75B3D"/>
    <w:rsid w:val="00C75F19"/>
    <w:rsid w:val="00CC2B4B"/>
    <w:rsid w:val="00CE62EF"/>
    <w:rsid w:val="00CF0966"/>
    <w:rsid w:val="00CF1488"/>
    <w:rsid w:val="00D02A0E"/>
    <w:rsid w:val="00D204A7"/>
    <w:rsid w:val="00D317D9"/>
    <w:rsid w:val="00D371F8"/>
    <w:rsid w:val="00D4010B"/>
    <w:rsid w:val="00D43983"/>
    <w:rsid w:val="00D515F6"/>
    <w:rsid w:val="00D801E2"/>
    <w:rsid w:val="00D94746"/>
    <w:rsid w:val="00DA5A14"/>
    <w:rsid w:val="00DB5E93"/>
    <w:rsid w:val="00DC07C9"/>
    <w:rsid w:val="00DD2A87"/>
    <w:rsid w:val="00DD7D11"/>
    <w:rsid w:val="00DE5734"/>
    <w:rsid w:val="00E1159A"/>
    <w:rsid w:val="00E12516"/>
    <w:rsid w:val="00E158BF"/>
    <w:rsid w:val="00E16780"/>
    <w:rsid w:val="00E3162D"/>
    <w:rsid w:val="00E32528"/>
    <w:rsid w:val="00E36AAF"/>
    <w:rsid w:val="00E40254"/>
    <w:rsid w:val="00E62CAF"/>
    <w:rsid w:val="00E8145A"/>
    <w:rsid w:val="00E85C22"/>
    <w:rsid w:val="00E92E44"/>
    <w:rsid w:val="00EA2516"/>
    <w:rsid w:val="00EA42C3"/>
    <w:rsid w:val="00EB4A8C"/>
    <w:rsid w:val="00EC51A1"/>
    <w:rsid w:val="00EC5403"/>
    <w:rsid w:val="00ED1AC2"/>
    <w:rsid w:val="00ED1CB3"/>
    <w:rsid w:val="00EE1629"/>
    <w:rsid w:val="00EE6BD3"/>
    <w:rsid w:val="00F10FCD"/>
    <w:rsid w:val="00F152BC"/>
    <w:rsid w:val="00F21088"/>
    <w:rsid w:val="00F23B7E"/>
    <w:rsid w:val="00F243A4"/>
    <w:rsid w:val="00F30F3F"/>
    <w:rsid w:val="00F4300A"/>
    <w:rsid w:val="00F5193A"/>
    <w:rsid w:val="00F610FF"/>
    <w:rsid w:val="00F61CCC"/>
    <w:rsid w:val="00F635E2"/>
    <w:rsid w:val="00F72A4A"/>
    <w:rsid w:val="00F7764A"/>
    <w:rsid w:val="00F77678"/>
    <w:rsid w:val="00F778DA"/>
    <w:rsid w:val="00F932A4"/>
    <w:rsid w:val="00FA1553"/>
    <w:rsid w:val="00FA54A4"/>
    <w:rsid w:val="00FB6D59"/>
    <w:rsid w:val="00FF61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D4A68E"/>
  <w15:docId w15:val="{B1BB2158-DF7D-460D-B4F6-C2AC022A30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43A4"/>
    <w:pPr>
      <w:spacing w:after="200"/>
    </w:pPr>
    <w:rPr>
      <w:rFonts w:ascii="Times New Roman" w:hAnsi="Times New Roman"/>
    </w:rPr>
  </w:style>
  <w:style w:type="paragraph" w:styleId="Heading1">
    <w:name w:val="heading 1"/>
    <w:basedOn w:val="Normal"/>
    <w:next w:val="Normal"/>
    <w:link w:val="Heading1Char"/>
    <w:uiPriority w:val="9"/>
    <w:qFormat/>
    <w:rsid w:val="00371447"/>
    <w:pPr>
      <w:spacing w:after="120"/>
      <w:contextualSpacing/>
      <w:jc w:val="center"/>
      <w:outlineLvl w:val="0"/>
    </w:pPr>
    <w:rPr>
      <w:rFonts w:cs="Times New Roman"/>
      <w:b/>
      <w:smallCaps/>
      <w:sz w:val="28"/>
      <w:szCs w:val="28"/>
    </w:rPr>
  </w:style>
  <w:style w:type="paragraph" w:styleId="Heading2">
    <w:name w:val="heading 2"/>
    <w:next w:val="Normal"/>
    <w:link w:val="Heading2Char"/>
    <w:uiPriority w:val="9"/>
    <w:unhideWhenUsed/>
    <w:qFormat/>
    <w:rsid w:val="00371447"/>
    <w:pPr>
      <w:keepNext/>
      <w:keepLines/>
      <w:numPr>
        <w:ilvl w:val="1"/>
        <w:numId w:val="4"/>
      </w:numPr>
      <w:spacing w:before="200"/>
      <w:outlineLvl w:val="1"/>
    </w:pPr>
    <w:rPr>
      <w:rFonts w:asciiTheme="majorHAnsi" w:eastAsiaTheme="majorEastAsia" w:hAnsiTheme="majorHAnsi" w:cstheme="majorBidi"/>
      <w:b/>
      <w:bCs/>
      <w:color w:val="244061" w:themeColor="accent1" w:themeShade="80"/>
      <w:szCs w:val="26"/>
    </w:rPr>
  </w:style>
  <w:style w:type="paragraph" w:styleId="Heading3">
    <w:name w:val="heading 3"/>
    <w:basedOn w:val="Normal"/>
    <w:next w:val="Normal"/>
    <w:link w:val="Heading3Char"/>
    <w:uiPriority w:val="9"/>
    <w:unhideWhenUsed/>
    <w:qFormat/>
    <w:rsid w:val="00BD434D"/>
    <w:pPr>
      <w:keepNext/>
      <w:keepLines/>
      <w:numPr>
        <w:ilvl w:val="2"/>
        <w:numId w:val="4"/>
      </w:numPr>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BD434D"/>
    <w:pPr>
      <w:keepNext/>
      <w:keepLines/>
      <w:numPr>
        <w:ilvl w:val="3"/>
        <w:numId w:val="4"/>
      </w:numPr>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71447"/>
    <w:rPr>
      <w:rFonts w:ascii="Times New Roman" w:hAnsi="Times New Roman" w:cs="Times New Roman"/>
      <w:b/>
      <w:smallCaps/>
      <w:sz w:val="28"/>
      <w:szCs w:val="28"/>
    </w:rPr>
  </w:style>
  <w:style w:type="character" w:customStyle="1" w:styleId="Heading2Char">
    <w:name w:val="Heading 2 Char"/>
    <w:basedOn w:val="DefaultParagraphFont"/>
    <w:link w:val="Heading2"/>
    <w:uiPriority w:val="9"/>
    <w:rsid w:val="00371447"/>
    <w:rPr>
      <w:rFonts w:asciiTheme="majorHAnsi" w:eastAsiaTheme="majorEastAsia" w:hAnsiTheme="majorHAnsi" w:cstheme="majorBidi"/>
      <w:b/>
      <w:bCs/>
      <w:color w:val="244061" w:themeColor="accent1" w:themeShade="80"/>
      <w:szCs w:val="26"/>
    </w:rPr>
  </w:style>
  <w:style w:type="character" w:customStyle="1" w:styleId="Heading3Char">
    <w:name w:val="Heading 3 Char"/>
    <w:basedOn w:val="DefaultParagraphFont"/>
    <w:link w:val="Heading3"/>
    <w:uiPriority w:val="9"/>
    <w:rsid w:val="00BD434D"/>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BD434D"/>
    <w:rPr>
      <w:rFonts w:asciiTheme="majorHAnsi" w:eastAsiaTheme="majorEastAsia" w:hAnsiTheme="majorHAnsi" w:cstheme="majorBidi"/>
      <w:b/>
      <w:bCs/>
      <w:i/>
      <w:iCs/>
      <w:color w:val="4F81BD" w:themeColor="accent1"/>
    </w:rPr>
  </w:style>
  <w:style w:type="paragraph" w:styleId="ListParagraph">
    <w:name w:val="List Paragraph"/>
    <w:aliases w:val="Bullet List,Response Bullets,Bullet Two"/>
    <w:basedOn w:val="Normal"/>
    <w:link w:val="ListParagraphChar"/>
    <w:uiPriority w:val="34"/>
    <w:qFormat/>
    <w:rsid w:val="00BD434D"/>
    <w:pPr>
      <w:ind w:left="720"/>
      <w:contextualSpacing/>
    </w:pPr>
  </w:style>
  <w:style w:type="character" w:customStyle="1" w:styleId="ListParagraphChar">
    <w:name w:val="List Paragraph Char"/>
    <w:aliases w:val="Bullet List Char,Response Bullets Char,Bullet Two Char"/>
    <w:basedOn w:val="DefaultParagraphFont"/>
    <w:link w:val="ListParagraph"/>
    <w:uiPriority w:val="34"/>
    <w:locked/>
    <w:rsid w:val="00BD434D"/>
  </w:style>
  <w:style w:type="paragraph" w:styleId="TOCHeading">
    <w:name w:val="TOC Heading"/>
    <w:basedOn w:val="Heading1"/>
    <w:next w:val="Normal"/>
    <w:uiPriority w:val="39"/>
    <w:semiHidden/>
    <w:unhideWhenUsed/>
    <w:qFormat/>
    <w:rsid w:val="00BD434D"/>
    <w:pPr>
      <w:outlineLvl w:val="9"/>
    </w:pPr>
    <w:rPr>
      <w:color w:val="365F91" w:themeColor="accent1" w:themeShade="BF"/>
      <w:lang w:eastAsia="ja-JP"/>
    </w:rPr>
  </w:style>
  <w:style w:type="character" w:styleId="CommentReference">
    <w:name w:val="annotation reference"/>
    <w:basedOn w:val="DefaultParagraphFont"/>
    <w:uiPriority w:val="99"/>
    <w:semiHidden/>
    <w:unhideWhenUsed/>
    <w:rsid w:val="00766846"/>
    <w:rPr>
      <w:sz w:val="16"/>
      <w:szCs w:val="16"/>
    </w:rPr>
  </w:style>
  <w:style w:type="paragraph" w:styleId="CommentText">
    <w:name w:val="annotation text"/>
    <w:basedOn w:val="Normal"/>
    <w:link w:val="CommentTextChar"/>
    <w:uiPriority w:val="99"/>
    <w:semiHidden/>
    <w:unhideWhenUsed/>
    <w:rsid w:val="00766846"/>
    <w:pPr>
      <w:spacing w:line="240" w:lineRule="auto"/>
    </w:pPr>
    <w:rPr>
      <w:sz w:val="20"/>
      <w:szCs w:val="20"/>
    </w:rPr>
  </w:style>
  <w:style w:type="character" w:customStyle="1" w:styleId="CommentTextChar">
    <w:name w:val="Comment Text Char"/>
    <w:basedOn w:val="DefaultParagraphFont"/>
    <w:link w:val="CommentText"/>
    <w:uiPriority w:val="99"/>
    <w:semiHidden/>
    <w:rsid w:val="00766846"/>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766846"/>
    <w:rPr>
      <w:b/>
      <w:bCs/>
    </w:rPr>
  </w:style>
  <w:style w:type="character" w:customStyle="1" w:styleId="CommentSubjectChar">
    <w:name w:val="Comment Subject Char"/>
    <w:basedOn w:val="CommentTextChar"/>
    <w:link w:val="CommentSubject"/>
    <w:uiPriority w:val="99"/>
    <w:semiHidden/>
    <w:rsid w:val="00766846"/>
    <w:rPr>
      <w:rFonts w:ascii="Times New Roman" w:hAnsi="Times New Roman"/>
      <w:b/>
      <w:bCs/>
      <w:sz w:val="20"/>
      <w:szCs w:val="20"/>
    </w:rPr>
  </w:style>
  <w:style w:type="paragraph" w:styleId="BalloonText">
    <w:name w:val="Balloon Text"/>
    <w:basedOn w:val="Normal"/>
    <w:link w:val="BalloonTextChar"/>
    <w:uiPriority w:val="99"/>
    <w:semiHidden/>
    <w:unhideWhenUsed/>
    <w:rsid w:val="0076684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66846"/>
    <w:rPr>
      <w:rFonts w:ascii="Tahoma" w:hAnsi="Tahoma" w:cs="Tahoma"/>
      <w:sz w:val="16"/>
      <w:szCs w:val="16"/>
    </w:rPr>
  </w:style>
  <w:style w:type="paragraph" w:styleId="Revision">
    <w:name w:val="Revision"/>
    <w:hidden/>
    <w:uiPriority w:val="99"/>
    <w:semiHidden/>
    <w:rsid w:val="00F7764A"/>
    <w:pPr>
      <w:spacing w:line="240" w:lineRule="auto"/>
    </w:pPr>
    <w:rPr>
      <w:rFonts w:ascii="Times New Roman" w:hAnsi="Times New Roman"/>
    </w:rPr>
  </w:style>
  <w:style w:type="paragraph" w:styleId="PlainText">
    <w:name w:val="Plain Text"/>
    <w:basedOn w:val="Normal"/>
    <w:link w:val="PlainTextChar"/>
    <w:uiPriority w:val="99"/>
    <w:unhideWhenUsed/>
    <w:rsid w:val="003649A2"/>
    <w:pPr>
      <w:spacing w:after="0" w:line="240" w:lineRule="auto"/>
    </w:pPr>
    <w:rPr>
      <w:rFonts w:ascii="Calibri" w:hAnsi="Calibri" w:cs="Consolas"/>
      <w:szCs w:val="21"/>
    </w:rPr>
  </w:style>
  <w:style w:type="character" w:customStyle="1" w:styleId="PlainTextChar">
    <w:name w:val="Plain Text Char"/>
    <w:basedOn w:val="DefaultParagraphFont"/>
    <w:link w:val="PlainText"/>
    <w:uiPriority w:val="99"/>
    <w:rsid w:val="003649A2"/>
    <w:rPr>
      <w:rFonts w:ascii="Calibri" w:hAnsi="Calibri" w:cs="Consolas"/>
      <w:szCs w:val="21"/>
    </w:rPr>
  </w:style>
  <w:style w:type="table" w:styleId="TableGridLight">
    <w:name w:val="Grid Table Light"/>
    <w:basedOn w:val="TableNormal"/>
    <w:uiPriority w:val="40"/>
    <w:rsid w:val="00371447"/>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B608EB-C067-4330-9380-40B40A94DC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3</Pages>
  <Words>1058</Words>
  <Characters>6037</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Kristen Hayashi</dc:creator>
  <cp:lastModifiedBy>Lam, Vivian</cp:lastModifiedBy>
  <cp:revision>7</cp:revision>
  <cp:lastPrinted>2019-03-21T21:29:00Z</cp:lastPrinted>
  <dcterms:created xsi:type="dcterms:W3CDTF">2020-11-20T00:58:00Z</dcterms:created>
  <dcterms:modified xsi:type="dcterms:W3CDTF">2020-12-10T19:59:00Z</dcterms:modified>
</cp:coreProperties>
</file>