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81C99" w14:textId="4CDD2EC5" w:rsidR="00B70CBF" w:rsidRDefault="30735274" w:rsidP="2208152C">
      <w:pPr>
        <w:shd w:val="clear" w:color="auto" w:fill="FFFFFF" w:themeFill="background1"/>
        <w:spacing w:after="0" w:line="240" w:lineRule="auto"/>
        <w:jc w:val="center"/>
        <w:rPr>
          <w:rFonts w:ascii="Aptos" w:eastAsia="Aptos" w:hAnsi="Aptos" w:cs="Aptos"/>
          <w:color w:val="000000" w:themeColor="text1"/>
        </w:rPr>
      </w:pPr>
      <w:r w:rsidRPr="2208152C">
        <w:rPr>
          <w:rFonts w:ascii="Aptos" w:eastAsia="Aptos" w:hAnsi="Aptos" w:cs="Aptos"/>
          <w:b/>
          <w:bCs/>
          <w:color w:val="000000" w:themeColor="text1"/>
        </w:rPr>
        <w:t>Massachusetts Department of Public Health</w:t>
      </w:r>
    </w:p>
    <w:p w14:paraId="6356DBA0" w14:textId="640CB2F7" w:rsidR="00B70CBF" w:rsidRDefault="30735274" w:rsidP="5933AFDC">
      <w:pPr>
        <w:spacing w:after="0" w:line="240" w:lineRule="auto"/>
        <w:jc w:val="center"/>
        <w:rPr>
          <w:rFonts w:ascii="Aptos" w:eastAsia="Aptos" w:hAnsi="Aptos" w:cs="Aptos"/>
          <w:color w:val="000000" w:themeColor="text1"/>
        </w:rPr>
      </w:pPr>
      <w:r w:rsidRPr="5933AFDC">
        <w:rPr>
          <w:rFonts w:ascii="Aptos" w:eastAsia="Aptos" w:hAnsi="Aptos" w:cs="Aptos"/>
          <w:b/>
          <w:bCs/>
          <w:color w:val="000000" w:themeColor="text1"/>
        </w:rPr>
        <w:t>Statewide Guidance for Pharmacist</w:t>
      </w:r>
      <w:r w:rsidR="33F3557E" w:rsidRPr="5933AFDC">
        <w:rPr>
          <w:rFonts w:ascii="Aptos" w:eastAsia="Aptos" w:hAnsi="Aptos" w:cs="Aptos"/>
          <w:b/>
          <w:bCs/>
          <w:color w:val="000000" w:themeColor="text1"/>
        </w:rPr>
        <w:t>s</w:t>
      </w:r>
      <w:r w:rsidRPr="5933AFDC">
        <w:rPr>
          <w:rFonts w:ascii="Aptos" w:eastAsia="Aptos" w:hAnsi="Aptos" w:cs="Aptos"/>
          <w:b/>
          <w:bCs/>
          <w:color w:val="000000" w:themeColor="text1"/>
        </w:rPr>
        <w:t xml:space="preserve"> to Prescribe Treatment </w:t>
      </w:r>
    </w:p>
    <w:p w14:paraId="063E3432" w14:textId="510D4AB9" w:rsidR="00B70CBF" w:rsidRDefault="30735274" w:rsidP="2208152C">
      <w:pPr>
        <w:spacing w:after="0" w:line="240" w:lineRule="auto"/>
        <w:jc w:val="center"/>
        <w:rPr>
          <w:rFonts w:ascii="Aptos" w:eastAsia="Aptos" w:hAnsi="Aptos" w:cs="Aptos"/>
          <w:color w:val="000000" w:themeColor="text1"/>
        </w:rPr>
      </w:pPr>
      <w:r w:rsidRPr="2208152C">
        <w:rPr>
          <w:rFonts w:ascii="Aptos" w:eastAsia="Aptos" w:hAnsi="Aptos" w:cs="Aptos"/>
          <w:b/>
          <w:bCs/>
          <w:color w:val="000000" w:themeColor="text1"/>
        </w:rPr>
        <w:t xml:space="preserve">for Certain Sexually Transmitted Infections </w:t>
      </w:r>
    </w:p>
    <w:p w14:paraId="3CC76FC2" w14:textId="2B8D3EA6" w:rsidR="00B70CBF" w:rsidRDefault="00B70CBF" w:rsidP="2208152C">
      <w:pPr>
        <w:spacing w:after="0" w:line="240" w:lineRule="auto"/>
        <w:jc w:val="center"/>
        <w:rPr>
          <w:rFonts w:ascii="Aptos" w:eastAsia="Aptos" w:hAnsi="Aptos" w:cs="Aptos"/>
          <w:color w:val="000000" w:themeColor="text1"/>
        </w:rPr>
      </w:pPr>
    </w:p>
    <w:p w14:paraId="788E6B88" w14:textId="6B5ADD3D" w:rsidR="00B70CBF" w:rsidRDefault="30735274" w:rsidP="2208152C">
      <w:pPr>
        <w:shd w:val="clear" w:color="auto" w:fill="FFFFFF" w:themeFill="background1"/>
        <w:spacing w:after="0" w:line="240" w:lineRule="auto"/>
        <w:rPr>
          <w:rFonts w:ascii="Aptos" w:eastAsia="Aptos" w:hAnsi="Aptos" w:cs="Aptos"/>
          <w:color w:val="0A0A0A"/>
        </w:rPr>
      </w:pPr>
      <w:r w:rsidRPr="2208152C">
        <w:rPr>
          <w:rFonts w:ascii="Aptos" w:eastAsia="Aptos" w:hAnsi="Aptos" w:cs="Aptos"/>
          <w:color w:val="242424"/>
        </w:rPr>
        <w:t xml:space="preserve">Amendments to </w:t>
      </w:r>
      <w:hyperlink r:id="rId7">
        <w:r w:rsidRPr="2208152C">
          <w:rPr>
            <w:rStyle w:val="Hyperlink"/>
            <w:rFonts w:ascii="Aptos" w:eastAsia="Aptos" w:hAnsi="Aptos" w:cs="Aptos"/>
            <w:b/>
            <w:bCs/>
            <w:color w:val="1707F5"/>
          </w:rPr>
          <w:t>M.G.L. c.94C s19F</w:t>
        </w:r>
      </w:hyperlink>
      <w:r w:rsidRPr="2208152C">
        <w:rPr>
          <w:rFonts w:ascii="Aptos" w:eastAsia="Aptos" w:hAnsi="Aptos" w:cs="Aptos"/>
          <w:color w:val="0A12F5"/>
        </w:rPr>
        <w:t xml:space="preserve"> </w:t>
      </w:r>
      <w:r w:rsidRPr="2208152C">
        <w:rPr>
          <w:rFonts w:ascii="Aptos" w:eastAsia="Aptos" w:hAnsi="Aptos" w:cs="Aptos"/>
          <w:color w:val="000000" w:themeColor="text1"/>
        </w:rPr>
        <w:t>allow pharmacists to prescribe treatment for sexually transmitted infections (STIs). The Massachusetts Department of Public Health (DPH) currently recommends treatment for Chlamydia (chlamydial infections) and Gonorrhea (</w:t>
      </w:r>
      <w:r w:rsidRPr="2208152C">
        <w:rPr>
          <w:rFonts w:ascii="Aptos" w:eastAsia="Aptos" w:hAnsi="Aptos" w:cs="Aptos"/>
          <w:color w:val="0A0A0A"/>
        </w:rPr>
        <w:t xml:space="preserve">gonococcal infections) by pharmacists if the following conditions are met:  </w:t>
      </w:r>
    </w:p>
    <w:p w14:paraId="7D9AE365" w14:textId="1D644D2D" w:rsidR="00B70CBF" w:rsidRDefault="00B70CBF" w:rsidP="2208152C">
      <w:pPr>
        <w:shd w:val="clear" w:color="auto" w:fill="FFFFFF" w:themeFill="background1"/>
        <w:spacing w:after="0" w:line="240" w:lineRule="auto"/>
        <w:rPr>
          <w:rFonts w:ascii="Aptos" w:eastAsia="Aptos" w:hAnsi="Aptos" w:cs="Aptos"/>
          <w:color w:val="242424"/>
        </w:rPr>
      </w:pPr>
    </w:p>
    <w:p w14:paraId="70961EA3" w14:textId="4B898094" w:rsidR="00B70CBF" w:rsidRDefault="30735274" w:rsidP="2D31C2AE">
      <w:pPr>
        <w:shd w:val="clear" w:color="auto" w:fill="FFFFFF" w:themeFill="background1"/>
        <w:spacing w:after="0" w:line="240" w:lineRule="auto"/>
        <w:rPr>
          <w:rFonts w:ascii="Aptos" w:eastAsia="Aptos" w:hAnsi="Aptos" w:cs="Aptos"/>
          <w:color w:val="242424"/>
        </w:rPr>
      </w:pPr>
      <w:r w:rsidRPr="2D31C2AE">
        <w:rPr>
          <w:rFonts w:ascii="Aptos" w:eastAsia="Aptos" w:hAnsi="Aptos" w:cs="Aptos"/>
          <w:b/>
          <w:bCs/>
          <w:color w:val="242424"/>
        </w:rPr>
        <w:t>Pharmacists:</w:t>
      </w:r>
    </w:p>
    <w:p w14:paraId="11A3E45D" w14:textId="1A75FEF9" w:rsidR="00B70CBF" w:rsidRDefault="30735274" w:rsidP="755AFB37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Aptos" w:eastAsia="Aptos" w:hAnsi="Aptos" w:cs="Aptos"/>
          <w:color w:val="242424"/>
        </w:rPr>
      </w:pPr>
      <w:r w:rsidRPr="755AFB37">
        <w:rPr>
          <w:rFonts w:ascii="Aptos" w:eastAsia="Aptos" w:hAnsi="Aptos" w:cs="Aptos"/>
          <w:color w:val="242424"/>
        </w:rPr>
        <w:t xml:space="preserve">Have received training in </w:t>
      </w:r>
      <w:r w:rsidR="49D6AAF9" w:rsidRPr="755AFB37">
        <w:rPr>
          <w:rFonts w:ascii="Aptos" w:eastAsia="Aptos" w:hAnsi="Aptos" w:cs="Aptos"/>
          <w:color w:val="242424"/>
        </w:rPr>
        <w:t>accordance with Circular Letter</w:t>
      </w:r>
      <w:r w:rsidR="166473C1" w:rsidRPr="755AFB37">
        <w:rPr>
          <w:rFonts w:ascii="Aptos" w:eastAsia="Aptos" w:hAnsi="Aptos" w:cs="Aptos"/>
          <w:color w:val="242424"/>
        </w:rPr>
        <w:t>:</w:t>
      </w:r>
      <w:r w:rsidR="704C9ACC" w:rsidRPr="755AFB37">
        <w:rPr>
          <w:rFonts w:ascii="Aptos" w:eastAsia="Aptos" w:hAnsi="Aptos" w:cs="Aptos"/>
          <w:color w:val="242424"/>
        </w:rPr>
        <w:t xml:space="preserve"> </w:t>
      </w:r>
      <w:r w:rsidR="704C9ACC" w:rsidRPr="755AFB37">
        <w:rPr>
          <w:color w:val="000000" w:themeColor="text1"/>
        </w:rPr>
        <w:t>DCP 26-08-125</w:t>
      </w:r>
      <w:r w:rsidR="40984357" w:rsidRPr="755AFB37">
        <w:rPr>
          <w:color w:val="000000" w:themeColor="text1"/>
        </w:rPr>
        <w:t xml:space="preserve"> </w:t>
      </w:r>
      <w:r w:rsidR="49D6AAF9" w:rsidRPr="755AFB37">
        <w:rPr>
          <w:rFonts w:ascii="Aptos" w:eastAsia="Aptos" w:hAnsi="Aptos" w:cs="Aptos"/>
          <w:i/>
          <w:iCs/>
          <w:color w:val="242424"/>
        </w:rPr>
        <w:t>Pharmacist prescribing of certain contraceptives and medications for the prevention of human immunodeficiency virus (HIV) and prevention and treatment of sexually transmitted infections (STI)</w:t>
      </w:r>
      <w:r w:rsidRPr="755AFB37">
        <w:rPr>
          <w:rFonts w:ascii="Aptos" w:eastAsia="Aptos" w:hAnsi="Aptos" w:cs="Aptos"/>
          <w:color w:val="242424"/>
        </w:rPr>
        <w:t>.</w:t>
      </w:r>
    </w:p>
    <w:p w14:paraId="171200DD" w14:textId="7522E214" w:rsidR="00B70CBF" w:rsidRDefault="30735274" w:rsidP="711078FA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Aptos" w:eastAsia="Aptos" w:hAnsi="Aptos" w:cs="Aptos"/>
          <w:color w:val="0070C0"/>
        </w:rPr>
      </w:pPr>
      <w:r w:rsidRPr="711078FA">
        <w:rPr>
          <w:rFonts w:ascii="Aptos" w:eastAsia="Aptos" w:hAnsi="Aptos" w:cs="Aptos"/>
          <w:color w:val="242424"/>
        </w:rPr>
        <w:t xml:space="preserve">Prescribe treatment for chlamydia or gonorrhea according </w:t>
      </w:r>
      <w:r w:rsidRPr="711078FA">
        <w:rPr>
          <w:rFonts w:ascii="Aptos" w:eastAsia="Aptos" w:hAnsi="Aptos" w:cs="Aptos"/>
          <w:color w:val="000000" w:themeColor="text1"/>
        </w:rPr>
        <w:t>to</w:t>
      </w:r>
      <w:r w:rsidRPr="711078FA">
        <w:rPr>
          <w:rFonts w:ascii="Aptos" w:eastAsia="Aptos" w:hAnsi="Aptos" w:cs="Aptos"/>
          <w:b/>
          <w:bCs/>
          <w:color w:val="0432FF"/>
        </w:rPr>
        <w:t xml:space="preserve"> </w:t>
      </w:r>
      <w:hyperlink r:id="rId8" w:anchor="std-treatment-guidelines-">
        <w:r w:rsidRPr="711078FA">
          <w:rPr>
            <w:rStyle w:val="Hyperlink"/>
            <w:rFonts w:ascii="Aptos" w:eastAsia="Aptos" w:hAnsi="Aptos" w:cs="Aptos"/>
            <w:b/>
            <w:bCs/>
            <w:color w:val="1707F5"/>
          </w:rPr>
          <w:t>Massachusetts Department of Public Health Treatment Guidelines</w:t>
        </w:r>
      </w:hyperlink>
      <w:r w:rsidRPr="711078FA">
        <w:rPr>
          <w:rFonts w:ascii="Aptos" w:eastAsia="Aptos" w:hAnsi="Aptos" w:cs="Aptos"/>
          <w:color w:val="1707F5"/>
        </w:rPr>
        <w:t xml:space="preserve"> </w:t>
      </w:r>
      <w:r w:rsidRPr="711078FA">
        <w:rPr>
          <w:rFonts w:ascii="Aptos" w:eastAsia="Aptos" w:hAnsi="Aptos" w:cs="Aptos"/>
          <w:color w:val="0070C0"/>
        </w:rPr>
        <w:t>.</w:t>
      </w:r>
    </w:p>
    <w:p w14:paraId="05519A3A" w14:textId="50759031" w:rsidR="00B70CBF" w:rsidRDefault="30735274" w:rsidP="2208152C">
      <w:pPr>
        <w:pStyle w:val="ListParagraph"/>
        <w:numPr>
          <w:ilvl w:val="1"/>
          <w:numId w:val="4"/>
        </w:numPr>
        <w:shd w:val="clear" w:color="auto" w:fill="FFFFFF" w:themeFill="background1"/>
        <w:spacing w:after="0" w:line="240" w:lineRule="auto"/>
        <w:contextualSpacing w:val="0"/>
        <w:rPr>
          <w:rFonts w:ascii="Aptos" w:eastAsia="Aptos" w:hAnsi="Aptos" w:cs="Aptos"/>
          <w:color w:val="242424"/>
        </w:rPr>
      </w:pPr>
      <w:r w:rsidRPr="5933AFDC">
        <w:rPr>
          <w:rFonts w:ascii="Aptos" w:eastAsia="Aptos" w:hAnsi="Aptos" w:cs="Aptos"/>
          <w:color w:val="242424"/>
        </w:rPr>
        <w:t>Alternative regimens can only be prescribed if recommended regimens are contraindicated.</w:t>
      </w:r>
    </w:p>
    <w:p w14:paraId="5AF49342" w14:textId="6EF86D89" w:rsidR="00B70CBF" w:rsidRDefault="30735274" w:rsidP="1643F501">
      <w:pPr>
        <w:pStyle w:val="ListParagraph"/>
        <w:numPr>
          <w:ilvl w:val="0"/>
          <w:numId w:val="4"/>
        </w:numPr>
        <w:shd w:val="clear" w:color="auto" w:fill="FFFFFF" w:themeFill="background1"/>
        <w:spacing w:after="0" w:line="240" w:lineRule="auto"/>
        <w:contextualSpacing w:val="0"/>
        <w:rPr>
          <w:rFonts w:ascii="Aptos" w:eastAsia="Aptos" w:hAnsi="Aptos" w:cs="Aptos"/>
          <w:color w:val="242424"/>
        </w:rPr>
      </w:pPr>
      <w:r w:rsidRPr="1643F501">
        <w:rPr>
          <w:rFonts w:ascii="Aptos" w:eastAsia="Aptos" w:hAnsi="Aptos" w:cs="Aptos"/>
          <w:color w:val="242424"/>
        </w:rPr>
        <w:t>Provide information about</w:t>
      </w:r>
      <w:r w:rsidRPr="1643F501">
        <w:rPr>
          <w:rFonts w:ascii="Aptos" w:eastAsia="Aptos" w:hAnsi="Aptos" w:cs="Aptos"/>
          <w:color w:val="1707F5"/>
        </w:rPr>
        <w:t xml:space="preserve"> </w:t>
      </w:r>
      <w:hyperlink r:id="rId9">
        <w:r w:rsidRPr="1643F501">
          <w:rPr>
            <w:rStyle w:val="Hyperlink"/>
            <w:rFonts w:ascii="Aptos" w:eastAsia="Aptos" w:hAnsi="Aptos" w:cs="Aptos"/>
            <w:b/>
            <w:bCs/>
            <w:color w:val="1707F5"/>
          </w:rPr>
          <w:t>Massachusetts Integrated Testing and Linkage Services sites</w:t>
        </w:r>
      </w:hyperlink>
      <w:r w:rsidRPr="1643F501">
        <w:rPr>
          <w:rFonts w:ascii="Aptos" w:eastAsia="Aptos" w:hAnsi="Aptos" w:cs="Aptos"/>
          <w:b/>
          <w:bCs/>
          <w:color w:val="1707F5"/>
        </w:rPr>
        <w:t xml:space="preserve"> </w:t>
      </w:r>
      <w:r w:rsidRPr="1643F501">
        <w:rPr>
          <w:rFonts w:ascii="Aptos" w:eastAsia="Aptos" w:hAnsi="Aptos" w:cs="Aptos"/>
          <w:b/>
          <w:bCs/>
          <w:color w:val="242424"/>
        </w:rPr>
        <w:t xml:space="preserve">or </w:t>
      </w:r>
      <w:hyperlink r:id="rId10">
        <w:r w:rsidRPr="1643F501">
          <w:rPr>
            <w:rStyle w:val="Hyperlink"/>
            <w:rFonts w:ascii="Aptos" w:eastAsia="Aptos" w:hAnsi="Aptos" w:cs="Aptos"/>
            <w:b/>
            <w:bCs/>
            <w:color w:val="1707F5"/>
          </w:rPr>
          <w:t>Sexual and Reproductive Health Services locations</w:t>
        </w:r>
      </w:hyperlink>
      <w:r w:rsidRPr="1643F501">
        <w:rPr>
          <w:rFonts w:ascii="Aptos" w:eastAsia="Aptos" w:hAnsi="Aptos" w:cs="Aptos"/>
          <w:b/>
          <w:bCs/>
          <w:color w:val="1707F5"/>
        </w:rPr>
        <w:t xml:space="preserve"> </w:t>
      </w:r>
      <w:r w:rsidRPr="1643F501">
        <w:rPr>
          <w:rFonts w:ascii="Aptos" w:eastAsia="Aptos" w:hAnsi="Aptos" w:cs="Aptos"/>
          <w:color w:val="242424"/>
        </w:rPr>
        <w:t>for additional questions, follow-up testing, follow-up care and care of sex partners.</w:t>
      </w:r>
    </w:p>
    <w:p w14:paraId="6AA0FC17" w14:textId="44F76947" w:rsidR="06BC06F7" w:rsidRDefault="06BC06F7" w:rsidP="1643F501">
      <w:pPr>
        <w:pStyle w:val="ListParagraph"/>
        <w:numPr>
          <w:ilvl w:val="0"/>
          <w:numId w:val="4"/>
        </w:numPr>
        <w:shd w:val="clear" w:color="auto" w:fill="FFFFFF" w:themeFill="background1"/>
        <w:spacing w:after="0" w:line="240" w:lineRule="auto"/>
        <w:contextualSpacing w:val="0"/>
      </w:pPr>
      <w:r w:rsidRPr="1643F501">
        <w:t xml:space="preserve">Ask patient if they have a primary care </w:t>
      </w:r>
      <w:bookmarkStart w:id="0" w:name="_Int_ZQRjz6N3"/>
      <w:proofErr w:type="gramStart"/>
      <w:r w:rsidRPr="1643F501">
        <w:t>provider</w:t>
      </w:r>
      <w:bookmarkEnd w:id="0"/>
      <w:proofErr w:type="gramEnd"/>
      <w:r w:rsidRPr="1643F501">
        <w:t xml:space="preserve"> they would like to have notified. If yes, obtain verbal consent before notification.</w:t>
      </w:r>
    </w:p>
    <w:p w14:paraId="18DFA7F0" w14:textId="605D396A" w:rsidR="00B70CBF" w:rsidRDefault="30735274" w:rsidP="1643F501">
      <w:pPr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Aptos" w:eastAsia="Aptos" w:hAnsi="Aptos" w:cs="Aptos"/>
          <w:color w:val="000000" w:themeColor="text1"/>
        </w:rPr>
      </w:pPr>
      <w:r w:rsidRPr="1643F501">
        <w:rPr>
          <w:rFonts w:ascii="Aptos" w:eastAsia="Aptos" w:hAnsi="Aptos" w:cs="Aptos"/>
          <w:color w:val="000000" w:themeColor="text1"/>
        </w:rPr>
        <w:t xml:space="preserve">If the patient does not have a primary care provider, provide a list of primary care providers in the surrounding geographic area.  </w:t>
      </w:r>
    </w:p>
    <w:p w14:paraId="71A73E3D" w14:textId="41752122" w:rsidR="00B70CBF" w:rsidRDefault="00B70CBF" w:rsidP="2208152C">
      <w:pPr>
        <w:shd w:val="clear" w:color="auto" w:fill="FFFFFF" w:themeFill="background1"/>
        <w:spacing w:after="0" w:line="240" w:lineRule="auto"/>
        <w:rPr>
          <w:rFonts w:ascii="Aptos" w:eastAsia="Aptos" w:hAnsi="Aptos" w:cs="Aptos"/>
          <w:color w:val="242424"/>
        </w:rPr>
      </w:pPr>
    </w:p>
    <w:p w14:paraId="27ABB7E2" w14:textId="4FC50742" w:rsidR="00B70CBF" w:rsidRDefault="30735274" w:rsidP="2D31C2AE">
      <w:pPr>
        <w:shd w:val="clear" w:color="auto" w:fill="FFFFFF" w:themeFill="background1"/>
        <w:spacing w:after="0" w:line="240" w:lineRule="auto"/>
        <w:rPr>
          <w:rFonts w:ascii="Aptos" w:eastAsia="Aptos" w:hAnsi="Aptos" w:cs="Aptos"/>
          <w:color w:val="242424"/>
        </w:rPr>
      </w:pPr>
      <w:r w:rsidRPr="2D31C2AE">
        <w:rPr>
          <w:rFonts w:ascii="Aptos" w:eastAsia="Aptos" w:hAnsi="Aptos" w:cs="Aptos"/>
          <w:b/>
          <w:bCs/>
          <w:color w:val="242424"/>
        </w:rPr>
        <w:t>Patients:</w:t>
      </w:r>
    </w:p>
    <w:p w14:paraId="12558F13" w14:textId="36AA242C" w:rsidR="00B70CBF" w:rsidRDefault="30735274" w:rsidP="2208152C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contextualSpacing w:val="0"/>
        <w:rPr>
          <w:rFonts w:ascii="Aptos" w:eastAsia="Aptos" w:hAnsi="Aptos" w:cs="Aptos"/>
          <w:color w:val="242424"/>
        </w:rPr>
      </w:pPr>
      <w:r w:rsidRPr="2208152C">
        <w:rPr>
          <w:rFonts w:ascii="Aptos" w:eastAsia="Aptos" w:hAnsi="Aptos" w:cs="Aptos"/>
          <w:color w:val="242424"/>
        </w:rPr>
        <w:t xml:space="preserve">Provide result/evidence </w:t>
      </w:r>
      <w:proofErr w:type="gramStart"/>
      <w:r w:rsidRPr="2208152C">
        <w:rPr>
          <w:rFonts w:ascii="Aptos" w:eastAsia="Aptos" w:hAnsi="Aptos" w:cs="Aptos"/>
          <w:color w:val="242424"/>
        </w:rPr>
        <w:t>of</w:t>
      </w:r>
      <w:proofErr w:type="gramEnd"/>
      <w:r w:rsidRPr="2208152C">
        <w:rPr>
          <w:rFonts w:ascii="Aptos" w:eastAsia="Aptos" w:hAnsi="Aptos" w:cs="Aptos"/>
          <w:color w:val="242424"/>
        </w:rPr>
        <w:t xml:space="preserve"> a laboratory test within the past week showing direct detection of chlamydia or gonorrhea. </w:t>
      </w:r>
    </w:p>
    <w:p w14:paraId="6ACF72AC" w14:textId="1E10913F" w:rsidR="00B70CBF" w:rsidRDefault="30735274" w:rsidP="5933AFDC">
      <w:pPr>
        <w:pStyle w:val="ListParagraph"/>
        <w:numPr>
          <w:ilvl w:val="1"/>
          <w:numId w:val="1"/>
        </w:numPr>
        <w:shd w:val="clear" w:color="auto" w:fill="FFFFFF" w:themeFill="background1"/>
        <w:spacing w:after="0" w:line="240" w:lineRule="auto"/>
        <w:contextualSpacing w:val="0"/>
        <w:rPr>
          <w:rFonts w:ascii="Aptos" w:eastAsia="Aptos" w:hAnsi="Aptos" w:cs="Aptos"/>
          <w:color w:val="242424"/>
        </w:rPr>
      </w:pPr>
      <w:r w:rsidRPr="5933AFDC">
        <w:rPr>
          <w:rFonts w:ascii="Aptos" w:eastAsia="Aptos" w:hAnsi="Aptos" w:cs="Aptos"/>
          <w:color w:val="242424"/>
        </w:rPr>
        <w:t>Note</w:t>
      </w:r>
      <w:r w:rsidR="5A1658B0" w:rsidRPr="5933AFDC">
        <w:rPr>
          <w:rFonts w:ascii="Aptos" w:eastAsia="Aptos" w:hAnsi="Aptos" w:cs="Aptos"/>
          <w:color w:val="242424"/>
        </w:rPr>
        <w:t>:</w:t>
      </w:r>
      <w:r w:rsidRPr="5933AFDC">
        <w:rPr>
          <w:rFonts w:ascii="Aptos" w:eastAsia="Aptos" w:hAnsi="Aptos" w:cs="Aptos"/>
          <w:color w:val="242424"/>
        </w:rPr>
        <w:t xml:space="preserve"> Serologic (antibody) testing for an STI is </w:t>
      </w:r>
      <w:r w:rsidRPr="5933AFDC">
        <w:rPr>
          <w:rFonts w:ascii="Aptos" w:eastAsia="Aptos" w:hAnsi="Aptos" w:cs="Aptos"/>
          <w:color w:val="242424"/>
          <w:u w:val="single"/>
        </w:rPr>
        <w:t>not</w:t>
      </w:r>
      <w:r w:rsidRPr="5933AFDC">
        <w:rPr>
          <w:rFonts w:ascii="Aptos" w:eastAsia="Aptos" w:hAnsi="Aptos" w:cs="Aptos"/>
          <w:color w:val="242424"/>
        </w:rPr>
        <w:t xml:space="preserve"> sufficient to support current infection meriting treatment by a pharmacist.</w:t>
      </w:r>
    </w:p>
    <w:p w14:paraId="72F19D17" w14:textId="1A0B6422" w:rsidR="00B70CBF" w:rsidRDefault="30735274" w:rsidP="2208152C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contextualSpacing w:val="0"/>
        <w:rPr>
          <w:rFonts w:ascii="Aptos" w:eastAsia="Aptos" w:hAnsi="Aptos" w:cs="Aptos"/>
          <w:color w:val="242424"/>
        </w:rPr>
      </w:pPr>
      <w:r w:rsidRPr="2208152C">
        <w:rPr>
          <w:rFonts w:ascii="Aptos" w:eastAsia="Aptos" w:hAnsi="Aptos" w:cs="Aptos"/>
          <w:color w:val="242424"/>
        </w:rPr>
        <w:t>Provide result/evidence of a negative pregnancy test within the past week (for individuals capable of pregnancy).</w:t>
      </w:r>
    </w:p>
    <w:p w14:paraId="11050936" w14:textId="64151859" w:rsidR="00B70CBF" w:rsidRDefault="30735274" w:rsidP="5933AFDC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contextualSpacing w:val="0"/>
        <w:rPr>
          <w:rFonts w:ascii="Aptos" w:eastAsia="Aptos" w:hAnsi="Aptos" w:cs="Aptos"/>
          <w:color w:val="242424"/>
        </w:rPr>
      </w:pPr>
      <w:r w:rsidRPr="5933AFDC">
        <w:rPr>
          <w:rFonts w:ascii="Aptos" w:eastAsia="Aptos" w:hAnsi="Aptos" w:cs="Aptos"/>
          <w:color w:val="242424"/>
        </w:rPr>
        <w:t xml:space="preserve">Sign </w:t>
      </w:r>
      <w:proofErr w:type="gramStart"/>
      <w:r w:rsidRPr="5933AFDC">
        <w:rPr>
          <w:rFonts w:ascii="Aptos" w:eastAsia="Aptos" w:hAnsi="Aptos" w:cs="Aptos"/>
          <w:color w:val="242424"/>
        </w:rPr>
        <w:t>waiver</w:t>
      </w:r>
      <w:proofErr w:type="gramEnd"/>
      <w:r w:rsidRPr="5933AFDC">
        <w:rPr>
          <w:rFonts w:ascii="Aptos" w:eastAsia="Aptos" w:hAnsi="Aptos" w:cs="Aptos"/>
          <w:color w:val="242424"/>
        </w:rPr>
        <w:t xml:space="preserve"> indicating </w:t>
      </w:r>
      <w:proofErr w:type="gramStart"/>
      <w:r w:rsidRPr="5933AFDC">
        <w:rPr>
          <w:rFonts w:ascii="Aptos" w:eastAsia="Aptos" w:hAnsi="Aptos" w:cs="Aptos"/>
          <w:color w:val="242424"/>
        </w:rPr>
        <w:t>individual</w:t>
      </w:r>
      <w:proofErr w:type="gramEnd"/>
      <w:r w:rsidRPr="5933AFDC">
        <w:rPr>
          <w:rFonts w:ascii="Aptos" w:eastAsia="Aptos" w:hAnsi="Aptos" w:cs="Aptos"/>
          <w:color w:val="242424"/>
        </w:rPr>
        <w:t xml:space="preserve"> is asymptomatic, and declines physical examination, </w:t>
      </w:r>
      <w:proofErr w:type="gramStart"/>
      <w:r w:rsidRPr="5933AFDC">
        <w:rPr>
          <w:rFonts w:ascii="Aptos" w:eastAsia="Aptos" w:hAnsi="Aptos" w:cs="Aptos"/>
          <w:color w:val="242424"/>
        </w:rPr>
        <w:t>in spite of</w:t>
      </w:r>
      <w:proofErr w:type="gramEnd"/>
      <w:r w:rsidRPr="5933AFDC">
        <w:rPr>
          <w:rFonts w:ascii="Aptos" w:eastAsia="Aptos" w:hAnsi="Aptos" w:cs="Aptos"/>
          <w:color w:val="242424"/>
        </w:rPr>
        <w:t xml:space="preserve"> awareness that an examination may change treatment recommendations.</w:t>
      </w:r>
    </w:p>
    <w:p w14:paraId="41300574" w14:textId="5837A282" w:rsidR="00B70CBF" w:rsidRDefault="30735274" w:rsidP="2208152C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contextualSpacing w:val="0"/>
        <w:rPr>
          <w:rFonts w:ascii="Aptos" w:eastAsia="Aptos" w:hAnsi="Aptos" w:cs="Aptos"/>
          <w:color w:val="242424"/>
        </w:rPr>
      </w:pPr>
      <w:r w:rsidRPr="2208152C">
        <w:rPr>
          <w:rFonts w:ascii="Aptos" w:eastAsia="Aptos" w:hAnsi="Aptos" w:cs="Aptos"/>
          <w:color w:val="242424"/>
        </w:rPr>
        <w:t>Are 18 years of age or older.</w:t>
      </w:r>
    </w:p>
    <w:p w14:paraId="4B5614BD" w14:textId="14D7E612" w:rsidR="00B70CBF" w:rsidRDefault="30735274" w:rsidP="5933AFDC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contextualSpacing w:val="0"/>
        <w:rPr>
          <w:rFonts w:ascii="Aptos" w:eastAsia="Aptos" w:hAnsi="Aptos" w:cs="Aptos"/>
        </w:rPr>
      </w:pPr>
      <w:r w:rsidRPr="5933AFDC">
        <w:rPr>
          <w:rFonts w:ascii="Aptos" w:eastAsia="Aptos" w:hAnsi="Aptos" w:cs="Aptos"/>
          <w:color w:val="242424"/>
        </w:rPr>
        <w:t xml:space="preserve">Weigh more than 45 kg </w:t>
      </w:r>
      <w:r w:rsidRPr="5933AFDC">
        <w:rPr>
          <w:rFonts w:ascii="Aptos" w:eastAsia="Aptos" w:hAnsi="Aptos" w:cs="Aptos"/>
        </w:rPr>
        <w:t>(9</w:t>
      </w:r>
      <w:r w:rsidR="2C8CF8DD" w:rsidRPr="5933AFDC">
        <w:rPr>
          <w:rFonts w:ascii="Aptos" w:eastAsia="Aptos" w:hAnsi="Aptos" w:cs="Aptos"/>
        </w:rPr>
        <w:t>9</w:t>
      </w:r>
      <w:r w:rsidRPr="5933AFDC">
        <w:rPr>
          <w:rFonts w:ascii="Aptos" w:eastAsia="Aptos" w:hAnsi="Aptos" w:cs="Aptos"/>
        </w:rPr>
        <w:t xml:space="preserve"> lbs).</w:t>
      </w:r>
    </w:p>
    <w:p w14:paraId="4FE2048F" w14:textId="02997533" w:rsidR="00B70CBF" w:rsidRDefault="00B70CBF" w:rsidP="2208152C">
      <w:pPr>
        <w:shd w:val="clear" w:color="auto" w:fill="FFFFFF" w:themeFill="background1"/>
        <w:spacing w:after="0" w:line="240" w:lineRule="auto"/>
        <w:rPr>
          <w:rFonts w:ascii="Aptos" w:eastAsia="Aptos" w:hAnsi="Aptos" w:cs="Aptos"/>
          <w:color w:val="242424"/>
        </w:rPr>
      </w:pPr>
    </w:p>
    <w:p w14:paraId="69D5185B" w14:textId="3C7A57B3" w:rsidR="00B70CBF" w:rsidRDefault="30735274" w:rsidP="2D31C2AE">
      <w:pPr>
        <w:shd w:val="clear" w:color="auto" w:fill="FFFFFF" w:themeFill="background1"/>
        <w:spacing w:after="0" w:line="240" w:lineRule="auto"/>
        <w:rPr>
          <w:rFonts w:ascii="Aptos" w:eastAsia="Aptos" w:hAnsi="Aptos" w:cs="Aptos"/>
          <w:b/>
          <w:bCs/>
          <w:color w:val="242424"/>
        </w:rPr>
      </w:pPr>
      <w:r w:rsidRPr="2D31C2AE">
        <w:rPr>
          <w:rFonts w:ascii="Aptos" w:eastAsia="Aptos" w:hAnsi="Aptos" w:cs="Aptos"/>
          <w:b/>
          <w:bCs/>
          <w:color w:val="242424"/>
        </w:rPr>
        <w:t>Resources</w:t>
      </w:r>
      <w:r w:rsidR="09E13622" w:rsidRPr="2D31C2AE">
        <w:rPr>
          <w:rFonts w:ascii="Aptos" w:eastAsia="Aptos" w:hAnsi="Aptos" w:cs="Aptos"/>
          <w:b/>
          <w:bCs/>
          <w:color w:val="242424"/>
        </w:rPr>
        <w:t>:</w:t>
      </w:r>
    </w:p>
    <w:p w14:paraId="34F73040" w14:textId="675F7F33" w:rsidR="00B70CBF" w:rsidRDefault="30735274" w:rsidP="1643F501">
      <w:pPr>
        <w:pStyle w:val="ListParagraph"/>
        <w:numPr>
          <w:ilvl w:val="0"/>
          <w:numId w:val="2"/>
        </w:numPr>
        <w:shd w:val="clear" w:color="auto" w:fill="FFFFFF" w:themeFill="background1"/>
        <w:spacing w:after="0" w:line="240" w:lineRule="auto"/>
        <w:contextualSpacing w:val="0"/>
        <w:rPr>
          <w:rFonts w:ascii="Aptos" w:eastAsia="Aptos" w:hAnsi="Aptos" w:cs="Aptos"/>
          <w:color w:val="0A12F5"/>
        </w:rPr>
      </w:pPr>
      <w:r w:rsidRPr="1643F501">
        <w:rPr>
          <w:rFonts w:ascii="Aptos" w:eastAsia="Aptos" w:hAnsi="Aptos" w:cs="Aptos"/>
        </w:rPr>
        <w:t>The STD Clinical Consultation Network (STDCCN) provides FREE expert STD clinician-clinician consultation. Visit the</w:t>
      </w:r>
      <w:r w:rsidRPr="1643F501">
        <w:rPr>
          <w:rFonts w:ascii="Aptos" w:eastAsia="Aptos" w:hAnsi="Aptos" w:cs="Aptos"/>
          <w:color w:val="141414"/>
        </w:rPr>
        <w:t xml:space="preserve"> </w:t>
      </w:r>
      <w:hyperlink r:id="rId11">
        <w:r w:rsidRPr="1643F501">
          <w:rPr>
            <w:rStyle w:val="Hyperlink"/>
            <w:rFonts w:ascii="Aptos" w:eastAsia="Aptos" w:hAnsi="Aptos" w:cs="Aptos"/>
            <w:b/>
            <w:bCs/>
            <w:color w:val="1707F5"/>
          </w:rPr>
          <w:t>STD Clinical Consultation Network</w:t>
        </w:r>
      </w:hyperlink>
      <w:r w:rsidRPr="1643F501">
        <w:rPr>
          <w:rFonts w:ascii="Aptos" w:eastAsia="Aptos" w:hAnsi="Aptos" w:cs="Aptos"/>
          <w:color w:val="1707F5"/>
        </w:rPr>
        <w:t>.</w:t>
      </w:r>
    </w:p>
    <w:p w14:paraId="2C078E63" w14:textId="424368D2" w:rsidR="00B70CBF" w:rsidRDefault="30735274" w:rsidP="43EA78F3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ptos" w:eastAsia="Aptos" w:hAnsi="Aptos" w:cs="Aptos"/>
          <w:color w:val="0A12F5"/>
        </w:rPr>
      </w:pPr>
      <w:r w:rsidRPr="43EA78F3">
        <w:rPr>
          <w:rFonts w:ascii="Aptos" w:eastAsia="Aptos" w:hAnsi="Aptos" w:cs="Aptos"/>
        </w:rPr>
        <w:t>Materials such as brochures and wallet cards are available at no cost to you on</w:t>
      </w:r>
      <w:r w:rsidRPr="43EA78F3">
        <w:rPr>
          <w:rFonts w:ascii="Aptos" w:eastAsia="Aptos" w:hAnsi="Aptos" w:cs="Aptos"/>
          <w:color w:val="141414"/>
        </w:rPr>
        <w:t xml:space="preserve"> the </w:t>
      </w:r>
      <w:hyperlink r:id="rId12">
        <w:r w:rsidRPr="43EA78F3">
          <w:rPr>
            <w:rStyle w:val="Hyperlink"/>
            <w:rFonts w:ascii="Aptos" w:eastAsia="Aptos" w:hAnsi="Aptos" w:cs="Aptos"/>
            <w:b/>
            <w:bCs/>
            <w:color w:val="1707F5"/>
          </w:rPr>
          <w:t>Massachusetts Health Promotion Clearinghouse</w:t>
        </w:r>
      </w:hyperlink>
      <w:r w:rsidRPr="43EA78F3">
        <w:rPr>
          <w:rFonts w:ascii="Aptos" w:eastAsia="Aptos" w:hAnsi="Aptos" w:cs="Aptos"/>
          <w:color w:val="1707F5"/>
          <w:u w:val="single"/>
        </w:rPr>
        <w:t>.</w:t>
      </w:r>
    </w:p>
    <w:sectPr w:rsidR="00B70CBF">
      <w:headerReference w:type="default" r:id="rId13"/>
      <w:footerReference w:type="default" r:id="rId14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1F4D4" w14:textId="77777777" w:rsidR="00931772" w:rsidRDefault="00931772">
      <w:pPr>
        <w:spacing w:after="0" w:line="240" w:lineRule="auto"/>
      </w:pPr>
      <w:r>
        <w:separator/>
      </w:r>
    </w:p>
  </w:endnote>
  <w:endnote w:type="continuationSeparator" w:id="0">
    <w:p w14:paraId="165FB40D" w14:textId="77777777" w:rsidR="00931772" w:rsidRDefault="00931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80" w:type="dxa"/>
      <w:tblLook w:val="06A0" w:firstRow="1" w:lastRow="0" w:firstColumn="1" w:lastColumn="0" w:noHBand="1" w:noVBand="1"/>
    </w:tblPr>
    <w:tblGrid>
      <w:gridCol w:w="420"/>
      <w:gridCol w:w="8820"/>
      <w:gridCol w:w="840"/>
    </w:tblGrid>
    <w:tr w:rsidR="2208152C" w14:paraId="5F0191F0" w14:textId="77777777" w:rsidTr="43EA78F3">
      <w:trPr>
        <w:trHeight w:val="300"/>
      </w:trPr>
      <w:tc>
        <w:tcPr>
          <w:tcW w:w="420" w:type="dxa"/>
        </w:tcPr>
        <w:p w14:paraId="1E497375" w14:textId="4F21B860" w:rsidR="2208152C" w:rsidRDefault="2208152C" w:rsidP="2208152C">
          <w:pPr>
            <w:pStyle w:val="Header"/>
            <w:ind w:left="-115"/>
          </w:pPr>
        </w:p>
      </w:tc>
      <w:tc>
        <w:tcPr>
          <w:tcW w:w="8820" w:type="dxa"/>
        </w:tcPr>
        <w:p w14:paraId="37BD021A" w14:textId="7B5A26C4" w:rsidR="2208152C" w:rsidRDefault="43EA78F3" w:rsidP="43EA78F3">
          <w:pPr>
            <w:pStyle w:val="Header"/>
            <w:jc w:val="center"/>
            <w:rPr>
              <w:rFonts w:ascii="Aptos" w:eastAsia="Aptos" w:hAnsi="Aptos" w:cs="Aptos"/>
              <w:sz w:val="18"/>
              <w:szCs w:val="18"/>
            </w:rPr>
          </w:pPr>
          <w:r w:rsidRPr="43EA78F3">
            <w:rPr>
              <w:rFonts w:ascii="Aptos" w:eastAsia="Aptos" w:hAnsi="Aptos" w:cs="Aptos"/>
              <w:sz w:val="18"/>
              <w:szCs w:val="18"/>
            </w:rPr>
            <w:t xml:space="preserve">STI Tx Prescribing Guidelines for pharmacists 4_ 2026 </w:t>
          </w:r>
        </w:p>
        <w:p w14:paraId="53921F08" w14:textId="4CAAAB75" w:rsidR="2208152C" w:rsidRDefault="2208152C" w:rsidP="2208152C">
          <w:pPr>
            <w:pStyle w:val="Header"/>
            <w:jc w:val="center"/>
          </w:pPr>
        </w:p>
      </w:tc>
      <w:tc>
        <w:tcPr>
          <w:tcW w:w="840" w:type="dxa"/>
        </w:tcPr>
        <w:p w14:paraId="3C51DE23" w14:textId="7E6A0D4A" w:rsidR="2208152C" w:rsidRDefault="2208152C" w:rsidP="2208152C">
          <w:pPr>
            <w:pStyle w:val="Header"/>
            <w:ind w:right="-115"/>
            <w:jc w:val="right"/>
          </w:pPr>
        </w:p>
      </w:tc>
    </w:tr>
  </w:tbl>
  <w:p w14:paraId="6269D531" w14:textId="1BD6AC59" w:rsidR="2208152C" w:rsidRDefault="2208152C" w:rsidP="220815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3C507" w14:textId="77777777" w:rsidR="00931772" w:rsidRDefault="00931772">
      <w:pPr>
        <w:spacing w:after="0" w:line="240" w:lineRule="auto"/>
      </w:pPr>
      <w:r>
        <w:separator/>
      </w:r>
    </w:p>
  </w:footnote>
  <w:footnote w:type="continuationSeparator" w:id="0">
    <w:p w14:paraId="6ADC03C6" w14:textId="77777777" w:rsidR="00931772" w:rsidRDefault="00931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2208152C" w14:paraId="3C8DF76E" w14:textId="77777777" w:rsidTr="2208152C">
      <w:trPr>
        <w:trHeight w:val="300"/>
      </w:trPr>
      <w:tc>
        <w:tcPr>
          <w:tcW w:w="3360" w:type="dxa"/>
        </w:tcPr>
        <w:p w14:paraId="49E9A82A" w14:textId="71B00EE7" w:rsidR="2208152C" w:rsidRDefault="2208152C" w:rsidP="2208152C">
          <w:pPr>
            <w:pStyle w:val="Header"/>
            <w:ind w:left="-115"/>
          </w:pPr>
        </w:p>
      </w:tc>
      <w:tc>
        <w:tcPr>
          <w:tcW w:w="3360" w:type="dxa"/>
        </w:tcPr>
        <w:p w14:paraId="6105E275" w14:textId="46962801" w:rsidR="2208152C" w:rsidRDefault="2208152C" w:rsidP="2208152C">
          <w:pPr>
            <w:pStyle w:val="Header"/>
            <w:jc w:val="center"/>
          </w:pPr>
        </w:p>
      </w:tc>
      <w:tc>
        <w:tcPr>
          <w:tcW w:w="3360" w:type="dxa"/>
        </w:tcPr>
        <w:p w14:paraId="60F310D6" w14:textId="1F378387" w:rsidR="2208152C" w:rsidRDefault="2208152C" w:rsidP="2208152C">
          <w:pPr>
            <w:pStyle w:val="Header"/>
            <w:ind w:right="-115"/>
            <w:jc w:val="right"/>
          </w:pPr>
        </w:p>
      </w:tc>
    </w:tr>
  </w:tbl>
  <w:p w14:paraId="64503A1D" w14:textId="1C794093" w:rsidR="2208152C" w:rsidRDefault="2208152C" w:rsidP="2208152C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ZQRjz6N3" int2:invalidationBookmarkName="" int2:hashCode="kMXRNY0SgReYn8" int2:id="sqURgFTG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300E4"/>
    <w:multiLevelType w:val="hybridMultilevel"/>
    <w:tmpl w:val="2ABA7296"/>
    <w:lvl w:ilvl="0" w:tplc="68A87B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B24D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90D6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06F2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8E4E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B029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4046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E4AB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36C0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AD5B90"/>
    <w:multiLevelType w:val="hybridMultilevel"/>
    <w:tmpl w:val="6DFCC756"/>
    <w:lvl w:ilvl="0" w:tplc="E7DC98E4">
      <w:start w:val="1"/>
      <w:numFmt w:val="bullet"/>
      <w:lvlText w:val=""/>
      <w:lvlJc w:val="left"/>
      <w:pPr>
        <w:ind w:left="720" w:hanging="360"/>
      </w:pPr>
      <w:rPr>
        <w:rFonts w:ascii="Courier New" w:hAnsi="Courier New" w:hint="default"/>
      </w:rPr>
    </w:lvl>
    <w:lvl w:ilvl="1" w:tplc="123CDC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8C3F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4A37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8058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C4FB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1EF6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CE0E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E688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F6570D"/>
    <w:multiLevelType w:val="hybridMultilevel"/>
    <w:tmpl w:val="F230D7C2"/>
    <w:lvl w:ilvl="0" w:tplc="D71AA3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24DC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9CE4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4A1F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9AAB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72C5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5CE3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9EA8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E249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931242"/>
    <w:multiLevelType w:val="hybridMultilevel"/>
    <w:tmpl w:val="6032D47A"/>
    <w:lvl w:ilvl="0" w:tplc="FF0E6D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B80212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D73EFA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FE74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3AA1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88F3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7695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E89A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E8EB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2377833">
    <w:abstractNumId w:val="2"/>
  </w:num>
  <w:num w:numId="2" w16cid:durableId="126247427">
    <w:abstractNumId w:val="0"/>
  </w:num>
  <w:num w:numId="3" w16cid:durableId="2001807497">
    <w:abstractNumId w:val="1"/>
  </w:num>
  <w:num w:numId="4" w16cid:durableId="4484012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8C6186A"/>
    <w:rsid w:val="003621EF"/>
    <w:rsid w:val="00931772"/>
    <w:rsid w:val="00B70CBF"/>
    <w:rsid w:val="00F0670F"/>
    <w:rsid w:val="03954AFB"/>
    <w:rsid w:val="06BC06F7"/>
    <w:rsid w:val="0857EF94"/>
    <w:rsid w:val="09E13622"/>
    <w:rsid w:val="0D20F254"/>
    <w:rsid w:val="0EAFB9E2"/>
    <w:rsid w:val="0FDCB624"/>
    <w:rsid w:val="1643F501"/>
    <w:rsid w:val="166473C1"/>
    <w:rsid w:val="18C6186A"/>
    <w:rsid w:val="19A9BD98"/>
    <w:rsid w:val="1E23DE99"/>
    <w:rsid w:val="1FB94AC8"/>
    <w:rsid w:val="2208152C"/>
    <w:rsid w:val="252F2DF1"/>
    <w:rsid w:val="2539093C"/>
    <w:rsid w:val="2573E5C6"/>
    <w:rsid w:val="2603814F"/>
    <w:rsid w:val="2C8CF8DD"/>
    <w:rsid w:val="2D31C2AE"/>
    <w:rsid w:val="2E3E9F2A"/>
    <w:rsid w:val="2EB285F8"/>
    <w:rsid w:val="2FF34042"/>
    <w:rsid w:val="303A0E86"/>
    <w:rsid w:val="30735274"/>
    <w:rsid w:val="33F3557E"/>
    <w:rsid w:val="379AA108"/>
    <w:rsid w:val="390C89CF"/>
    <w:rsid w:val="3D3F6422"/>
    <w:rsid w:val="3F98FD53"/>
    <w:rsid w:val="40984357"/>
    <w:rsid w:val="43EA78F3"/>
    <w:rsid w:val="49D6AAF9"/>
    <w:rsid w:val="4B481968"/>
    <w:rsid w:val="4F838194"/>
    <w:rsid w:val="52CF7716"/>
    <w:rsid w:val="5933AFDC"/>
    <w:rsid w:val="59B6E140"/>
    <w:rsid w:val="5A1658B0"/>
    <w:rsid w:val="611AC768"/>
    <w:rsid w:val="6140A59D"/>
    <w:rsid w:val="6570DDEE"/>
    <w:rsid w:val="699F6BFB"/>
    <w:rsid w:val="69CF871A"/>
    <w:rsid w:val="6EF74A75"/>
    <w:rsid w:val="704C9ACC"/>
    <w:rsid w:val="711078FA"/>
    <w:rsid w:val="71825AC7"/>
    <w:rsid w:val="755AFB37"/>
    <w:rsid w:val="7894F5CB"/>
    <w:rsid w:val="7B5BD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36B22"/>
  <w15:chartTrackingRefBased/>
  <w15:docId w15:val="{83C22DF4-A38E-4B02-BEBB-F2B4114C7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2208152C"/>
    <w:rPr>
      <w:color w:val="467886"/>
      <w:u w:val="single"/>
    </w:rPr>
  </w:style>
  <w:style w:type="paragraph" w:styleId="ListParagraph">
    <w:name w:val="List Paragraph"/>
    <w:basedOn w:val="Normal"/>
    <w:uiPriority w:val="34"/>
    <w:qFormat/>
    <w:rsid w:val="2208152C"/>
    <w:pPr>
      <w:ind w:left="720"/>
      <w:contextualSpacing/>
    </w:pPr>
  </w:style>
  <w:style w:type="paragraph" w:styleId="Header">
    <w:name w:val="header"/>
    <w:basedOn w:val="Normal"/>
    <w:uiPriority w:val="99"/>
    <w:unhideWhenUsed/>
    <w:rsid w:val="2208152C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2208152C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lists/std-treatment-guidelines-and-clinical-advisories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alegislature.gov/Laws/GeneralLaws/PartI/TitleXV/Chapter94C/Section19F" TargetMode="External"/><Relationship Id="rId12" Type="http://schemas.openxmlformats.org/officeDocument/2006/relationships/hyperlink" Target="http://massclearinghouse.ehs.state.ma.us/category/STD.html" TargetMode="External"/><Relationship Id="rId17" Type="http://schemas.microsoft.com/office/2020/10/relationships/intelligence" Target="intelligence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tdccn.org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mass.gov/sexual-and-reproductive-health-servic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ss.gov/integrated-testing-and-linkage-services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426</Words>
  <Characters>2430</Characters>
  <Application>Microsoft Office Word</Application>
  <DocSecurity>0</DocSecurity>
  <Lines>20</Lines>
  <Paragraphs>5</Paragraphs>
  <ScaleCrop>false</ScaleCrop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Meehan, Thera (DPH)</dc:creator>
  <cp:keywords/>
  <dc:description/>
  <cp:lastModifiedBy>Yeaple, Jennifer (DPH)</cp:lastModifiedBy>
  <cp:revision>2</cp:revision>
  <dcterms:created xsi:type="dcterms:W3CDTF">2026-08-14T19:36:00Z</dcterms:created>
  <dcterms:modified xsi:type="dcterms:W3CDTF">2026-08-14T19:36:00Z</dcterms:modified>
</cp:coreProperties>
</file>