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11"/>
        <w:rPr>
          <w:rFonts w:ascii="Times New Roman"/>
        </w:rPr>
      </w:pPr>
      <w:r>
        <w:rPr>
          <w:rFonts w:ascii="Times New Roman"/>
        </w:rPr>
        <w:pict>
          <v:group style="width:542.2pt;height:86.35pt;mso-position-horizontal-relative:char;mso-position-vertical-relative:line" coordorigin="0,0" coordsize="10844,1727">
            <v:shape style="position:absolute;left:134;top:1515;width:384;height:134" type="#_x0000_t75" stroked="false">
              <v:imagedata r:id="rId5" o:title=""/>
            </v:shape>
            <v:shape style="position:absolute;left:51;top:1265;width:530;height:221" type="#_x0000_t75" stroked="false">
              <v:imagedata r:id="rId6" o:title=""/>
            </v:shape>
            <v:shape style="position:absolute;left:97;top:815;width:265;height:424" coordorigin="98,816" coordsize="265,424" path="m235,850l223,832,204,820,179,816,151,820,126,832,108,849,98,869,98,891,106,905,118,915,135,922,153,925,248,1239,362,1197,212,905,224,893,232,879,236,864,235,850xe" filled="false" stroked="true" strokeweight=".85pt" strokecolor="#000000">
              <v:path arrowok="t"/>
              <v:stroke dashstyle="solid"/>
            </v:shape>
            <v:shape style="position:absolute;left:133;top:972;width:369;height:335" type="#_x0000_t75" stroked="false">
              <v:imagedata r:id="rId7" o:title=""/>
            </v:shape>
            <v:shape style="position:absolute;left:8895;top:0;width:1948;height:956" type="#_x0000_t75" stroked="false">
              <v:imagedata r:id="rId8" o:title=""/>
            </v:shape>
            <v:line style="position:absolute" from="10,526" to="10378,526" stroked="true" strokeweight="1pt" strokecolor="#000000">
              <v:stroke dashstyle="solid"/>
            </v:line>
            <v:rect style="position:absolute;left:15;top:748;width:602;height:960" filled="false" stroked="true" strokeweight=".5pt" strokecolor="#000000">
              <v:stroke dashstyl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2;top:170;width:6802;height:276" type="#_x0000_t202" filled="false" stroked="false">
              <v:textbox inset="0,0,0,0">
                <w:txbxContent>
                  <w:p>
                    <w:pPr>
                      <w:spacing w:line="275" w:lineRule="exact" w:before="0"/>
                      <w:ind w:left="0" w:right="0" w:firstLine="0"/>
                      <w:jc w:val="left"/>
                      <w:rPr>
                        <w:rFonts w:ascii="Arial Narrow"/>
                        <w:i/>
                        <w:sz w:val="24"/>
                      </w:rPr>
                    </w:pPr>
                    <w:r>
                      <w:rPr>
                        <w:rFonts w:ascii="Arial Narrow"/>
                        <w:i/>
                        <w:sz w:val="24"/>
                      </w:rPr>
                      <w:t>Current information for pharmacists about the MassHealth Pharmacy program</w:t>
                    </w:r>
                  </w:p>
                </w:txbxContent>
              </v:textbox>
              <w10:wrap type="none"/>
            </v:shape>
            <v:shape style="position:absolute;left:9024;top:553;width:1502;height:147" type="#_x0000_t202" filled="false" stroked="false">
              <v:textbox inset="0,0,0,0">
                <w:txbxContent>
                  <w:p>
                    <w:pPr>
                      <w:spacing w:line="147" w:lineRule="exact" w:before="0"/>
                      <w:ind w:left="0" w:right="0" w:firstLine="0"/>
                      <w:jc w:val="left"/>
                      <w:rPr>
                        <w:rFonts w:ascii="Lucida Sans"/>
                        <w:sz w:val="14"/>
                      </w:rPr>
                    </w:pPr>
                    <w:r>
                      <w:rPr>
                        <w:rFonts w:ascii="Lucida Sans"/>
                        <w:sz w:val="14"/>
                      </w:rPr>
                      <w:t>PHARMACY PROGRAM</w:t>
                    </w:r>
                  </w:p>
                </w:txbxContent>
              </v:textbox>
              <w10:wrap type="none"/>
            </v:shape>
            <v:shape style="position:absolute;left:732;top:896;width:1552;height:590" type="#_x0000_t202" filled="false" stroked="false">
              <v:textbox inset="0,0,0,0">
                <w:txbxContent>
                  <w:p>
                    <w:pPr>
                      <w:spacing w:line="229" w:lineRule="exact" w:before="0"/>
                      <w:ind w:left="0" w:right="0" w:firstLine="0"/>
                      <w:jc w:val="left"/>
                      <w:rPr>
                        <w:rFonts w:ascii="Arial Narrow"/>
                        <w:b/>
                        <w:sz w:val="20"/>
                      </w:rPr>
                    </w:pPr>
                    <w:r>
                      <w:rPr>
                        <w:rFonts w:ascii="Arial Narrow"/>
                        <w:b/>
                        <w:sz w:val="20"/>
                      </w:rPr>
                      <w:t>Number 11</w:t>
                    </w:r>
                  </w:p>
                  <w:p>
                    <w:pPr>
                      <w:spacing w:before="130"/>
                      <w:ind w:left="0" w:right="0" w:firstLine="0"/>
                      <w:jc w:val="left"/>
                      <w:rPr>
                        <w:rFonts w:ascii="Arial Narrow"/>
                        <w:b/>
                        <w:sz w:val="20"/>
                      </w:rPr>
                    </w:pPr>
                    <w:r>
                      <w:rPr>
                        <w:rFonts w:ascii="Arial Narrow"/>
                        <w:b/>
                        <w:sz w:val="20"/>
                      </w:rPr>
                      <w:t>September 19, 2005</w:t>
                    </w:r>
                  </w:p>
                </w:txbxContent>
              </v:textbox>
              <w10:wrap type="none"/>
            </v:shape>
            <v:shape style="position:absolute;left:3072;top:595;width:4264;height:1131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 Black"/>
                        <w:b/>
                        <w:sz w:val="48"/>
                      </w:rPr>
                    </w:pPr>
                    <w:r>
                      <w:rPr>
                        <w:rFonts w:ascii="Arial Black"/>
                        <w:b/>
                        <w:sz w:val="48"/>
                      </w:rPr>
                      <w:t>Pharmacy Facts</w:t>
                    </w:r>
                  </w:p>
                  <w:p>
                    <w:pPr>
                      <w:spacing w:before="115"/>
                      <w:ind w:left="51" w:right="0" w:firstLine="0"/>
                      <w:jc w:val="left"/>
                      <w:rPr>
                        <w:rFonts w:ascii="Arial Black"/>
                        <w:b/>
                        <w:sz w:val="24"/>
                      </w:rPr>
                    </w:pPr>
                    <w:r>
                      <w:rPr>
                        <w:rFonts w:ascii="Arial Black"/>
                        <w:b/>
                        <w:sz w:val="24"/>
                      </w:rPr>
                      <w:t>MassHealth Pharmacy Program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</w:rPr>
      </w:r>
    </w:p>
    <w:p>
      <w:pPr>
        <w:pStyle w:val="BodyText"/>
        <w:ind w:left="0"/>
        <w:rPr>
          <w:rFonts w:ascii="Times New Roman"/>
          <w:sz w:val="10"/>
        </w:rPr>
      </w:pPr>
      <w:r>
        <w:rPr/>
        <w:pict>
          <v:line style="position:absolute;mso-position-horizontal-relative:page;mso-position-vertical-relative:paragraph;z-index:1144;mso-wrap-distance-left:0;mso-wrap-distance-right:0" from="47.066002pt,8.239pt" to="565.466002pt,8.239pt" stroked="true" strokeweight="1pt" strokecolor="#000000">
            <v:stroke dashstyle="solid"/>
            <w10:wrap type="topAndBottom"/>
          </v:line>
        </w:pict>
      </w:r>
    </w:p>
    <w:p>
      <w:pPr>
        <w:pStyle w:val="ListParagraph"/>
        <w:numPr>
          <w:ilvl w:val="0"/>
          <w:numId w:val="1"/>
        </w:numPr>
        <w:tabs>
          <w:tab w:pos="2332" w:val="left" w:leader="none"/>
        </w:tabs>
        <w:spacing w:line="230" w:lineRule="exact" w:before="0" w:after="46"/>
        <w:ind w:left="2331" w:right="0" w:hanging="151"/>
        <w:jc w:val="left"/>
        <w:rPr>
          <w:rFonts w:ascii="Arial Black" w:hAnsi="Arial Black"/>
          <w:b/>
          <w:sz w:val="18"/>
        </w:rPr>
      </w:pPr>
      <w:r>
        <w:rPr>
          <w:sz w:val="18"/>
        </w:rPr>
        <w:t>Editor: Vic </w:t>
      </w:r>
      <w:r>
        <w:rPr>
          <w:spacing w:val="-3"/>
          <w:sz w:val="18"/>
        </w:rPr>
        <w:t>Vangel  </w:t>
      </w:r>
      <w:r>
        <w:rPr>
          <w:rFonts w:ascii="Arial Black" w:hAnsi="Arial Black"/>
          <w:b/>
          <w:sz w:val="18"/>
        </w:rPr>
        <w:t>• </w:t>
      </w:r>
      <w:r>
        <w:rPr>
          <w:sz w:val="18"/>
        </w:rPr>
        <w:t>Contributors: Chris Burke, Gary Gilmore, Paul </w:t>
      </w:r>
      <w:r>
        <w:rPr>
          <w:spacing w:val="-3"/>
          <w:sz w:val="18"/>
        </w:rPr>
        <w:t>Jeffrey, </w:t>
      </w:r>
      <w:r>
        <w:rPr>
          <w:sz w:val="18"/>
        </w:rPr>
        <w:t>James Monahan</w:t>
      </w:r>
      <w:r>
        <w:rPr>
          <w:spacing w:val="-17"/>
          <w:sz w:val="18"/>
        </w:rPr>
        <w:t> </w:t>
      </w:r>
      <w:r>
        <w:rPr>
          <w:rFonts w:ascii="Arial Black" w:hAnsi="Arial Black"/>
          <w:b/>
          <w:sz w:val="18"/>
        </w:rPr>
        <w:t>•</w:t>
      </w:r>
    </w:p>
    <w:p>
      <w:pPr>
        <w:pStyle w:val="BodyText"/>
        <w:spacing w:line="20" w:lineRule="exact"/>
        <w:ind w:left="111"/>
        <w:rPr>
          <w:rFonts w:ascii="Arial Black"/>
          <w:sz w:val="2"/>
        </w:rPr>
      </w:pPr>
      <w:r>
        <w:rPr>
          <w:rFonts w:ascii="Arial Black"/>
          <w:sz w:val="2"/>
        </w:rPr>
        <w:pict>
          <v:group style="width:519.4pt;height:1pt;mso-position-horizontal-relative:char;mso-position-vertical-relative:line" coordorigin="0,0" coordsize="10388,20">
            <v:line style="position:absolute" from="10,10" to="10378,10" stroked="true" strokeweight="1pt" strokecolor="#000000">
              <v:stroke dashstyle="solid"/>
            </v:line>
          </v:group>
        </w:pict>
      </w:r>
      <w:r>
        <w:rPr>
          <w:rFonts w:ascii="Arial Black"/>
          <w:sz w:val="2"/>
        </w:rPr>
      </w:r>
    </w:p>
    <w:p>
      <w:pPr>
        <w:pStyle w:val="BodyText"/>
        <w:spacing w:before="13"/>
        <w:ind w:left="0"/>
        <w:rPr>
          <w:rFonts w:ascii="Arial Black"/>
          <w:b/>
          <w:sz w:val="4"/>
        </w:rPr>
      </w:pPr>
    </w:p>
    <w:p>
      <w:pPr>
        <w:spacing w:after="0"/>
        <w:rPr>
          <w:rFonts w:ascii="Arial Black"/>
          <w:sz w:val="4"/>
        </w:rPr>
        <w:sectPr>
          <w:type w:val="continuous"/>
          <w:pgSz w:w="12240" w:h="15840"/>
          <w:pgMar w:top="420" w:bottom="280" w:left="820" w:right="360"/>
        </w:sectPr>
      </w:pPr>
    </w:p>
    <w:p>
      <w:pPr>
        <w:pStyle w:val="Heading2"/>
        <w:spacing w:before="91"/>
        <w:ind w:left="115"/>
        <w:rPr>
          <w:b/>
        </w:rPr>
      </w:pPr>
      <w:r>
        <w:rPr>
          <w:b/>
          <w:w w:val="105"/>
        </w:rPr>
        <w:t>MassHealth Drug List (MHDL)</w:t>
      </w:r>
    </w:p>
    <w:p>
      <w:pPr>
        <w:pStyle w:val="BodyText"/>
        <w:spacing w:line="292" w:lineRule="auto" w:before="152"/>
        <w:ind w:left="115"/>
      </w:pPr>
      <w:r>
        <w:rPr>
          <w:w w:val="105"/>
        </w:rPr>
        <w:t>MassHealth has changed the prior authorization requirements for muscle relaxants. With the exception of the carisoprodol products, all generic muscle</w:t>
      </w:r>
      <w:r>
        <w:rPr>
          <w:spacing w:val="-11"/>
          <w:w w:val="105"/>
        </w:rPr>
        <w:t> </w:t>
      </w:r>
      <w:r>
        <w:rPr>
          <w:w w:val="105"/>
        </w:rPr>
        <w:t>relaxants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spasticity</w:t>
      </w:r>
      <w:r>
        <w:rPr>
          <w:spacing w:val="-11"/>
          <w:w w:val="105"/>
        </w:rPr>
        <w:t> </w:t>
      </w:r>
      <w:r>
        <w:rPr>
          <w:w w:val="105"/>
        </w:rPr>
        <w:t>agents</w:t>
      </w:r>
      <w:r>
        <w:rPr>
          <w:spacing w:val="-11"/>
          <w:w w:val="105"/>
        </w:rPr>
        <w:t> </w:t>
      </w:r>
      <w:r>
        <w:rPr>
          <w:w w:val="105"/>
        </w:rPr>
        <w:t>do</w:t>
      </w:r>
      <w:r>
        <w:rPr>
          <w:spacing w:val="-11"/>
          <w:w w:val="105"/>
        </w:rPr>
        <w:t> </w:t>
      </w:r>
      <w:r>
        <w:rPr>
          <w:w w:val="105"/>
        </w:rPr>
        <w:t>not</w:t>
      </w:r>
      <w:r>
        <w:rPr>
          <w:spacing w:val="-11"/>
          <w:w w:val="105"/>
        </w:rPr>
        <w:t> </w:t>
      </w:r>
      <w:r>
        <w:rPr>
          <w:w w:val="105"/>
        </w:rPr>
        <w:t>require prior authorization. These changes are effective October</w:t>
      </w:r>
      <w:r>
        <w:rPr>
          <w:spacing w:val="-10"/>
          <w:w w:val="105"/>
        </w:rPr>
        <w:t> </w:t>
      </w:r>
      <w:r>
        <w:rPr>
          <w:w w:val="105"/>
        </w:rPr>
        <w:t>3,</w:t>
      </w:r>
      <w:r>
        <w:rPr>
          <w:spacing w:val="-10"/>
          <w:w w:val="105"/>
        </w:rPr>
        <w:t> </w:t>
      </w:r>
      <w:r>
        <w:rPr>
          <w:w w:val="105"/>
        </w:rPr>
        <w:t>2005,</w:t>
      </w:r>
      <w:r>
        <w:rPr>
          <w:spacing w:val="-10"/>
          <w:w w:val="105"/>
        </w:rPr>
        <w:t> </w:t>
      </w:r>
      <w:r>
        <w:rPr>
          <w:w w:val="105"/>
        </w:rPr>
        <w:t>and</w:t>
      </w:r>
      <w:r>
        <w:rPr>
          <w:spacing w:val="-10"/>
          <w:w w:val="105"/>
        </w:rPr>
        <w:t> </w:t>
      </w:r>
      <w:r>
        <w:rPr>
          <w:w w:val="105"/>
        </w:rPr>
        <w:t>include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following</w:t>
      </w:r>
      <w:r>
        <w:rPr>
          <w:spacing w:val="-10"/>
          <w:w w:val="105"/>
        </w:rPr>
        <w:t> </w:t>
      </w:r>
      <w:r>
        <w:rPr>
          <w:w w:val="105"/>
        </w:rPr>
        <w:t>products.</w:t>
      </w:r>
    </w:p>
    <w:p>
      <w:pPr>
        <w:pStyle w:val="BodyText"/>
        <w:spacing w:before="39"/>
        <w:rPr>
          <w:rFonts w:ascii="Arial Black" w:hAnsi="Arial Black"/>
          <w:b/>
        </w:rPr>
      </w:pPr>
      <w:r>
        <w:rPr>
          <w:w w:val="105"/>
        </w:rPr>
        <w:t>Flexeril (cyclobenzaprine) 5 mg – </w:t>
      </w:r>
      <w:r>
        <w:rPr>
          <w:rFonts w:ascii="Arial Black" w:hAnsi="Arial Black"/>
          <w:b/>
          <w:w w:val="105"/>
        </w:rPr>
        <w:t>PA</w:t>
      </w:r>
    </w:p>
    <w:p>
      <w:pPr>
        <w:pStyle w:val="BodyText"/>
        <w:spacing w:before="66"/>
        <w:rPr>
          <w:rFonts w:ascii="Arial Black" w:hAnsi="Arial Black"/>
          <w:b/>
        </w:rPr>
      </w:pPr>
      <w:r>
        <w:rPr>
          <w:w w:val="105"/>
        </w:rPr>
        <w:t>Skelaxin (metaxalone) – </w:t>
      </w:r>
      <w:r>
        <w:rPr>
          <w:rFonts w:ascii="Arial Black" w:hAnsi="Arial Black"/>
          <w:b/>
          <w:w w:val="105"/>
        </w:rPr>
        <w:t>PA</w:t>
      </w:r>
    </w:p>
    <w:p>
      <w:pPr>
        <w:pStyle w:val="BodyText"/>
        <w:spacing w:before="77"/>
        <w:rPr>
          <w:rFonts w:ascii="Arial Black" w:hAnsi="Arial Black"/>
          <w:b/>
        </w:rPr>
      </w:pPr>
      <w:r>
        <w:rPr/>
        <w:t>Soma (carisoprodol) – </w:t>
      </w:r>
      <w:r>
        <w:rPr>
          <w:rFonts w:ascii="Arial Black" w:hAnsi="Arial Black"/>
          <w:b/>
        </w:rPr>
        <w:t>PA</w:t>
      </w:r>
    </w:p>
    <w:p>
      <w:pPr>
        <w:pStyle w:val="BodyText"/>
        <w:spacing w:before="69"/>
        <w:rPr>
          <w:rFonts w:ascii="Arial Black" w:hAnsi="Arial Black"/>
          <w:b/>
        </w:rPr>
      </w:pPr>
      <w:r>
        <w:rPr/>
        <w:t>Soma Compound (carisoprodol/aspirin) – </w:t>
      </w:r>
      <w:r>
        <w:rPr>
          <w:rFonts w:ascii="Arial Black" w:hAnsi="Arial Black"/>
          <w:b/>
        </w:rPr>
        <w:t>PA</w:t>
      </w:r>
    </w:p>
    <w:p>
      <w:pPr>
        <w:pStyle w:val="BodyText"/>
        <w:spacing w:line="208" w:lineRule="auto" w:before="131"/>
        <w:rPr>
          <w:rFonts w:ascii="Arial Black" w:hAnsi="Arial Black"/>
          <w:b/>
        </w:rPr>
      </w:pPr>
      <w:r>
        <w:rPr/>
        <w:t>Soma Compound/Codeine (carisoprodol/ aspirin/codeine)  – </w:t>
      </w:r>
      <w:r>
        <w:rPr>
          <w:rFonts w:ascii="Arial Black" w:hAnsi="Arial Black"/>
          <w:b/>
        </w:rPr>
        <w:t>PA</w:t>
      </w:r>
    </w:p>
    <w:p>
      <w:pPr>
        <w:pStyle w:val="BodyText"/>
        <w:spacing w:before="65"/>
        <w:rPr>
          <w:rFonts w:ascii="Arial Black" w:hAnsi="Arial Black"/>
          <w:b/>
        </w:rPr>
      </w:pPr>
      <w:r>
        <w:rPr>
          <w:w w:val="105"/>
        </w:rPr>
        <w:t>Zanaflex (tizanidine) Capsules – </w:t>
      </w:r>
      <w:r>
        <w:rPr>
          <w:rFonts w:ascii="Arial Black" w:hAnsi="Arial Black"/>
          <w:b/>
          <w:w w:val="105"/>
        </w:rPr>
        <w:t>PA</w:t>
      </w:r>
    </w:p>
    <w:p>
      <w:pPr>
        <w:spacing w:line="249" w:lineRule="auto" w:before="109"/>
        <w:ind w:left="115" w:right="54" w:firstLine="0"/>
        <w:jc w:val="left"/>
        <w:rPr>
          <w:i/>
          <w:sz w:val="20"/>
        </w:rPr>
      </w:pPr>
      <w:r>
        <w:rPr>
          <w:i/>
          <w:w w:val="105"/>
          <w:sz w:val="20"/>
        </w:rPr>
        <w:t>Please note: Both generic and brand formulations of </w:t>
      </w:r>
      <w:r>
        <w:rPr>
          <w:i/>
          <w:w w:val="105"/>
          <w:sz w:val="20"/>
        </w:rPr>
        <w:t>carisoprodol require prior authorization.</w:t>
      </w:r>
    </w:p>
    <w:p>
      <w:pPr>
        <w:pStyle w:val="BodyText"/>
        <w:spacing w:line="249" w:lineRule="auto" w:before="123"/>
        <w:ind w:left="115" w:right="221"/>
      </w:pPr>
      <w:r>
        <w:rPr>
          <w:w w:val="105"/>
        </w:rPr>
        <w:t>MassHealth has changed the prior authorization requirements for acne medications. Brand name and combination topical acne products require prior</w:t>
      </w:r>
      <w:r>
        <w:rPr>
          <w:spacing w:val="-12"/>
          <w:w w:val="105"/>
        </w:rPr>
        <w:t> </w:t>
      </w:r>
      <w:r>
        <w:rPr>
          <w:w w:val="105"/>
        </w:rPr>
        <w:t>authorization,</w:t>
      </w:r>
      <w:r>
        <w:rPr>
          <w:spacing w:val="-12"/>
          <w:w w:val="105"/>
        </w:rPr>
        <w:t> </w:t>
      </w:r>
      <w:r>
        <w:rPr>
          <w:w w:val="105"/>
        </w:rPr>
        <w:t>as</w:t>
      </w:r>
      <w:r>
        <w:rPr>
          <w:spacing w:val="-12"/>
          <w:w w:val="105"/>
        </w:rPr>
        <w:t> </w:t>
      </w:r>
      <w:r>
        <w:rPr>
          <w:w w:val="105"/>
        </w:rPr>
        <w:t>well</w:t>
      </w:r>
      <w:r>
        <w:rPr>
          <w:spacing w:val="-12"/>
          <w:w w:val="105"/>
        </w:rPr>
        <w:t> </w:t>
      </w:r>
      <w:r>
        <w:rPr>
          <w:w w:val="105"/>
        </w:rPr>
        <w:t>as</w:t>
      </w:r>
      <w:r>
        <w:rPr>
          <w:spacing w:val="-12"/>
          <w:w w:val="105"/>
        </w:rPr>
        <w:t> </w:t>
      </w:r>
      <w:r>
        <w:rPr>
          <w:w w:val="105"/>
        </w:rPr>
        <w:t>convenience</w:t>
      </w:r>
      <w:r>
        <w:rPr>
          <w:spacing w:val="-12"/>
          <w:w w:val="105"/>
        </w:rPr>
        <w:t> </w:t>
      </w:r>
      <w:r>
        <w:rPr>
          <w:w w:val="105"/>
        </w:rPr>
        <w:t>delivery systems</w:t>
      </w:r>
      <w:r>
        <w:rPr>
          <w:spacing w:val="-10"/>
          <w:w w:val="105"/>
        </w:rPr>
        <w:t> </w:t>
      </w:r>
      <w:r>
        <w:rPr>
          <w:w w:val="105"/>
        </w:rPr>
        <w:t>(e.g.,</w:t>
      </w:r>
      <w:r>
        <w:rPr>
          <w:spacing w:val="-10"/>
          <w:w w:val="105"/>
        </w:rPr>
        <w:t> </w:t>
      </w:r>
      <w:r>
        <w:rPr>
          <w:w w:val="105"/>
        </w:rPr>
        <w:t>pads).</w:t>
      </w:r>
      <w:r>
        <w:rPr>
          <w:spacing w:val="-10"/>
          <w:w w:val="105"/>
        </w:rPr>
        <w:t> </w:t>
      </w:r>
      <w:r>
        <w:rPr>
          <w:w w:val="105"/>
        </w:rPr>
        <w:t>Generic</w:t>
      </w:r>
      <w:r>
        <w:rPr>
          <w:spacing w:val="-10"/>
          <w:w w:val="105"/>
        </w:rPr>
        <w:t> </w:t>
      </w:r>
      <w:r>
        <w:rPr>
          <w:w w:val="105"/>
        </w:rPr>
        <w:t>oral</w:t>
      </w:r>
      <w:r>
        <w:rPr>
          <w:spacing w:val="-10"/>
          <w:w w:val="105"/>
        </w:rPr>
        <w:t> </w:t>
      </w:r>
      <w:r>
        <w:rPr>
          <w:w w:val="105"/>
        </w:rPr>
        <w:t>and</w:t>
      </w:r>
      <w:r>
        <w:rPr>
          <w:spacing w:val="-10"/>
          <w:w w:val="105"/>
        </w:rPr>
        <w:t> </w:t>
      </w:r>
      <w:r>
        <w:rPr>
          <w:w w:val="105"/>
        </w:rPr>
        <w:t>topical</w:t>
      </w:r>
      <w:r>
        <w:rPr>
          <w:spacing w:val="-10"/>
          <w:w w:val="105"/>
        </w:rPr>
        <w:t> </w:t>
      </w:r>
      <w:r>
        <w:rPr>
          <w:w w:val="105"/>
        </w:rPr>
        <w:t>acne</w:t>
      </w:r>
    </w:p>
    <w:p>
      <w:pPr>
        <w:pStyle w:val="BodyText"/>
        <w:spacing w:line="249" w:lineRule="auto" w:before="1"/>
        <w:ind w:left="115"/>
        <w:jc w:val="both"/>
      </w:pPr>
      <w:r>
        <w:rPr>
          <w:w w:val="105"/>
        </w:rPr>
        <w:t>products</w:t>
      </w:r>
      <w:r>
        <w:rPr>
          <w:spacing w:val="-12"/>
          <w:w w:val="105"/>
        </w:rPr>
        <w:t> </w:t>
      </w:r>
      <w:r>
        <w:rPr>
          <w:w w:val="105"/>
        </w:rPr>
        <w:t>require</w:t>
      </w:r>
      <w:r>
        <w:rPr>
          <w:spacing w:val="-12"/>
          <w:w w:val="105"/>
        </w:rPr>
        <w:t> </w:t>
      </w:r>
      <w:r>
        <w:rPr>
          <w:w w:val="105"/>
        </w:rPr>
        <w:t>prior</w:t>
      </w:r>
      <w:r>
        <w:rPr>
          <w:spacing w:val="-12"/>
          <w:w w:val="105"/>
        </w:rPr>
        <w:t> </w:t>
      </w:r>
      <w:r>
        <w:rPr>
          <w:w w:val="105"/>
        </w:rPr>
        <w:t>authorization</w:t>
      </w:r>
      <w:r>
        <w:rPr>
          <w:spacing w:val="-12"/>
          <w:w w:val="105"/>
        </w:rPr>
        <w:t> </w:t>
      </w:r>
      <w:r>
        <w:rPr>
          <w:w w:val="105"/>
        </w:rPr>
        <w:t>for</w:t>
      </w:r>
      <w:r>
        <w:rPr>
          <w:spacing w:val="-12"/>
          <w:w w:val="105"/>
        </w:rPr>
        <w:t> </w:t>
      </w:r>
      <w:r>
        <w:rPr>
          <w:w w:val="105"/>
        </w:rPr>
        <w:t>members</w:t>
      </w:r>
      <w:r>
        <w:rPr>
          <w:spacing w:val="-12"/>
          <w:w w:val="105"/>
        </w:rPr>
        <w:t> </w:t>
      </w:r>
      <w:r>
        <w:rPr>
          <w:w w:val="105"/>
        </w:rPr>
        <w:t>&gt;</w:t>
      </w:r>
      <w:r>
        <w:rPr>
          <w:spacing w:val="-12"/>
          <w:w w:val="105"/>
        </w:rPr>
        <w:t> </w:t>
      </w:r>
      <w:r>
        <w:rPr>
          <w:w w:val="105"/>
        </w:rPr>
        <w:t>21 years</w:t>
      </w:r>
      <w:r>
        <w:rPr>
          <w:spacing w:val="-8"/>
          <w:w w:val="105"/>
        </w:rPr>
        <w:t> </w:t>
      </w:r>
      <w:r>
        <w:rPr>
          <w:w w:val="105"/>
        </w:rPr>
        <w:t>of</w:t>
      </w:r>
      <w:r>
        <w:rPr>
          <w:spacing w:val="-8"/>
          <w:w w:val="105"/>
        </w:rPr>
        <w:t> </w:t>
      </w:r>
      <w:r>
        <w:rPr>
          <w:w w:val="105"/>
        </w:rPr>
        <w:t>age.</w:t>
      </w:r>
      <w:r>
        <w:rPr>
          <w:spacing w:val="-11"/>
          <w:w w:val="105"/>
        </w:rPr>
        <w:t> </w:t>
      </w:r>
      <w:r>
        <w:rPr>
          <w:w w:val="105"/>
        </w:rPr>
        <w:t>These</w:t>
      </w:r>
      <w:r>
        <w:rPr>
          <w:spacing w:val="-8"/>
          <w:w w:val="105"/>
        </w:rPr>
        <w:t> </w:t>
      </w:r>
      <w:r>
        <w:rPr>
          <w:w w:val="105"/>
        </w:rPr>
        <w:t>changes</w:t>
      </w:r>
      <w:r>
        <w:rPr>
          <w:spacing w:val="-8"/>
          <w:w w:val="105"/>
        </w:rPr>
        <w:t> </w:t>
      </w:r>
      <w:r>
        <w:rPr>
          <w:w w:val="105"/>
        </w:rPr>
        <w:t>are</w:t>
      </w:r>
      <w:r>
        <w:rPr>
          <w:spacing w:val="-8"/>
          <w:w w:val="105"/>
        </w:rPr>
        <w:t> </w:t>
      </w:r>
      <w:r>
        <w:rPr>
          <w:w w:val="105"/>
        </w:rPr>
        <w:t>effective</w:t>
      </w:r>
      <w:r>
        <w:rPr>
          <w:spacing w:val="-8"/>
          <w:w w:val="105"/>
        </w:rPr>
        <w:t> </w:t>
      </w:r>
      <w:r>
        <w:rPr>
          <w:w w:val="105"/>
        </w:rPr>
        <w:t>October</w:t>
      </w:r>
      <w:r>
        <w:rPr>
          <w:spacing w:val="-8"/>
          <w:w w:val="105"/>
        </w:rPr>
        <w:t> </w:t>
      </w:r>
      <w:r>
        <w:rPr>
          <w:w w:val="105"/>
        </w:rPr>
        <w:t>3, 2005,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include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following</w:t>
      </w:r>
      <w:r>
        <w:rPr>
          <w:spacing w:val="-12"/>
          <w:w w:val="105"/>
        </w:rPr>
        <w:t> </w:t>
      </w:r>
      <w:r>
        <w:rPr>
          <w:w w:val="105"/>
        </w:rPr>
        <w:t>products.</w:t>
      </w:r>
    </w:p>
    <w:p>
      <w:pPr>
        <w:pStyle w:val="BodyText"/>
        <w:spacing w:line="278" w:lineRule="auto" w:before="83"/>
        <w:ind w:right="1390" w:hanging="180"/>
        <w:rPr>
          <w:rFonts w:ascii="Arial Black" w:hAnsi="Arial Black"/>
          <w:b/>
        </w:rPr>
      </w:pPr>
      <w:r>
        <w:rPr/>
        <w:t>Topical acne and rosacea medications Akne-Mycin (erythromycin) – </w:t>
      </w:r>
      <w:r>
        <w:rPr>
          <w:rFonts w:ascii="Arial Black" w:hAnsi="Arial Black"/>
          <w:b/>
        </w:rPr>
        <w:t>PA </w:t>
      </w:r>
      <w:r>
        <w:rPr/>
        <w:t>Azelex (azelaic acid) –  </w:t>
      </w:r>
      <w:r>
        <w:rPr>
          <w:rFonts w:ascii="Arial Black" w:hAnsi="Arial Black"/>
          <w:b/>
        </w:rPr>
        <w:t>PA</w:t>
      </w:r>
    </w:p>
    <w:p>
      <w:pPr>
        <w:pStyle w:val="BodyText"/>
        <w:spacing w:line="280" w:lineRule="exact"/>
        <w:ind w:left="296"/>
        <w:rPr>
          <w:rFonts w:ascii="Arial Black" w:hAnsi="Arial Black"/>
          <w:b/>
        </w:rPr>
      </w:pPr>
      <w:r>
        <w:rPr/>
        <w:t>Benzac AC (benzoyl peroxide) – </w:t>
      </w:r>
      <w:r>
        <w:rPr>
          <w:rFonts w:ascii="Arial Black" w:hAnsi="Arial Black"/>
          <w:b/>
        </w:rPr>
        <w:t>PA</w:t>
      </w:r>
    </w:p>
    <w:p>
      <w:pPr>
        <w:pStyle w:val="BodyText"/>
        <w:spacing w:before="38"/>
        <w:ind w:left="296"/>
        <w:rPr>
          <w:rFonts w:ascii="Arial Black" w:hAnsi="Arial Black"/>
          <w:b/>
        </w:rPr>
      </w:pPr>
      <w:r>
        <w:rPr>
          <w:w w:val="105"/>
        </w:rPr>
        <w:t>BenzaClin (benzoyl peroxide/clindamycin) – </w:t>
      </w:r>
      <w:r>
        <w:rPr>
          <w:rFonts w:ascii="Arial Black" w:hAnsi="Arial Black"/>
          <w:b/>
          <w:w w:val="105"/>
        </w:rPr>
        <w:t>PA</w:t>
      </w:r>
    </w:p>
    <w:p>
      <w:pPr>
        <w:pStyle w:val="BodyText"/>
        <w:spacing w:before="40"/>
        <w:ind w:left="296"/>
        <w:rPr>
          <w:rFonts w:ascii="Arial Black" w:hAnsi="Arial Black"/>
          <w:b/>
        </w:rPr>
      </w:pPr>
      <w:r>
        <w:rPr>
          <w:w w:val="105"/>
        </w:rPr>
        <w:t>Benzamycin (benzoyl peroxide/erythromycin) – </w:t>
      </w:r>
      <w:r>
        <w:rPr>
          <w:rFonts w:ascii="Arial Black" w:hAnsi="Arial Black"/>
          <w:b/>
          <w:spacing w:val="-9"/>
          <w:w w:val="105"/>
        </w:rPr>
        <w:t>PA</w:t>
      </w:r>
    </w:p>
    <w:p>
      <w:pPr>
        <w:pStyle w:val="BodyText"/>
        <w:spacing w:line="254" w:lineRule="exact" w:before="29"/>
        <w:ind w:left="296"/>
        <w:rPr>
          <w:rFonts w:ascii="Arial Black" w:hAnsi="Arial Black"/>
          <w:b/>
        </w:rPr>
      </w:pPr>
      <w:r>
        <w:rPr/>
        <w:t>benzoyl peroxide 2.5%, 5%, 10% (generics) – </w:t>
      </w:r>
      <w:r>
        <w:rPr>
          <w:rFonts w:ascii="Arial Black" w:hAnsi="Arial Black"/>
          <w:b/>
        </w:rPr>
        <w:t>PA</w:t>
      </w:r>
    </w:p>
    <w:p>
      <w:pPr>
        <w:pStyle w:val="Heading2"/>
        <w:spacing w:line="240" w:lineRule="exact"/>
        <w:ind w:left="296"/>
        <w:rPr>
          <w:b/>
        </w:rPr>
      </w:pPr>
      <w:r>
        <w:rPr>
          <w:b/>
          <w:w w:val="105"/>
        </w:rPr>
        <w:t>&gt; 21 years</w:t>
      </w:r>
    </w:p>
    <w:p>
      <w:pPr>
        <w:pStyle w:val="BodyText"/>
        <w:spacing w:before="40"/>
        <w:ind w:left="296"/>
        <w:rPr>
          <w:rFonts w:ascii="Arial Black" w:hAnsi="Arial Black"/>
          <w:b/>
        </w:rPr>
      </w:pPr>
      <w:r>
        <w:rPr/>
        <w:t>Brevoxyl (benzoyl peroxide) – </w:t>
      </w:r>
      <w:r>
        <w:rPr>
          <w:rFonts w:ascii="Arial Black" w:hAnsi="Arial Black"/>
          <w:b/>
        </w:rPr>
        <w:t>PA</w:t>
      </w:r>
    </w:p>
    <w:p>
      <w:pPr>
        <w:pStyle w:val="BodyText"/>
        <w:spacing w:line="241" w:lineRule="exact" w:before="40"/>
        <w:rPr>
          <w:rFonts w:ascii="Arial Black" w:hAnsi="Arial Black"/>
          <w:b/>
        </w:rPr>
      </w:pPr>
      <w:r>
        <w:rPr>
          <w:w w:val="105"/>
        </w:rPr>
        <w:t>Cleocin T # (clindamycin) gel, lotion, solution – </w:t>
      </w:r>
      <w:r>
        <w:rPr>
          <w:rFonts w:ascii="Arial Black" w:hAnsi="Arial Black"/>
          <w:b/>
          <w:w w:val="105"/>
        </w:rPr>
        <w:t>PA</w:t>
      </w:r>
    </w:p>
    <w:p>
      <w:pPr>
        <w:pStyle w:val="Heading2"/>
        <w:spacing w:line="241" w:lineRule="exact"/>
        <w:rPr>
          <w:b/>
        </w:rPr>
      </w:pPr>
      <w:r>
        <w:rPr>
          <w:b/>
          <w:w w:val="105"/>
        </w:rPr>
        <w:t>&gt; 21 years</w:t>
      </w:r>
    </w:p>
    <w:p>
      <w:pPr>
        <w:pStyle w:val="BodyText"/>
        <w:spacing w:line="268" w:lineRule="auto" w:before="40"/>
        <w:ind w:right="1474"/>
        <w:rPr>
          <w:rFonts w:ascii="Arial Black" w:hAnsi="Arial Black"/>
          <w:b/>
        </w:rPr>
      </w:pPr>
      <w:r>
        <w:rPr>
          <w:w w:val="105"/>
        </w:rPr>
        <w:t>Cleocin T (clindamycin) pads – </w:t>
      </w:r>
      <w:r>
        <w:rPr>
          <w:rFonts w:ascii="Arial Black" w:hAnsi="Arial Black"/>
          <w:b/>
          <w:w w:val="105"/>
        </w:rPr>
        <w:t>PA </w:t>
      </w:r>
      <w:r>
        <w:rPr>
          <w:w w:val="105"/>
        </w:rPr>
        <w:t>Clindagel (clindamycin) – </w:t>
      </w:r>
      <w:r>
        <w:rPr>
          <w:rFonts w:ascii="Arial Black" w:hAnsi="Arial Black"/>
          <w:b/>
          <w:w w:val="105"/>
        </w:rPr>
        <w:t>PA </w:t>
      </w:r>
      <w:r>
        <w:rPr/>
        <w:t>Clindets (clindamycin) – </w:t>
      </w:r>
      <w:r>
        <w:rPr>
          <w:rFonts w:ascii="Arial Black" w:hAnsi="Arial Black"/>
          <w:b/>
        </w:rPr>
        <w:t>PA</w:t>
      </w:r>
    </w:p>
    <w:p>
      <w:pPr>
        <w:pStyle w:val="BodyText"/>
        <w:spacing w:before="94"/>
        <w:rPr>
          <w:rFonts w:ascii="Arial Black" w:hAnsi="Arial Black"/>
          <w:b/>
        </w:rPr>
      </w:pPr>
      <w:r>
        <w:rPr/>
        <w:br w:type="column"/>
      </w:r>
      <w:r>
        <w:rPr/>
        <w:t>Desquam (benzoyl peroxide) – </w:t>
      </w:r>
      <w:r>
        <w:rPr>
          <w:rFonts w:ascii="Arial Black" w:hAnsi="Arial Black"/>
          <w:b/>
        </w:rPr>
        <w:t>PA</w:t>
      </w:r>
    </w:p>
    <w:p>
      <w:pPr>
        <w:pStyle w:val="BodyText"/>
        <w:spacing w:line="322" w:lineRule="exact" w:before="3"/>
        <w:ind w:right="773"/>
      </w:pPr>
      <w:r>
        <w:rPr>
          <w:w w:val="105"/>
        </w:rPr>
        <w:t>Duac (benzoyl peroxide/clindamycin) – </w:t>
      </w:r>
      <w:r>
        <w:rPr>
          <w:rFonts w:ascii="Arial Black" w:hAnsi="Arial Black"/>
          <w:b/>
          <w:w w:val="105"/>
        </w:rPr>
        <w:t>PA </w:t>
      </w:r>
      <w:r>
        <w:rPr>
          <w:w w:val="105"/>
        </w:rPr>
        <w:t>Emgel # (erythromycin) – </w:t>
      </w:r>
      <w:r>
        <w:rPr>
          <w:rFonts w:ascii="Arial Black" w:hAnsi="Arial Black"/>
          <w:b/>
          <w:w w:val="105"/>
        </w:rPr>
        <w:t>PA &gt; 21 years </w:t>
      </w:r>
      <w:r>
        <w:rPr>
          <w:w w:val="105"/>
        </w:rPr>
        <w:t>erythromycin (generics) gel, ointment, solution</w:t>
      </w:r>
    </w:p>
    <w:p>
      <w:pPr>
        <w:pStyle w:val="Heading2"/>
        <w:spacing w:line="198" w:lineRule="exact"/>
        <w:rPr>
          <w:b/>
        </w:rPr>
      </w:pPr>
      <w:r>
        <w:rPr>
          <w:rFonts w:ascii="Arial" w:hAnsi="Arial"/>
          <w:b w:val="0"/>
          <w:w w:val="105"/>
        </w:rPr>
        <w:t>– </w:t>
      </w:r>
      <w:r>
        <w:rPr>
          <w:b/>
          <w:w w:val="105"/>
        </w:rPr>
        <w:t>PA &gt; 21 years</w:t>
      </w:r>
    </w:p>
    <w:p>
      <w:pPr>
        <w:pStyle w:val="BodyText"/>
        <w:spacing w:line="264" w:lineRule="auto" w:before="29"/>
        <w:ind w:right="2381"/>
        <w:rPr>
          <w:rFonts w:ascii="Arial Black" w:hAnsi="Arial Black"/>
          <w:b/>
        </w:rPr>
      </w:pPr>
      <w:r>
        <w:rPr/>
        <w:t>erythromycin  pads  –  </w:t>
      </w:r>
      <w:r>
        <w:rPr>
          <w:rFonts w:ascii="Arial Black" w:hAnsi="Arial Black"/>
          <w:b/>
        </w:rPr>
        <w:t>PA </w:t>
      </w:r>
      <w:r>
        <w:rPr/>
        <w:t>Evoclin (clindamycin) – </w:t>
      </w:r>
      <w:r>
        <w:rPr>
          <w:rFonts w:ascii="Arial Black" w:hAnsi="Arial Black"/>
          <w:b/>
        </w:rPr>
        <w:t>PA </w:t>
      </w:r>
      <w:r>
        <w:rPr/>
        <w:t>Finacea (azelaic acid) – </w:t>
      </w:r>
      <w:r>
        <w:rPr>
          <w:rFonts w:ascii="Arial Black" w:hAnsi="Arial Black"/>
          <w:b/>
        </w:rPr>
        <w:t>PA </w:t>
      </w:r>
      <w:r>
        <w:rPr/>
        <w:t>Klaron (sulfacetamide) – </w:t>
      </w:r>
      <w:r>
        <w:rPr>
          <w:rFonts w:ascii="Arial Black" w:hAnsi="Arial Black"/>
          <w:b/>
        </w:rPr>
        <w:t>PA </w:t>
      </w:r>
      <w:r>
        <w:rPr/>
        <w:t>Metrogel (metronidazole) – </w:t>
      </w:r>
      <w:r>
        <w:rPr>
          <w:rFonts w:ascii="Arial Black" w:hAnsi="Arial Black"/>
          <w:b/>
        </w:rPr>
        <w:t>PA</w:t>
      </w:r>
    </w:p>
    <w:p>
      <w:pPr>
        <w:pStyle w:val="BodyText"/>
        <w:spacing w:line="264" w:lineRule="auto" w:before="1"/>
        <w:ind w:right="2025"/>
        <w:rPr>
          <w:rFonts w:ascii="Arial Black" w:hAnsi="Arial Black"/>
          <w:b/>
        </w:rPr>
      </w:pPr>
      <w:r>
        <w:rPr/>
        <w:t>MetroLotion (metronidazole) – </w:t>
      </w:r>
      <w:r>
        <w:rPr>
          <w:rFonts w:ascii="Arial Black" w:hAnsi="Arial Black"/>
          <w:b/>
        </w:rPr>
        <w:t>PA </w:t>
      </w:r>
      <w:r>
        <w:rPr/>
        <w:t>Noritate (metronidazole) – </w:t>
      </w:r>
      <w:r>
        <w:rPr>
          <w:rFonts w:ascii="Arial Black" w:hAnsi="Arial Black"/>
          <w:b/>
        </w:rPr>
        <w:t>PA </w:t>
      </w:r>
      <w:r>
        <w:rPr/>
        <w:t>Plexion (sulfacetamide/sulfur) – </w:t>
      </w:r>
      <w:r>
        <w:rPr>
          <w:rFonts w:ascii="Arial Black" w:hAnsi="Arial Black"/>
          <w:b/>
        </w:rPr>
        <w:t>PA </w:t>
      </w:r>
      <w:r>
        <w:rPr/>
        <w:t>Rozex  (metronidazole)  – </w:t>
      </w:r>
      <w:r>
        <w:rPr>
          <w:rFonts w:ascii="Arial Black" w:hAnsi="Arial Black"/>
          <w:b/>
        </w:rPr>
        <w:t>PA</w:t>
      </w:r>
    </w:p>
    <w:p>
      <w:pPr>
        <w:pStyle w:val="BodyText"/>
        <w:spacing w:line="273" w:lineRule="auto" w:before="12"/>
        <w:ind w:right="1736"/>
        <w:jc w:val="both"/>
        <w:rPr>
          <w:rFonts w:ascii="Arial Black" w:hAnsi="Arial Black"/>
          <w:b/>
        </w:rPr>
      </w:pPr>
      <w:r>
        <w:rPr>
          <w:w w:val="105"/>
        </w:rPr>
        <w:t>Sulfacet-R (sulfacetamide/sulfur) – </w:t>
      </w:r>
      <w:r>
        <w:rPr>
          <w:rFonts w:ascii="Arial Black" w:hAnsi="Arial Black"/>
          <w:b/>
          <w:spacing w:val="-9"/>
          <w:w w:val="105"/>
        </w:rPr>
        <w:t>PA </w:t>
      </w:r>
      <w:r>
        <w:rPr>
          <w:w w:val="105"/>
        </w:rPr>
        <w:t>Sulfoxyl</w:t>
      </w:r>
      <w:r>
        <w:rPr>
          <w:spacing w:val="-13"/>
          <w:w w:val="105"/>
        </w:rPr>
        <w:t> </w:t>
      </w:r>
      <w:r>
        <w:rPr>
          <w:w w:val="105"/>
        </w:rPr>
        <w:t>(benzoyl</w:t>
      </w:r>
      <w:r>
        <w:rPr>
          <w:spacing w:val="-13"/>
          <w:w w:val="105"/>
        </w:rPr>
        <w:t> </w:t>
      </w:r>
      <w:r>
        <w:rPr>
          <w:w w:val="105"/>
        </w:rPr>
        <w:t>peroxide/sulfur)</w:t>
      </w:r>
      <w:r>
        <w:rPr>
          <w:spacing w:val="-13"/>
          <w:w w:val="105"/>
        </w:rPr>
        <w:t> </w:t>
      </w:r>
      <w:r>
        <w:rPr>
          <w:w w:val="105"/>
        </w:rPr>
        <w:t>–</w:t>
      </w:r>
      <w:r>
        <w:rPr>
          <w:spacing w:val="-13"/>
          <w:w w:val="105"/>
        </w:rPr>
        <w:t> </w:t>
      </w:r>
      <w:r>
        <w:rPr>
          <w:rFonts w:ascii="Arial Black" w:hAnsi="Arial Black"/>
          <w:b/>
          <w:spacing w:val="-9"/>
          <w:w w:val="105"/>
        </w:rPr>
        <w:t>PA </w:t>
      </w:r>
      <w:r>
        <w:rPr>
          <w:spacing w:val="-3"/>
          <w:w w:val="105"/>
        </w:rPr>
        <w:t>Triaz </w:t>
      </w:r>
      <w:r>
        <w:rPr>
          <w:w w:val="105"/>
        </w:rPr>
        <w:t>(benzoyl peroxide) –</w:t>
      </w:r>
      <w:r>
        <w:rPr>
          <w:spacing w:val="-36"/>
          <w:w w:val="105"/>
        </w:rPr>
        <w:t> </w:t>
      </w:r>
      <w:r>
        <w:rPr>
          <w:rFonts w:ascii="Arial Black" w:hAnsi="Arial Black"/>
          <w:b/>
          <w:spacing w:val="-9"/>
          <w:w w:val="105"/>
        </w:rPr>
        <w:t>PA</w:t>
      </w:r>
    </w:p>
    <w:p>
      <w:pPr>
        <w:pStyle w:val="BodyText"/>
        <w:spacing w:line="204" w:lineRule="exact" w:before="24"/>
        <w:ind w:left="296"/>
      </w:pPr>
      <w:r>
        <w:rPr/>
        <w:t>Vanoxide-HC (benzoyl peroxide/hydrocortisone)</w:t>
      </w:r>
    </w:p>
    <w:p>
      <w:pPr>
        <w:spacing w:line="258" w:lineRule="exact" w:before="0"/>
        <w:ind w:left="296" w:right="0" w:firstLine="0"/>
        <w:jc w:val="left"/>
        <w:rPr>
          <w:rFonts w:ascii="Arial Black" w:hAnsi="Arial Black"/>
          <w:b/>
          <w:sz w:val="20"/>
        </w:rPr>
      </w:pPr>
      <w:r>
        <w:rPr>
          <w:sz w:val="20"/>
        </w:rPr>
        <w:t>– </w:t>
      </w:r>
      <w:r>
        <w:rPr>
          <w:rFonts w:ascii="Arial Black" w:hAnsi="Arial Black"/>
          <w:b/>
          <w:sz w:val="20"/>
        </w:rPr>
        <w:t>PA</w:t>
      </w:r>
    </w:p>
    <w:p>
      <w:pPr>
        <w:pStyle w:val="BodyText"/>
        <w:spacing w:before="26"/>
        <w:rPr>
          <w:rFonts w:ascii="Arial Black" w:hAnsi="Arial Black"/>
          <w:b/>
        </w:rPr>
      </w:pPr>
      <w:r>
        <w:rPr/>
        <w:t>Z-Clinz (clindamycin) – </w:t>
      </w:r>
      <w:r>
        <w:rPr>
          <w:rFonts w:ascii="Arial Black" w:hAnsi="Arial Black"/>
          <w:b/>
        </w:rPr>
        <w:t>PA</w:t>
      </w:r>
    </w:p>
    <w:p>
      <w:pPr>
        <w:pStyle w:val="BodyText"/>
        <w:spacing w:before="26"/>
        <w:ind w:left="296"/>
        <w:rPr>
          <w:rFonts w:ascii="Arial Black" w:hAnsi="Arial Black"/>
          <w:b/>
        </w:rPr>
      </w:pPr>
      <w:r>
        <w:rPr/>
        <w:t>ZoDerm (benzoyl peroxide) – </w:t>
      </w:r>
      <w:r>
        <w:rPr>
          <w:rFonts w:ascii="Arial Black" w:hAnsi="Arial Black"/>
          <w:b/>
        </w:rPr>
        <w:t>PA</w:t>
      </w:r>
    </w:p>
    <w:p>
      <w:pPr>
        <w:pStyle w:val="BodyText"/>
        <w:spacing w:before="69"/>
        <w:ind w:left="176"/>
      </w:pPr>
      <w:r>
        <w:rPr>
          <w:w w:val="105"/>
        </w:rPr>
        <w:t>Retinoid medications</w:t>
      </w:r>
    </w:p>
    <w:p>
      <w:pPr>
        <w:spacing w:line="268" w:lineRule="auto" w:before="59"/>
        <w:ind w:left="295" w:right="1309" w:firstLine="0"/>
        <w:jc w:val="left"/>
        <w:rPr>
          <w:rFonts w:ascii="Arial Black" w:hAnsi="Arial Black"/>
          <w:b/>
          <w:sz w:val="20"/>
        </w:rPr>
      </w:pPr>
      <w:r>
        <w:rPr>
          <w:w w:val="105"/>
          <w:sz w:val="20"/>
        </w:rPr>
        <w:t>Accutane # (isotretinoin) – </w:t>
      </w:r>
      <w:r>
        <w:rPr>
          <w:rFonts w:ascii="Arial Black" w:hAnsi="Arial Black"/>
          <w:b/>
          <w:spacing w:val="-9"/>
          <w:w w:val="105"/>
          <w:sz w:val="20"/>
        </w:rPr>
        <w:t>PA </w:t>
      </w:r>
      <w:r>
        <w:rPr>
          <w:rFonts w:ascii="Arial Black" w:hAnsi="Arial Black"/>
          <w:b/>
          <w:w w:val="105"/>
          <w:sz w:val="20"/>
        </w:rPr>
        <w:t>&gt; 21</w:t>
      </w:r>
      <w:r>
        <w:rPr>
          <w:rFonts w:ascii="Arial Black" w:hAnsi="Arial Black"/>
          <w:b/>
          <w:spacing w:val="-43"/>
          <w:w w:val="105"/>
          <w:sz w:val="20"/>
        </w:rPr>
        <w:t> </w:t>
      </w:r>
      <w:r>
        <w:rPr>
          <w:rFonts w:ascii="Arial Black" w:hAnsi="Arial Black"/>
          <w:b/>
          <w:w w:val="105"/>
          <w:sz w:val="20"/>
        </w:rPr>
        <w:t>years </w:t>
      </w:r>
      <w:r>
        <w:rPr>
          <w:w w:val="105"/>
          <w:sz w:val="20"/>
        </w:rPr>
        <w:t>Avita # (tretinoin) – </w:t>
      </w:r>
      <w:r>
        <w:rPr>
          <w:rFonts w:ascii="Arial Black" w:hAnsi="Arial Black"/>
          <w:b/>
          <w:spacing w:val="-9"/>
          <w:w w:val="105"/>
          <w:sz w:val="20"/>
        </w:rPr>
        <w:t>PA </w:t>
      </w:r>
      <w:r>
        <w:rPr>
          <w:rFonts w:ascii="Arial Black" w:hAnsi="Arial Black"/>
          <w:b/>
          <w:w w:val="105"/>
          <w:sz w:val="20"/>
        </w:rPr>
        <w:t>&gt; 21 years </w:t>
      </w:r>
      <w:r>
        <w:rPr>
          <w:sz w:val="20"/>
        </w:rPr>
        <w:t>Differin (adaPAlene) –</w:t>
      </w:r>
      <w:r>
        <w:rPr>
          <w:spacing w:val="-38"/>
          <w:sz w:val="20"/>
        </w:rPr>
        <w:t> </w:t>
      </w:r>
      <w:r>
        <w:rPr>
          <w:rFonts w:ascii="Arial Black" w:hAnsi="Arial Black"/>
          <w:b/>
          <w:spacing w:val="-9"/>
          <w:sz w:val="20"/>
        </w:rPr>
        <w:t>PA</w:t>
      </w:r>
    </w:p>
    <w:p>
      <w:pPr>
        <w:spacing w:line="287" w:lineRule="exact" w:before="0"/>
        <w:ind w:left="295" w:right="0" w:firstLine="0"/>
        <w:jc w:val="left"/>
        <w:rPr>
          <w:rFonts w:ascii="Arial Black" w:hAnsi="Arial Black"/>
          <w:b/>
          <w:sz w:val="20"/>
        </w:rPr>
      </w:pPr>
      <w:r>
        <w:rPr>
          <w:sz w:val="20"/>
        </w:rPr>
        <w:t>Retin-A # (tretinoin) – </w:t>
      </w:r>
      <w:r>
        <w:rPr>
          <w:rFonts w:ascii="Arial Black" w:hAnsi="Arial Black"/>
          <w:b/>
          <w:sz w:val="20"/>
        </w:rPr>
        <w:t>PA &gt; 21 years</w:t>
      </w:r>
    </w:p>
    <w:p>
      <w:pPr>
        <w:pStyle w:val="BodyText"/>
        <w:spacing w:before="26"/>
        <w:ind w:left="296"/>
        <w:rPr>
          <w:rFonts w:ascii="Arial Black" w:hAnsi="Arial Black"/>
          <w:b/>
        </w:rPr>
      </w:pPr>
      <w:r>
        <w:rPr/>
        <w:t>Retin-A Micro (tretinoin) – </w:t>
      </w:r>
      <w:r>
        <w:rPr>
          <w:rFonts w:ascii="Arial Black" w:hAnsi="Arial Black"/>
          <w:b/>
        </w:rPr>
        <w:t>PA</w:t>
      </w:r>
    </w:p>
    <w:p>
      <w:pPr>
        <w:pStyle w:val="BodyText"/>
        <w:spacing w:before="36"/>
        <w:ind w:left="296"/>
        <w:rPr>
          <w:rFonts w:ascii="Arial Black" w:hAnsi="Arial Black"/>
          <w:b/>
        </w:rPr>
      </w:pPr>
      <w:r>
        <w:rPr>
          <w:w w:val="105"/>
        </w:rPr>
        <w:t>Tazorac (tazarotene) – </w:t>
      </w:r>
      <w:r>
        <w:rPr>
          <w:rFonts w:ascii="Arial Black" w:hAnsi="Arial Black"/>
          <w:b/>
          <w:w w:val="105"/>
        </w:rPr>
        <w:t>PA</w:t>
      </w:r>
    </w:p>
    <w:p>
      <w:pPr>
        <w:pStyle w:val="Heading1"/>
        <w:spacing w:before="147"/>
        <w:rPr>
          <w:b/>
        </w:rPr>
      </w:pPr>
      <w:r>
        <w:rPr>
          <w:b/>
        </w:rPr>
        <w:t>Notification of Updates to the</w:t>
      </w:r>
    </w:p>
    <w:p>
      <w:pPr>
        <w:spacing w:line="275" w:lineRule="exact" w:before="0"/>
        <w:ind w:left="116" w:right="0" w:firstLine="0"/>
        <w:jc w:val="left"/>
        <w:rPr>
          <w:rFonts w:ascii="Arial Black"/>
          <w:b/>
          <w:sz w:val="22"/>
        </w:rPr>
      </w:pPr>
      <w:r>
        <w:rPr>
          <w:rFonts w:ascii="Arial Black"/>
          <w:b/>
          <w:sz w:val="22"/>
        </w:rPr>
        <w:t>MassHealth Drug List</w:t>
      </w:r>
    </w:p>
    <w:p>
      <w:pPr>
        <w:pStyle w:val="BodyText"/>
        <w:spacing w:line="249" w:lineRule="auto" w:before="78"/>
        <w:ind w:left="116" w:right="550"/>
      </w:pPr>
      <w:r>
        <w:rPr>
          <w:w w:val="105"/>
        </w:rPr>
        <w:t>To sign up for e-mail alerts that will notify you when the List has been updated, go to the MassHealth Drug List at </w:t>
      </w:r>
      <w:hyperlink r:id="rId9">
        <w:r>
          <w:rPr>
            <w:w w:val="105"/>
          </w:rPr>
          <w:t>http://www.mass.gov/druglist. </w:t>
        </w:r>
      </w:hyperlink>
      <w:r>
        <w:rPr>
          <w:w w:val="105"/>
        </w:rPr>
        <w:t>Click on “Introduction to the MassHealth Drug List,” then click on “Subscribe to E-Mail Alerts,” in the Introduction section of the List and send the e-mail that automatically appears on your screen and you will be subscribed.</w:t>
      </w:r>
    </w:p>
    <w:p>
      <w:pPr>
        <w:spacing w:after="0" w:line="249" w:lineRule="auto"/>
        <w:sectPr>
          <w:type w:val="continuous"/>
          <w:pgSz w:w="12240" w:h="15840"/>
          <w:pgMar w:top="420" w:bottom="280" w:left="820" w:right="360"/>
          <w:cols w:num="2" w:equalWidth="0">
            <w:col w:w="5034" w:space="402"/>
            <w:col w:w="5624"/>
          </w:cols>
        </w:sectPr>
      </w:pPr>
    </w:p>
    <w:p>
      <w:pPr>
        <w:pStyle w:val="BodyText"/>
        <w:spacing w:before="8"/>
        <w:ind w:left="0"/>
        <w:rPr>
          <w:sz w:val="16"/>
        </w:rPr>
      </w:pPr>
    </w:p>
    <w:p>
      <w:pPr>
        <w:pStyle w:val="BodyText"/>
        <w:spacing w:line="80" w:lineRule="exact"/>
        <w:ind w:left="111"/>
        <w:rPr>
          <w:sz w:val="8"/>
        </w:rPr>
      </w:pPr>
      <w:r>
        <w:rPr>
          <w:position w:val="-1"/>
          <w:sz w:val="8"/>
        </w:rPr>
        <w:pict>
          <v:group style="width:519.4pt;height:4pt;mso-position-horizontal-relative:char;mso-position-vertical-relative:line" coordorigin="0,0" coordsize="10388,80">
            <v:line style="position:absolute" from="10,10" to="10378,10" stroked="true" strokeweight="1pt" strokecolor="#000000">
              <v:stroke dashstyle="solid"/>
            </v:line>
            <v:line style="position:absolute" from="10,70" to="10378,70" stroked="true" strokeweight="1pt" strokecolor="#000000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9"/>
        <w:ind w:left="0"/>
        <w:rPr>
          <w:sz w:val="9"/>
        </w:rPr>
      </w:pPr>
    </w:p>
    <w:p>
      <w:pPr>
        <w:pStyle w:val="BodyText"/>
        <w:spacing w:before="91"/>
        <w:ind w:left="121"/>
      </w:pPr>
      <w:r>
        <w:rPr/>
        <w:pict>
          <v:shape style="position:absolute;margin-left:304.265991pt;margin-top:-596.372437pt;width:.1pt;height:582.1pt;mso-position-horizontal-relative:page;mso-position-vertical-relative:paragraph;z-index:1216" coordorigin="6085,-11927" coordsize="0,11642" path="m6085,-11927l6085,-305m6085,-11793l6085,-286e" filled="false" stroked="true" strokeweight="1pt" strokecolor="#000000">
            <v:path arrowok="t"/>
            <v:stroke dashstyle="solid"/>
            <w10:wrap type="none"/>
          </v:shape>
        </w:pict>
      </w:r>
      <w:r>
        <w:rPr/>
        <w:t>Please direct any questions or comments (or to be taken off of this fax distribution) to</w:t>
      </w:r>
    </w:p>
    <w:p>
      <w:pPr>
        <w:spacing w:before="15"/>
        <w:ind w:left="121" w:right="0" w:firstLine="0"/>
        <w:jc w:val="left"/>
        <w:rPr>
          <w:sz w:val="20"/>
        </w:rPr>
      </w:pPr>
      <w:r>
        <w:rPr>
          <w:rFonts w:ascii="Arial Black"/>
          <w:b/>
          <w:sz w:val="20"/>
        </w:rPr>
        <w:t>Victor Moquin </w:t>
      </w:r>
      <w:r>
        <w:rPr>
          <w:sz w:val="20"/>
        </w:rPr>
        <w:t>of ACS at 617-423-9830.</w:t>
      </w:r>
    </w:p>
    <w:sectPr>
      <w:type w:val="continuous"/>
      <w:pgSz w:w="12240" w:h="15840"/>
      <w:pgMar w:top="420" w:bottom="280" w:left="82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Arial Black">
    <w:altName w:val="Arial Black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2331" w:hanging="151"/>
      </w:pPr>
      <w:rPr>
        <w:rFonts w:hint="default" w:ascii="Arial Black" w:hAnsi="Arial Black" w:eastAsia="Arial Black" w:cs="Arial Black"/>
        <w:b/>
        <w:bCs/>
        <w:spacing w:val="-11"/>
        <w:w w:val="100"/>
        <w:sz w:val="18"/>
        <w:szCs w:val="18"/>
      </w:rPr>
    </w:lvl>
    <w:lvl w:ilvl="1">
      <w:start w:val="0"/>
      <w:numFmt w:val="bullet"/>
      <w:lvlText w:val="•"/>
      <w:lvlJc w:val="left"/>
      <w:pPr>
        <w:ind w:left="3212" w:hanging="15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084" w:hanging="15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956" w:hanging="15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828" w:hanging="15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700" w:hanging="15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572" w:hanging="15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444" w:hanging="15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316" w:hanging="15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ind w:left="295"/>
    </w:pPr>
    <w:rPr>
      <w:rFonts w:ascii="Arial" w:hAnsi="Arial" w:eastAsia="Arial" w:cs="Arial"/>
      <w:sz w:val="20"/>
      <w:szCs w:val="20"/>
    </w:rPr>
  </w:style>
  <w:style w:styleId="Heading1" w:type="paragraph">
    <w:name w:val="Heading 1"/>
    <w:basedOn w:val="Normal"/>
    <w:uiPriority w:val="1"/>
    <w:qFormat/>
    <w:pPr>
      <w:spacing w:line="275" w:lineRule="exact"/>
      <w:ind w:left="116"/>
      <w:outlineLvl w:val="1"/>
    </w:pPr>
    <w:rPr>
      <w:rFonts w:ascii="Arial Black" w:hAnsi="Arial Black" w:eastAsia="Arial Black" w:cs="Arial Black"/>
      <w:b/>
      <w:bCs/>
      <w:sz w:val="22"/>
      <w:szCs w:val="22"/>
    </w:rPr>
  </w:style>
  <w:style w:styleId="Heading2" w:type="paragraph">
    <w:name w:val="Heading 2"/>
    <w:basedOn w:val="Normal"/>
    <w:uiPriority w:val="1"/>
    <w:qFormat/>
    <w:pPr>
      <w:ind w:left="295"/>
      <w:outlineLvl w:val="2"/>
    </w:pPr>
    <w:rPr>
      <w:rFonts w:ascii="Arial Black" w:hAnsi="Arial Black" w:eastAsia="Arial Black" w:cs="Arial Black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>
      <w:spacing w:before="46" w:line="230" w:lineRule="exact"/>
      <w:ind w:left="2331" w:hanging="151"/>
    </w:pPr>
    <w:rPr>
      <w:rFonts w:ascii="Arial Narrow" w:hAnsi="Arial Narrow" w:eastAsia="Arial Narrow" w:cs="Arial Narrow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http://www.mass.gov/druglist" TargetMode="External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2017-11-16T08:50:57Z</dcterms:created>
  <dcterms:modified xsi:type="dcterms:W3CDTF">2017-11-16T08:50:57Z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2005-09-19T00:00:00Z</vt:filetime>
  </property>
  <property fmtid="{D5CDD505-2E9C-101B-9397-08002B2CF9AE}" pid="3" name="Creator">
    <vt:lpwstr>Adobe InDesign CS2 (4.0)</vt:lpwstr>
  </property>
  <property fmtid="{D5CDD505-2E9C-101B-9397-08002B2CF9AE}" pid="4" name="LastSaved">
    <vt:filetime>2017-11-16T00:00:00Z</vt:filetime>
  </property>
</Properties>
</file>