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Pr="00BE3440" w:rsidRDefault="00AD18B8" w:rsidP="00A11371">
      <w:pPr>
        <w:tabs>
          <w:tab w:val="left" w:pos="10530"/>
        </w:tabs>
        <w:ind w:right="720"/>
        <w:rPr>
          <w:color w:val="000000"/>
        </w:rPr>
      </w:pPr>
      <w:bookmarkStart w:id="0" w:name="_GoBack"/>
      <w:bookmarkEnd w:id="0"/>
      <w:r w:rsidRPr="00BE3440">
        <w:rPr>
          <w:rFonts w:ascii="Arial" w:hAnsi="Arial" w:cs="Arial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0pt;margin-top:90pt;width:81pt;height:18pt;z-index:251658752" stroked="f">
            <v:textbox style="mso-next-textbox:#_x0000_s1031">
              <w:txbxContent>
                <w:p w:rsidR="00AD18B8" w:rsidRPr="00A120E1" w:rsidRDefault="00AD18B8" w:rsidP="00140D08">
                  <w:pPr>
                    <w:pStyle w:val="Default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RPr="00BE3440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BE3440" w:rsidRDefault="00D450C8" w:rsidP="00A571F6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BE3440">
              <w:rPr>
                <w:b/>
                <w:bCs/>
                <w:noProof/>
                <w:color w:val="000000"/>
              </w:rPr>
              <w:pict>
                <v:shape id="_x0000_s1028" type="#_x0000_t202" style="position:absolute;left:0;text-align:left;margin-left:-12.35pt;margin-top:5.85pt;width:204.75pt;height:27pt;z-index:251657728" filled="f" stroked="f" strokeweight="0">
                  <v:textbox style="mso-next-textbox:#_x0000_s1028">
                    <w:txbxContent>
                      <w:p w:rsidR="00615717" w:rsidRPr="00615717" w:rsidRDefault="00BF0DF4" w:rsidP="00615717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61571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Number </w:t>
                        </w:r>
                        <w:r w:rsidR="0061571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119—</w:t>
                        </w:r>
                        <w:r w:rsidR="00615717" w:rsidRPr="0061571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September 7, 2018</w:t>
                        </w:r>
                      </w:p>
                      <w:p w:rsidR="00BF0DF4" w:rsidRDefault="00BF0DF4" w:rsidP="00BF0DF4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760FDF" w:rsidRPr="00D450C8" w:rsidRDefault="00760FDF" w:rsidP="00D450C8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571F6" w:rsidRPr="00BE3440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5pt;height:141pt">
                  <v:imagedata r:id="rId8" o:title="banner"/>
                </v:shape>
              </w:pict>
            </w:r>
            <w:r w:rsidR="00140D08" w:rsidRPr="00BE3440">
              <w:rPr>
                <w:b/>
                <w:bCs/>
                <w:noProof/>
                <w:color w:val="000000"/>
              </w:rPr>
              <w:pict>
                <v:shape id="_x0000_s1026" type="#_x0000_t202" style="position:absolute;left:0;text-align:left;margin-left:572.85pt;margin-top:88.95pt;width:53.7pt;height:18pt;z-index:251656704;mso-position-horizontal-relative:text;mso-position-vertical-relative:text" filled="f" stroked="f">
                  <v:textbox style="mso-next-textbox:#_x0000_s1026">
                    <w:txbxContent>
                      <w:p w:rsidR="00760FDF" w:rsidRPr="007A41F5" w:rsidRDefault="00760FDF" w:rsidP="00140D08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F35F9" w:rsidRPr="00BE3440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RPr="00BE3440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9F7EE9" w:rsidRPr="00BE3440" w:rsidRDefault="009F7EE9" w:rsidP="009F7EE9">
      <w:pPr>
        <w:rPr>
          <w:color w:val="000000"/>
          <w:sz w:val="22"/>
          <w:szCs w:val="22"/>
        </w:rPr>
      </w:pPr>
    </w:p>
    <w:p w:rsidR="009F7EE9" w:rsidRPr="00BE3440" w:rsidRDefault="009F7EE9" w:rsidP="009F7EE9">
      <w:pPr>
        <w:rPr>
          <w:rFonts w:ascii="Arial Black" w:hAnsi="Arial Black" w:cs="Arial"/>
          <w:b/>
          <w:color w:val="000000"/>
        </w:rPr>
      </w:pPr>
      <w:r w:rsidRPr="00BE3440">
        <w:rPr>
          <w:rFonts w:ascii="Arial Black" w:hAnsi="Arial Black" w:cs="Arial"/>
          <w:b/>
          <w:color w:val="000000"/>
        </w:rPr>
        <w:t>MHDL Update</w:t>
      </w:r>
    </w:p>
    <w:p w:rsidR="009F7EE9" w:rsidRPr="00BE3440" w:rsidRDefault="009F7EE9" w:rsidP="009F7EE9">
      <w:pPr>
        <w:rPr>
          <w:color w:val="000000"/>
          <w:sz w:val="22"/>
          <w:szCs w:val="22"/>
        </w:rPr>
      </w:pPr>
    </w:p>
    <w:p w:rsidR="009F7EE9" w:rsidRPr="00BE3440" w:rsidRDefault="009F7EE9" w:rsidP="00E1377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t>Below are certain updates to th</w:t>
      </w:r>
      <w:r w:rsidR="00385D6C">
        <w:rPr>
          <w:rFonts w:ascii="Arial" w:hAnsi="Arial" w:cs="Arial"/>
          <w:color w:val="000000"/>
          <w:sz w:val="22"/>
          <w:szCs w:val="22"/>
        </w:rPr>
        <w:t xml:space="preserve">e MassHealth Drug List (MHDL). </w:t>
      </w:r>
      <w:r w:rsidRPr="00BE3440">
        <w:rPr>
          <w:rFonts w:ascii="Arial" w:hAnsi="Arial" w:cs="Arial"/>
          <w:color w:val="000000"/>
          <w:sz w:val="22"/>
          <w:szCs w:val="22"/>
        </w:rPr>
        <w:t>See the MHDL for a complete listing of updates.</w:t>
      </w:r>
    </w:p>
    <w:p w:rsidR="009F7EE9" w:rsidRPr="00BE3440" w:rsidRDefault="009F7EE9" w:rsidP="009F7EE9">
      <w:pPr>
        <w:rPr>
          <w:color w:val="000000"/>
          <w:sz w:val="22"/>
          <w:szCs w:val="22"/>
        </w:rPr>
      </w:pPr>
    </w:p>
    <w:p w:rsidR="009F7EE9" w:rsidRPr="00BE3440" w:rsidRDefault="009F7EE9" w:rsidP="00615717">
      <w:pPr>
        <w:pStyle w:val="Heading1"/>
        <w:spacing w:line="276" w:lineRule="auto"/>
        <w:jc w:val="left"/>
        <w:rPr>
          <w:rFonts w:ascii="Arial Black" w:hAnsi="Arial Black"/>
          <w:b w:val="0"/>
          <w:color w:val="000000"/>
          <w:sz w:val="24"/>
        </w:rPr>
      </w:pPr>
      <w:r w:rsidRPr="00BE3440">
        <w:rPr>
          <w:rFonts w:ascii="Arial Black" w:hAnsi="Arial Black"/>
          <w:color w:val="000000"/>
          <w:sz w:val="24"/>
        </w:rPr>
        <w:t>Additions</w:t>
      </w:r>
    </w:p>
    <w:p w:rsidR="009F7EE9" w:rsidRPr="00BE3440" w:rsidRDefault="009F7EE9" w:rsidP="00E13778">
      <w:pPr>
        <w:pStyle w:val="Default"/>
        <w:spacing w:after="120"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 xml:space="preserve">Effective September 10, 2018, the following newly marketed drugs have been added to the MassHealth Drug List. </w:t>
      </w:r>
    </w:p>
    <w:p w:rsidR="009F7EE9" w:rsidRPr="00391839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s-US"/>
        </w:rPr>
      </w:pPr>
      <w:r w:rsidRPr="00391839">
        <w:rPr>
          <w:rFonts w:ascii="Arial" w:hAnsi="Arial" w:cs="Arial"/>
          <w:sz w:val="22"/>
          <w:szCs w:val="22"/>
          <w:lang w:val="es-US"/>
        </w:rPr>
        <w:t xml:space="preserve">Cimduo (lamivudine/tenofovir disoproxil fumarate) – </w:t>
      </w:r>
      <w:r w:rsidRPr="00391839">
        <w:rPr>
          <w:rFonts w:ascii="Arial" w:hAnsi="Arial" w:cs="Arial"/>
          <w:b/>
          <w:sz w:val="22"/>
          <w:szCs w:val="22"/>
          <w:lang w:val="es-US"/>
        </w:rPr>
        <w:t>PA</w:t>
      </w:r>
    </w:p>
    <w:p w:rsidR="009F7EE9" w:rsidRPr="00BE3440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Crysvita (burosumab-twza) – </w:t>
      </w:r>
      <w:r w:rsidRPr="00BE3440">
        <w:rPr>
          <w:rFonts w:ascii="Arial" w:hAnsi="Arial" w:cs="Arial"/>
          <w:b/>
          <w:sz w:val="22"/>
          <w:szCs w:val="22"/>
        </w:rPr>
        <w:t>PA</w:t>
      </w:r>
      <w:r w:rsidRPr="00BE3440">
        <w:rPr>
          <w:rFonts w:ascii="Arial" w:hAnsi="Arial" w:cs="Arial"/>
          <w:sz w:val="22"/>
          <w:szCs w:val="22"/>
        </w:rPr>
        <w:t xml:space="preserve"> </w:t>
      </w:r>
    </w:p>
    <w:p w:rsidR="009F7EE9" w:rsidRPr="00BE3440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 xml:space="preserve">Juluca (dolutegravir/rilpivirine) – </w:t>
      </w:r>
      <w:r w:rsidRPr="00BE3440">
        <w:rPr>
          <w:rFonts w:ascii="Arial" w:hAnsi="Arial" w:cs="Arial"/>
          <w:b/>
          <w:sz w:val="22"/>
          <w:szCs w:val="21"/>
        </w:rPr>
        <w:t>PA</w:t>
      </w:r>
    </w:p>
    <w:p w:rsidR="009F7EE9" w:rsidRPr="00BE3440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>Kedrab (rabies immune globulin IM, human)</w:t>
      </w:r>
    </w:p>
    <w:p w:rsidR="009F7EE9" w:rsidRPr="00BE3440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 xml:space="preserve">Lonhala (glycopyrrolate inhalation solution) – </w:t>
      </w:r>
      <w:r w:rsidRPr="00BE3440">
        <w:rPr>
          <w:rFonts w:ascii="Arial" w:hAnsi="Arial" w:cs="Arial"/>
          <w:b/>
          <w:sz w:val="22"/>
          <w:szCs w:val="21"/>
        </w:rPr>
        <w:t>PA</w:t>
      </w:r>
      <w:r w:rsidRPr="00BE3440">
        <w:rPr>
          <w:rFonts w:ascii="Arial" w:hAnsi="Arial" w:cs="Arial"/>
          <w:sz w:val="22"/>
          <w:szCs w:val="21"/>
        </w:rPr>
        <w:t xml:space="preserve"> </w:t>
      </w:r>
    </w:p>
    <w:p w:rsidR="009F7EE9" w:rsidRPr="00BE3440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Rhopressa (netarsudil) – </w:t>
      </w:r>
      <w:r w:rsidRPr="00BE3440">
        <w:rPr>
          <w:rFonts w:ascii="Arial" w:hAnsi="Arial" w:cs="Arial"/>
          <w:b/>
          <w:sz w:val="22"/>
          <w:szCs w:val="22"/>
        </w:rPr>
        <w:t>PA</w:t>
      </w:r>
    </w:p>
    <w:p w:rsidR="009F7EE9" w:rsidRPr="00391839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  <w:lang w:val="es-US"/>
        </w:rPr>
      </w:pPr>
      <w:r w:rsidRPr="00391839">
        <w:rPr>
          <w:rFonts w:ascii="Arial" w:hAnsi="Arial" w:cs="Arial"/>
          <w:sz w:val="22"/>
          <w:szCs w:val="21"/>
          <w:lang w:val="es-US"/>
        </w:rPr>
        <w:t xml:space="preserve">Symfi (efavirenz/lamivudine/tenofovir disoproxil fumarate) – </w:t>
      </w:r>
      <w:r w:rsidRPr="00391839">
        <w:rPr>
          <w:rFonts w:ascii="Arial" w:hAnsi="Arial" w:cs="Arial"/>
          <w:b/>
          <w:sz w:val="22"/>
          <w:szCs w:val="21"/>
          <w:lang w:val="es-US"/>
        </w:rPr>
        <w:t>PA</w:t>
      </w:r>
    </w:p>
    <w:p w:rsidR="009F7EE9" w:rsidRPr="00391839" w:rsidRDefault="009F7EE9" w:rsidP="00E13778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  <w:lang w:val="es-US"/>
        </w:rPr>
      </w:pPr>
      <w:r w:rsidRPr="00391839">
        <w:rPr>
          <w:rFonts w:ascii="Arial" w:hAnsi="Arial" w:cs="Arial"/>
          <w:sz w:val="22"/>
          <w:szCs w:val="21"/>
          <w:lang w:val="es-US"/>
        </w:rPr>
        <w:t xml:space="preserve">Symfi Lo (efavirenz/lamivudine/tenofovir disoproxil fumarate) – </w:t>
      </w:r>
      <w:r w:rsidRPr="00391839">
        <w:rPr>
          <w:rFonts w:ascii="Arial" w:hAnsi="Arial" w:cs="Arial"/>
          <w:b/>
          <w:sz w:val="22"/>
          <w:szCs w:val="21"/>
          <w:lang w:val="es-US"/>
        </w:rPr>
        <w:t>PA</w:t>
      </w:r>
    </w:p>
    <w:p w:rsidR="00B503C7" w:rsidRPr="00391839" w:rsidRDefault="00B503C7" w:rsidP="00E13778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  <w:lang w:val="es-US"/>
        </w:rPr>
      </w:pPr>
    </w:p>
    <w:p w:rsidR="004167B6" w:rsidRPr="00BE3440" w:rsidRDefault="004167B6" w:rsidP="00BE3440">
      <w:pPr>
        <w:pStyle w:val="Heading1"/>
        <w:spacing w:line="276" w:lineRule="auto"/>
        <w:rPr>
          <w:color w:val="000000"/>
        </w:rPr>
      </w:pPr>
      <w:r w:rsidRPr="00BE3440">
        <w:rPr>
          <w:rFonts w:ascii="Arial Black" w:hAnsi="Arial Black"/>
          <w:color w:val="000000"/>
          <w:sz w:val="24"/>
        </w:rPr>
        <w:t>Change in Prior-Authorization Status</w:t>
      </w:r>
    </w:p>
    <w:p w:rsidR="004167B6" w:rsidRPr="00BE3440" w:rsidRDefault="004167B6" w:rsidP="00E13778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Effective </w:t>
      </w:r>
      <w:r w:rsidRPr="00BE3440">
        <w:rPr>
          <w:rFonts w:ascii="Arial" w:hAnsi="Arial" w:cs="Arial"/>
          <w:bCs/>
          <w:sz w:val="22"/>
          <w:szCs w:val="22"/>
        </w:rPr>
        <w:t>September 10</w:t>
      </w:r>
      <w:r w:rsidRPr="00BE3440">
        <w:rPr>
          <w:rFonts w:ascii="Arial" w:hAnsi="Arial" w:cs="Arial"/>
          <w:sz w:val="22"/>
          <w:szCs w:val="22"/>
        </w:rPr>
        <w:t xml:space="preserve">, 2018, the following multiple sclerosis agents will require prior authorization. </w:t>
      </w:r>
    </w:p>
    <w:p w:rsidR="004167B6" w:rsidRPr="00BE3440" w:rsidRDefault="004167B6" w:rsidP="00E13778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t xml:space="preserve">Extavia (interferon beta-1b) – </w:t>
      </w:r>
      <w:r w:rsidRPr="00BE3440">
        <w:rPr>
          <w:rFonts w:ascii="Arial" w:hAnsi="Arial" w:cs="Arial"/>
          <w:b/>
          <w:color w:val="000000"/>
          <w:sz w:val="22"/>
          <w:szCs w:val="22"/>
        </w:rPr>
        <w:t>PA</w:t>
      </w:r>
      <w:r w:rsidRPr="00BE34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67B6" w:rsidRPr="00BE3440" w:rsidRDefault="004167B6" w:rsidP="00E13778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t xml:space="preserve">Plegridy (peginterferon beta-1a) – </w:t>
      </w:r>
      <w:r w:rsidRPr="00BE3440">
        <w:rPr>
          <w:rFonts w:ascii="Arial" w:hAnsi="Arial" w:cs="Arial"/>
          <w:b/>
          <w:color w:val="000000"/>
          <w:sz w:val="22"/>
          <w:szCs w:val="22"/>
        </w:rPr>
        <w:t>PA</w:t>
      </w:r>
      <w:r w:rsidRPr="00BE34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3FD7" w:rsidRPr="00BE3440" w:rsidRDefault="004167B6" w:rsidP="00416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Effective September 10, 2018, the following anticonvulsant agents will no longer require prior authorization for age &lt; 6 years. Pediatric Behavioral Health </w:t>
      </w:r>
    </w:p>
    <w:p w:rsidR="00833FD7" w:rsidRPr="00BE3440" w:rsidRDefault="00833FD7" w:rsidP="00833FD7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Medication Initiative polypharmacy criteria</w:t>
      </w:r>
    </w:p>
    <w:p w:rsidR="00BE3440" w:rsidRPr="00BE3440" w:rsidRDefault="00BE3440" w:rsidP="00BE344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BE3440">
        <w:rPr>
          <w:rFonts w:ascii="Arial" w:hAnsi="Arial" w:cs="Arial"/>
          <w:sz w:val="22"/>
          <w:szCs w:val="22"/>
        </w:rPr>
        <w:t>will</w:t>
      </w:r>
      <w:proofErr w:type="gramEnd"/>
      <w:r w:rsidRPr="00BE3440">
        <w:rPr>
          <w:rFonts w:ascii="Arial" w:hAnsi="Arial" w:cs="Arial"/>
          <w:sz w:val="22"/>
          <w:szCs w:val="22"/>
        </w:rPr>
        <w:t xml:space="preserve"> still apply. For additional information,</w:t>
      </w:r>
    </w:p>
    <w:p w:rsidR="00833FD7" w:rsidRPr="00BE3440" w:rsidRDefault="00833FD7" w:rsidP="00833FD7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167B6" w:rsidRPr="00BE3440" w:rsidRDefault="004167B6" w:rsidP="00BE344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BE3440">
        <w:rPr>
          <w:rFonts w:ascii="Arial" w:hAnsi="Arial" w:cs="Arial"/>
          <w:sz w:val="22"/>
          <w:szCs w:val="22"/>
        </w:rPr>
        <w:t>please</w:t>
      </w:r>
      <w:proofErr w:type="gramEnd"/>
      <w:r w:rsidRPr="00BE3440">
        <w:rPr>
          <w:rFonts w:ascii="Arial" w:hAnsi="Arial" w:cs="Arial"/>
          <w:sz w:val="22"/>
          <w:szCs w:val="22"/>
        </w:rPr>
        <w:t xml:space="preserve"> see the Pediatric Behavioral Health Medication Initiative documents found at www.mass.gov/druglist.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Celontin (methsuximide)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Dilantin # (phenytoin extended 30 mg and 100 mg capsule)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Dilantin-125 # (phenytoin suspension)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Dilantin Infatab # (phenytoin chewable tablet)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Felbatol # (felbamate) 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Keppra # (levetiracetam injection, solution, tablet)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Mysoline # (primidone)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Peganone (ethotoin)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phenytoin extended 200 mg and 300 mg capsule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Zarontin # (ethosuximide)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Zonegran # (zonisamide)</w:t>
      </w:r>
    </w:p>
    <w:p w:rsidR="004167B6" w:rsidRPr="00BE3440" w:rsidRDefault="004167B6" w:rsidP="00416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Effective September 10, 2018, the following otic antibiotic agents will no longer require prior authorization. 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acetic acid/hydrocortisone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Cipro HC (ciprofloxacin/hydrocortisone)</w:t>
      </w:r>
    </w:p>
    <w:p w:rsidR="004167B6" w:rsidRPr="00BE3440" w:rsidRDefault="004167B6" w:rsidP="004167B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Coly-Mycin S (colistin/neomycin/thonzonium/hydrocortisone)</w:t>
      </w:r>
    </w:p>
    <w:p w:rsidR="004167B6" w:rsidRPr="00BE3440" w:rsidRDefault="004167B6" w:rsidP="00416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Effective </w:t>
      </w:r>
      <w:r w:rsidRPr="00BE3440">
        <w:rPr>
          <w:rFonts w:ascii="Arial" w:hAnsi="Arial" w:cs="Arial"/>
          <w:bCs/>
          <w:sz w:val="22"/>
          <w:szCs w:val="22"/>
        </w:rPr>
        <w:t>September 10</w:t>
      </w:r>
      <w:r w:rsidRPr="00BE3440">
        <w:rPr>
          <w:rFonts w:ascii="Arial" w:hAnsi="Arial" w:cs="Arial"/>
          <w:sz w:val="22"/>
          <w:szCs w:val="22"/>
        </w:rPr>
        <w:t xml:space="preserve">, 2018, the following glaucoma agents will no longer require prior authorization. </w:t>
      </w:r>
    </w:p>
    <w:p w:rsidR="004167B6" w:rsidRPr="00BE3440" w:rsidRDefault="004167B6" w:rsidP="004167B6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Alphagan P # (brimonidine 0.1%, 0.15% eye drops)</w:t>
      </w:r>
    </w:p>
    <w:p w:rsidR="004167B6" w:rsidRPr="00BE3440" w:rsidRDefault="004167B6" w:rsidP="004167B6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Betoptic S (betaxolol 0.25%)</w:t>
      </w:r>
    </w:p>
    <w:p w:rsidR="004167B6" w:rsidRPr="00BE3440" w:rsidRDefault="004167B6" w:rsidP="004167B6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>Combigan (brimonidine/timolol, ophthalmic)</w:t>
      </w:r>
    </w:p>
    <w:p w:rsidR="004167B6" w:rsidRPr="00BE3440" w:rsidRDefault="004167B6" w:rsidP="004167B6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t xml:space="preserve">Istalol (timolol) </w:t>
      </w:r>
      <w:r w:rsidRPr="00BE3440">
        <w:rPr>
          <w:rFonts w:ascii="Arial" w:hAnsi="Arial" w:cs="Arial"/>
          <w:sz w:val="22"/>
          <w:szCs w:val="22"/>
          <w:vertAlign w:val="superscript"/>
        </w:rPr>
        <w:t>BP</w:t>
      </w:r>
    </w:p>
    <w:p w:rsidR="004167B6" w:rsidRPr="00BE3440" w:rsidRDefault="004167B6" w:rsidP="004167B6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sz w:val="22"/>
          <w:szCs w:val="22"/>
        </w:rPr>
        <w:lastRenderedPageBreak/>
        <w:t>Travatan Z (travoprost 0.004% eye drop)</w:t>
      </w:r>
    </w:p>
    <w:p w:rsidR="004167B6" w:rsidRPr="00BE3440" w:rsidRDefault="004167B6" w:rsidP="004167B6">
      <w:pPr>
        <w:pStyle w:val="Defaul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4167B6" w:rsidRPr="00BE3440" w:rsidRDefault="004167B6" w:rsidP="00FD7358">
      <w:pPr>
        <w:pStyle w:val="Heading1"/>
        <w:jc w:val="left"/>
        <w:rPr>
          <w:rFonts w:ascii="Arial Black" w:hAnsi="Arial Black" w:cs="Times New Roman"/>
          <w:color w:val="000000"/>
          <w:sz w:val="24"/>
        </w:rPr>
      </w:pPr>
      <w:r w:rsidRPr="00BE3440">
        <w:rPr>
          <w:rFonts w:ascii="Arial Black" w:hAnsi="Arial Black" w:cs="Times New Roman"/>
          <w:color w:val="000000"/>
          <w:sz w:val="24"/>
        </w:rPr>
        <w:t>Updated MassHealth Brand Name Preferred Over Generic Drug List</w:t>
      </w:r>
    </w:p>
    <w:p w:rsidR="004167B6" w:rsidRPr="00BE3440" w:rsidRDefault="004167B6" w:rsidP="004167B6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 xml:space="preserve">Effective September 10, 2018, the following agents will be added to the MassHealth Brand Name Preferred </w:t>
      </w:r>
      <w:proofErr w:type="gramStart"/>
      <w:r w:rsidRPr="00BE3440">
        <w:rPr>
          <w:rFonts w:ascii="Arial" w:hAnsi="Arial" w:cs="Arial"/>
          <w:sz w:val="22"/>
          <w:szCs w:val="21"/>
        </w:rPr>
        <w:t>Over</w:t>
      </w:r>
      <w:proofErr w:type="gramEnd"/>
      <w:r w:rsidRPr="00BE3440">
        <w:rPr>
          <w:rFonts w:ascii="Arial" w:hAnsi="Arial" w:cs="Arial"/>
          <w:sz w:val="22"/>
          <w:szCs w:val="21"/>
        </w:rPr>
        <w:t xml:space="preserve"> Generic Drug List. </w:t>
      </w:r>
    </w:p>
    <w:p w:rsidR="004167B6" w:rsidRPr="00BE3440" w:rsidRDefault="004167B6" w:rsidP="004167B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>Adcirca (tadalafil)</w:t>
      </w:r>
      <w:r w:rsidRPr="00BE3440">
        <w:rPr>
          <w:rFonts w:ascii="Arial" w:hAnsi="Arial" w:cs="Arial"/>
          <w:sz w:val="22"/>
          <w:szCs w:val="21"/>
          <w:vertAlign w:val="superscript"/>
        </w:rPr>
        <w:t xml:space="preserve"> BP</w:t>
      </w:r>
      <w:r w:rsidRPr="00BE3440">
        <w:rPr>
          <w:rFonts w:ascii="Arial" w:hAnsi="Arial" w:cs="Arial"/>
          <w:sz w:val="22"/>
          <w:szCs w:val="21"/>
        </w:rPr>
        <w:t xml:space="preserve"> – </w:t>
      </w:r>
      <w:r w:rsidRPr="00BE3440">
        <w:rPr>
          <w:rFonts w:ascii="Arial" w:hAnsi="Arial" w:cs="Arial"/>
          <w:b/>
          <w:sz w:val="22"/>
          <w:szCs w:val="21"/>
        </w:rPr>
        <w:t>PA</w:t>
      </w:r>
    </w:p>
    <w:p w:rsidR="004167B6" w:rsidRPr="00BE3440" w:rsidRDefault="004167B6" w:rsidP="004167B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>Riomet (metformin solution)</w:t>
      </w:r>
      <w:r w:rsidRPr="00BE3440">
        <w:rPr>
          <w:rFonts w:ascii="Arial" w:hAnsi="Arial" w:cs="Arial"/>
          <w:sz w:val="22"/>
          <w:szCs w:val="21"/>
          <w:vertAlign w:val="superscript"/>
        </w:rPr>
        <w:t xml:space="preserve"> BP</w:t>
      </w:r>
      <w:r w:rsidRPr="00BE3440">
        <w:rPr>
          <w:rFonts w:ascii="Arial" w:hAnsi="Arial" w:cs="Arial"/>
          <w:sz w:val="22"/>
          <w:szCs w:val="21"/>
        </w:rPr>
        <w:t xml:space="preserve"> – </w:t>
      </w:r>
      <w:r w:rsidRPr="00BE3440">
        <w:rPr>
          <w:rFonts w:ascii="Arial" w:hAnsi="Arial" w:cs="Arial"/>
          <w:b/>
          <w:sz w:val="22"/>
          <w:szCs w:val="21"/>
        </w:rPr>
        <w:t>PA ≥ 13 years</w:t>
      </w:r>
      <w:r w:rsidRPr="00BE3440">
        <w:rPr>
          <w:rFonts w:ascii="Arial" w:hAnsi="Arial" w:cs="Arial"/>
          <w:sz w:val="22"/>
          <w:szCs w:val="21"/>
        </w:rPr>
        <w:t xml:space="preserve"> </w:t>
      </w:r>
    </w:p>
    <w:p w:rsidR="004167B6" w:rsidRPr="00BE3440" w:rsidRDefault="004167B6" w:rsidP="004167B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1"/>
        </w:rPr>
      </w:pPr>
      <w:r w:rsidRPr="00BE3440">
        <w:rPr>
          <w:rFonts w:ascii="Arial" w:hAnsi="Arial" w:cs="Arial"/>
          <w:sz w:val="22"/>
          <w:szCs w:val="21"/>
        </w:rPr>
        <w:t xml:space="preserve">Zyclara (imiquimod 2.5%, 3.75 % cream) </w:t>
      </w:r>
      <w:r w:rsidRPr="00BE3440">
        <w:rPr>
          <w:rFonts w:ascii="Arial" w:hAnsi="Arial" w:cs="Arial"/>
          <w:sz w:val="22"/>
          <w:szCs w:val="21"/>
          <w:vertAlign w:val="superscript"/>
        </w:rPr>
        <w:t>BP</w:t>
      </w:r>
      <w:r w:rsidRPr="00BE3440">
        <w:rPr>
          <w:rFonts w:ascii="Arial" w:hAnsi="Arial" w:cs="Arial"/>
          <w:sz w:val="22"/>
          <w:szCs w:val="21"/>
        </w:rPr>
        <w:t xml:space="preserve"> – </w:t>
      </w:r>
      <w:r w:rsidRPr="00BE3440">
        <w:rPr>
          <w:rFonts w:ascii="Arial" w:hAnsi="Arial" w:cs="Arial"/>
          <w:b/>
          <w:sz w:val="22"/>
          <w:szCs w:val="21"/>
        </w:rPr>
        <w:t>PA</w:t>
      </w:r>
    </w:p>
    <w:p w:rsidR="00FD7358" w:rsidRDefault="00FD7358" w:rsidP="00FD735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b. </w:t>
      </w:r>
      <w:r w:rsidR="004167B6" w:rsidRPr="00BE3440">
        <w:rPr>
          <w:rFonts w:ascii="Arial" w:hAnsi="Arial" w:cs="Arial"/>
          <w:color w:val="000000"/>
          <w:sz w:val="22"/>
          <w:szCs w:val="21"/>
        </w:rPr>
        <w:t xml:space="preserve">Effective September 10, 2018, the following </w:t>
      </w:r>
    </w:p>
    <w:p w:rsidR="00FD7358" w:rsidRDefault="00FD7358" w:rsidP="00FD735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    </w:t>
      </w:r>
      <w:proofErr w:type="gramStart"/>
      <w:r w:rsidR="004167B6" w:rsidRPr="00BE3440">
        <w:rPr>
          <w:rFonts w:ascii="Arial" w:hAnsi="Arial" w:cs="Arial"/>
          <w:color w:val="000000"/>
          <w:sz w:val="22"/>
          <w:szCs w:val="21"/>
        </w:rPr>
        <w:t>agent</w:t>
      </w:r>
      <w:proofErr w:type="gramEnd"/>
      <w:r w:rsidR="004167B6" w:rsidRPr="00BE3440">
        <w:rPr>
          <w:rFonts w:ascii="Arial" w:hAnsi="Arial" w:cs="Arial"/>
          <w:color w:val="000000"/>
          <w:sz w:val="22"/>
          <w:szCs w:val="21"/>
        </w:rPr>
        <w:t xml:space="preserve"> will be removed from the MassHealth </w:t>
      </w:r>
    </w:p>
    <w:p w:rsidR="00FD7358" w:rsidRDefault="00FD7358" w:rsidP="00FD735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          </w:t>
      </w:r>
      <w:r w:rsidR="004167B6" w:rsidRPr="00BE3440">
        <w:rPr>
          <w:rFonts w:ascii="Arial" w:hAnsi="Arial" w:cs="Arial"/>
          <w:color w:val="000000"/>
          <w:sz w:val="22"/>
          <w:szCs w:val="21"/>
        </w:rPr>
        <w:t xml:space="preserve">Brand Name Preferred Over Generic Drug </w:t>
      </w:r>
    </w:p>
    <w:p w:rsidR="00CB3657" w:rsidRPr="00BE3440" w:rsidRDefault="00FD7358" w:rsidP="00FD735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1"/>
        </w:rPr>
        <w:t xml:space="preserve">          </w:t>
      </w:r>
      <w:proofErr w:type="gramStart"/>
      <w:r w:rsidR="004167B6" w:rsidRPr="00BE3440">
        <w:rPr>
          <w:rFonts w:ascii="Arial" w:hAnsi="Arial" w:cs="Arial"/>
          <w:color w:val="000000"/>
          <w:sz w:val="22"/>
          <w:szCs w:val="21"/>
        </w:rPr>
        <w:t>List.</w:t>
      </w:r>
      <w:proofErr w:type="gramEnd"/>
      <w:r w:rsidR="004167B6" w:rsidRPr="00BE3440">
        <w:rPr>
          <w:rFonts w:ascii="Arial" w:hAnsi="Arial" w:cs="Arial"/>
          <w:color w:val="000000"/>
          <w:sz w:val="22"/>
          <w:szCs w:val="21"/>
        </w:rPr>
        <w:t xml:space="preserve"> </w:t>
      </w:r>
    </w:p>
    <w:p w:rsidR="00E13778" w:rsidRPr="00BE3440" w:rsidRDefault="00CB3657" w:rsidP="00F22D1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t xml:space="preserve">Reyataz # </w:t>
      </w:r>
      <w:r w:rsidR="004167B6" w:rsidRPr="00BE3440">
        <w:rPr>
          <w:rFonts w:ascii="Arial" w:hAnsi="Arial" w:cs="Arial"/>
          <w:color w:val="000000"/>
          <w:sz w:val="22"/>
          <w:szCs w:val="22"/>
        </w:rPr>
        <w:t>(atazanavir)</w:t>
      </w:r>
      <w:r w:rsidR="004167B6" w:rsidRPr="00BE3440">
        <w:rPr>
          <w:b/>
          <w:color w:val="000000"/>
          <w:sz w:val="32"/>
          <w:szCs w:val="32"/>
        </w:rPr>
        <w:t xml:space="preserve"> </w:t>
      </w:r>
    </w:p>
    <w:p w:rsidR="00E13778" w:rsidRPr="00BE3440" w:rsidRDefault="00E13778" w:rsidP="00F22D1D">
      <w:pPr>
        <w:keepNext/>
        <w:keepLines/>
        <w:spacing w:line="276" w:lineRule="auto"/>
        <w:ind w:left="1440" w:firstLine="720"/>
        <w:outlineLvl w:val="0"/>
        <w:rPr>
          <w:b/>
          <w:color w:val="000000"/>
          <w:sz w:val="32"/>
          <w:szCs w:val="32"/>
        </w:rPr>
      </w:pPr>
    </w:p>
    <w:p w:rsidR="004167B6" w:rsidRPr="00BE3440" w:rsidRDefault="004167B6" w:rsidP="00FD7358">
      <w:pPr>
        <w:keepNext/>
        <w:keepLines/>
        <w:outlineLvl w:val="0"/>
        <w:rPr>
          <w:rFonts w:ascii="Arial Black" w:hAnsi="Arial Black"/>
          <w:b/>
          <w:color w:val="000000"/>
        </w:rPr>
      </w:pPr>
      <w:r w:rsidRPr="00BE3440">
        <w:rPr>
          <w:rFonts w:ascii="Arial Black" w:hAnsi="Arial Black"/>
          <w:b/>
          <w:color w:val="000000"/>
        </w:rPr>
        <w:t>Updated MassHealth Over-the-Counter Drug List</w:t>
      </w:r>
    </w:p>
    <w:p w:rsidR="004167B6" w:rsidRPr="00BE3440" w:rsidRDefault="004167B6" w:rsidP="004167B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BE3440">
        <w:rPr>
          <w:rFonts w:ascii="Arial" w:hAnsi="Arial" w:cs="Arial"/>
          <w:bCs/>
          <w:color w:val="000000"/>
          <w:sz w:val="22"/>
          <w:szCs w:val="22"/>
        </w:rPr>
        <w:t>September 10</w:t>
      </w:r>
      <w:r w:rsidRPr="00BE3440">
        <w:rPr>
          <w:rFonts w:ascii="Arial" w:hAnsi="Arial" w:cs="Arial"/>
          <w:color w:val="000000"/>
          <w:sz w:val="22"/>
          <w:szCs w:val="22"/>
        </w:rPr>
        <w:t xml:space="preserve">, 2018, the following nutrient product will be added to the MassHealth Over-the-Counter Drug List. </w:t>
      </w:r>
    </w:p>
    <w:p w:rsidR="004167B6" w:rsidRPr="00BE3440" w:rsidRDefault="004167B6" w:rsidP="004167B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color w:val="000000"/>
          <w:sz w:val="22"/>
          <w:szCs w:val="22"/>
        </w:rPr>
        <w:lastRenderedPageBreak/>
        <w:t>glucose products &lt; 19 years</w:t>
      </w:r>
    </w:p>
    <w:p w:rsidR="00CB3657" w:rsidRPr="00BE3440" w:rsidRDefault="00CB3657" w:rsidP="00F22D1D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167B6" w:rsidRDefault="004167B6" w:rsidP="00FD7358">
      <w:pPr>
        <w:pStyle w:val="Heading1"/>
        <w:jc w:val="left"/>
        <w:rPr>
          <w:rFonts w:ascii="Arial Black" w:hAnsi="Arial Black"/>
          <w:color w:val="000000"/>
          <w:sz w:val="24"/>
        </w:rPr>
      </w:pPr>
      <w:r w:rsidRPr="00BE3440">
        <w:rPr>
          <w:rFonts w:ascii="Arial Black" w:hAnsi="Arial Black"/>
          <w:color w:val="000000"/>
          <w:sz w:val="24"/>
        </w:rPr>
        <w:t>Abbreviations, Acronyms, and Symbols</w:t>
      </w:r>
    </w:p>
    <w:p w:rsidR="00FD7358" w:rsidRPr="00FD7358" w:rsidRDefault="00FD7358" w:rsidP="00FD7358"/>
    <w:p w:rsidR="004167B6" w:rsidRPr="00BE3440" w:rsidRDefault="004167B6" w:rsidP="00BE3440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b/>
          <w:bCs/>
          <w:sz w:val="22"/>
          <w:szCs w:val="22"/>
        </w:rPr>
        <w:t xml:space="preserve"># </w:t>
      </w:r>
      <w:proofErr w:type="gramStart"/>
      <w:r w:rsidRPr="00BE3440">
        <w:rPr>
          <w:rFonts w:ascii="Arial" w:hAnsi="Arial" w:cs="Arial"/>
          <w:sz w:val="22"/>
          <w:szCs w:val="22"/>
        </w:rPr>
        <w:t>This</w:t>
      </w:r>
      <w:proofErr w:type="gramEnd"/>
      <w:r w:rsidRPr="00BE3440">
        <w:rPr>
          <w:rFonts w:ascii="Arial" w:hAnsi="Arial" w:cs="Arial"/>
          <w:sz w:val="22"/>
          <w:szCs w:val="22"/>
        </w:rPr>
        <w:t xml:space="preserve"> designates a brand-name drug with FDA “A”-rated generic equivalents. Prior authorization is required for the brand, unless a particular form of that drug (for example, tablet, capsule, or liquid) does not have an FDA “A”-rated generic equivalent. </w:t>
      </w:r>
    </w:p>
    <w:p w:rsidR="004167B6" w:rsidRPr="00BE3440" w:rsidRDefault="004167B6" w:rsidP="00BE3440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E3440">
        <w:rPr>
          <w:rFonts w:ascii="Arial" w:hAnsi="Arial" w:cs="Arial"/>
          <w:b/>
          <w:bCs/>
          <w:sz w:val="22"/>
          <w:szCs w:val="22"/>
        </w:rPr>
        <w:t xml:space="preserve">PA </w:t>
      </w:r>
      <w:r w:rsidRPr="00BE3440">
        <w:rPr>
          <w:rFonts w:ascii="Arial" w:hAnsi="Arial" w:cs="Arial"/>
          <w:sz w:val="22"/>
          <w:szCs w:val="22"/>
        </w:rPr>
        <w:t xml:space="preserve">Prior authorization is required. The prescriber must obtain prior authorization for the drug in order for the pharmacy to receive payment. Note: Prior authorization applies to both the brand-name and the FDA “A”-rated generic equivalent of listed product. </w:t>
      </w:r>
    </w:p>
    <w:p w:rsidR="004167B6" w:rsidRPr="00BE3440" w:rsidRDefault="004167B6" w:rsidP="00385D6C">
      <w:pPr>
        <w:spacing w:after="120"/>
        <w:ind w:right="-7"/>
        <w:rPr>
          <w:rFonts w:ascii="Arial" w:hAnsi="Arial" w:cs="Arial"/>
          <w:color w:val="000000"/>
          <w:sz w:val="22"/>
          <w:szCs w:val="22"/>
        </w:rPr>
      </w:pPr>
      <w:r w:rsidRPr="00BE3440">
        <w:rPr>
          <w:rFonts w:ascii="Arial" w:hAnsi="Arial" w:cs="Arial"/>
          <w:b/>
          <w:color w:val="000000"/>
          <w:sz w:val="22"/>
          <w:szCs w:val="22"/>
          <w:vertAlign w:val="superscript"/>
        </w:rPr>
        <w:t>BP</w:t>
      </w:r>
      <w:r w:rsidRPr="00BE3440">
        <w:rPr>
          <w:rFonts w:ascii="Arial" w:hAnsi="Arial" w:cs="Arial"/>
          <w:color w:val="000000"/>
          <w:sz w:val="22"/>
          <w:szCs w:val="22"/>
        </w:rPr>
        <w:t xml:space="preserve"> Brand Preferred over generic </w:t>
      </w:r>
      <w:r w:rsidR="00385D6C">
        <w:rPr>
          <w:rFonts w:ascii="Arial" w:hAnsi="Arial" w:cs="Arial"/>
          <w:color w:val="000000"/>
          <w:sz w:val="22"/>
          <w:szCs w:val="22"/>
        </w:rPr>
        <w:t>e</w:t>
      </w:r>
      <w:r w:rsidRPr="00BE3440">
        <w:rPr>
          <w:rFonts w:ascii="Arial" w:hAnsi="Arial" w:cs="Arial"/>
          <w:color w:val="000000"/>
          <w:sz w:val="22"/>
          <w:szCs w:val="22"/>
        </w:rPr>
        <w:t>quivalents. In general, MassHealth requires a trial of the preferred drug or clinical rationale for prescribing the non-preferred drug generic equivalent.</w:t>
      </w:r>
    </w:p>
    <w:p w:rsidR="00D66801" w:rsidRPr="00BE3440" w:rsidRDefault="004167B6" w:rsidP="00385D6C">
      <w:pPr>
        <w:spacing w:after="120"/>
        <w:ind w:right="-7"/>
        <w:rPr>
          <w:rFonts w:ascii="Arial" w:hAnsi="Arial" w:cs="Arial"/>
          <w:bCs/>
          <w:color w:val="000000"/>
          <w:sz w:val="22"/>
          <w:szCs w:val="22"/>
        </w:rPr>
      </w:pPr>
      <w:r w:rsidRPr="00BE3440">
        <w:rPr>
          <w:rFonts w:ascii="Arial" w:hAnsi="Arial" w:cs="Arial"/>
          <w:b/>
          <w:color w:val="000000"/>
          <w:sz w:val="22"/>
          <w:szCs w:val="22"/>
          <w:vertAlign w:val="superscript"/>
        </w:rPr>
        <w:t>PD</w:t>
      </w:r>
      <w:r w:rsidRPr="00BE3440">
        <w:rPr>
          <w:rFonts w:ascii="Arial" w:hAnsi="Arial" w:cs="Arial"/>
          <w:color w:val="000000"/>
          <w:sz w:val="22"/>
          <w:szCs w:val="22"/>
        </w:rPr>
        <w:t xml:space="preserve"> Preferred Drug. In general, MassHealth requires a trial of the preferred drug or clinical rationale for prescribing a non-preferred drug within a therapeutic class.</w:t>
      </w:r>
      <w:r w:rsidR="00212622" w:rsidRPr="00BE344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E13778" w:rsidRPr="00BE3440" w:rsidRDefault="00E13778" w:rsidP="00212622">
      <w:pPr>
        <w:shd w:val="clear" w:color="auto" w:fill="FFFFFF"/>
        <w:ind w:left="270" w:hanging="441"/>
        <w:rPr>
          <w:bCs/>
          <w:color w:val="000000"/>
          <w:sz w:val="18"/>
          <w:szCs w:val="18"/>
        </w:rPr>
        <w:sectPr w:rsidR="00E13778" w:rsidRPr="00BE3440" w:rsidSect="00137D3D">
          <w:headerReference w:type="default" r:id="rId12"/>
          <w:footerReference w:type="default" r:id="rId13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BE3440" w:rsidRDefault="00A650DC" w:rsidP="00375713">
      <w:pPr>
        <w:tabs>
          <w:tab w:val="left" w:pos="1606"/>
        </w:tabs>
        <w:rPr>
          <w:color w:val="000000"/>
        </w:rPr>
      </w:pPr>
    </w:p>
    <w:sectPr w:rsidR="00A650DC" w:rsidRPr="00BE3440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BE" w:rsidRDefault="008578BE" w:rsidP="00492602">
      <w:r>
        <w:separator/>
      </w:r>
    </w:p>
  </w:endnote>
  <w:endnote w:type="continuationSeparator" w:id="0">
    <w:p w:rsidR="008578BE" w:rsidRDefault="008578BE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BE" w:rsidRDefault="008578BE" w:rsidP="00492602">
      <w:r>
        <w:separator/>
      </w:r>
    </w:p>
  </w:footnote>
  <w:footnote w:type="continuationSeparator" w:id="0">
    <w:p w:rsidR="008578BE" w:rsidRDefault="008578BE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615717" w:rsidRPr="00615717">
      <w:rPr>
        <w:sz w:val="18"/>
        <w:szCs w:val="18"/>
      </w:rPr>
      <w:t>119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391839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127A"/>
    <w:multiLevelType w:val="hybridMultilevel"/>
    <w:tmpl w:val="E8E42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7"/>
  </w:num>
  <w:num w:numId="5">
    <w:abstractNumId w:val="9"/>
  </w:num>
  <w:num w:numId="6">
    <w:abstractNumId w:val="15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23"/>
  </w:num>
  <w:num w:numId="24">
    <w:abstractNumId w:val="14"/>
  </w:num>
  <w:num w:numId="25">
    <w:abstractNumId w:val="19"/>
  </w:num>
  <w:num w:numId="26">
    <w:abstractNumId w:val="5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39"/>
    <w:rsid w:val="00054839"/>
    <w:rsid w:val="00061F50"/>
    <w:rsid w:val="000713D3"/>
    <w:rsid w:val="00074014"/>
    <w:rsid w:val="00081E8E"/>
    <w:rsid w:val="000A6318"/>
    <w:rsid w:val="000D150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622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85D6C"/>
    <w:rsid w:val="003911FC"/>
    <w:rsid w:val="00391839"/>
    <w:rsid w:val="003B6839"/>
    <w:rsid w:val="003D3B27"/>
    <w:rsid w:val="003F533B"/>
    <w:rsid w:val="004167B6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65C34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15717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2480"/>
    <w:rsid w:val="00821937"/>
    <w:rsid w:val="00833FD7"/>
    <w:rsid w:val="008340D0"/>
    <w:rsid w:val="008403CA"/>
    <w:rsid w:val="008474A5"/>
    <w:rsid w:val="0085395A"/>
    <w:rsid w:val="00853F8E"/>
    <w:rsid w:val="008578B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9F7EE9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D08CA"/>
    <w:rsid w:val="00BE3440"/>
    <w:rsid w:val="00BF0DF4"/>
    <w:rsid w:val="00C00CF2"/>
    <w:rsid w:val="00C15672"/>
    <w:rsid w:val="00C21680"/>
    <w:rsid w:val="00C31421"/>
    <w:rsid w:val="00C33753"/>
    <w:rsid w:val="00C35B94"/>
    <w:rsid w:val="00C82FA4"/>
    <w:rsid w:val="00CA0669"/>
    <w:rsid w:val="00CA1E7C"/>
    <w:rsid w:val="00CB0030"/>
    <w:rsid w:val="00CB3657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939D0"/>
    <w:rsid w:val="00DA6A55"/>
    <w:rsid w:val="00E06F7D"/>
    <w:rsid w:val="00E13778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B2A45"/>
    <w:rsid w:val="00EC08AC"/>
    <w:rsid w:val="00EC1948"/>
    <w:rsid w:val="00ED4639"/>
    <w:rsid w:val="00EE54D2"/>
    <w:rsid w:val="00EF7C8A"/>
    <w:rsid w:val="00F22D1D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D7358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EE9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9F7EE9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E508-A18C-4DB9-8735-207D6613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2018-09-12T17:44:00Z</dcterms:created>
  <dcterms:modified xsi:type="dcterms:W3CDTF">2018-09-12T17:44:00Z</dcterms:modified>
</cp:coreProperties>
</file>