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0"/>
        <w:rPr>
          <w:rFonts w:ascii="Times New Roman"/>
          <w:sz w:val="20"/>
        </w:rPr>
      </w:pPr>
      <w:r>
        <w:rPr>
          <w:rFonts w:ascii="Times New Roman"/>
          <w:sz w:val="20"/>
        </w:rPr>
        <w:pict>
          <v:group style="width:549.6pt;height:94.9pt;mso-position-horizontal-relative:char;mso-position-vertical-relative:line" coordorigin="0,0" coordsize="10992,1898">
            <v:shape style="position:absolute;left:0;top:0;width:10992;height:1878" type="#_x0000_t75" stroked="false">
              <v:imagedata r:id="rId5" o:title=""/>
            </v:shape>
            <v:line style="position:absolute" from="144,1888" to="10757,1888" stroked="true" strokeweight=".95996pt" strokecolor="#000000">
              <v:stroke dashstyle="solid"/>
            </v:line>
            <v:shapetype id="_x0000_t202" o:spt="202" coordsize="21600,21600" path="m,l,21600r21600,l21600,xe">
              <v:stroke joinstyle="miter"/>
              <v:path gradientshapeok="t" o:connecttype="rect"/>
            </v:shapetype>
            <v:shape style="position:absolute;left:864;top:972;width:1506;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12</w:t>
                    </w:r>
                  </w:p>
                  <w:p>
                    <w:pPr>
                      <w:spacing w:before="44"/>
                      <w:ind w:left="0" w:right="0" w:firstLine="0"/>
                      <w:jc w:val="left"/>
                      <w:rPr>
                        <w:rFonts w:ascii="Arial Narrow"/>
                        <w:b/>
                        <w:sz w:val="20"/>
                      </w:rPr>
                    </w:pPr>
                    <w:r>
                      <w:rPr>
                        <w:rFonts w:ascii="Arial Narrow"/>
                        <w:b/>
                        <w:sz w:val="20"/>
                      </w:rPr>
                      <w:t>November 10, 2005</w:t>
                    </w:r>
                  </w:p>
                </w:txbxContent>
              </v:textbox>
              <w10:wrap type="none"/>
            </v:shape>
          </v:group>
        </w:pict>
      </w:r>
      <w:r>
        <w:rPr>
          <w:rFonts w:ascii="Times New Roman"/>
          <w:sz w:val="20"/>
        </w:rPr>
      </w:r>
    </w:p>
    <w:p>
      <w:pPr>
        <w:pStyle w:val="ListParagraph"/>
        <w:numPr>
          <w:ilvl w:val="0"/>
          <w:numId w:val="1"/>
        </w:numPr>
        <w:tabs>
          <w:tab w:pos="2556" w:val="left" w:leader="none"/>
        </w:tabs>
        <w:spacing w:line="231" w:lineRule="exact" w:before="0" w:after="0"/>
        <w:ind w:left="2555"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w:t>
      </w:r>
      <w:r>
        <w:rPr>
          <w:rFonts w:ascii="Arial Black" w:hAnsi="Arial Black"/>
          <w:b/>
          <w:sz w:val="18"/>
        </w:rPr>
        <w:t>•</w:t>
      </w:r>
    </w:p>
    <w:p>
      <w:pPr>
        <w:pStyle w:val="BodyText"/>
        <w:spacing w:before="2"/>
        <w:rPr>
          <w:rFonts w:ascii="Arial Black"/>
          <w:b/>
          <w:sz w:val="29"/>
        </w:rPr>
      </w:pPr>
    </w:p>
    <w:p>
      <w:pPr>
        <w:spacing w:after="0"/>
        <w:rPr>
          <w:rFonts w:ascii="Arial Black"/>
          <w:sz w:val="29"/>
        </w:rPr>
        <w:sectPr>
          <w:type w:val="continuous"/>
          <w:pgSz w:w="12240" w:h="15840"/>
          <w:pgMar w:top="360" w:bottom="0" w:left="600" w:right="240"/>
        </w:sectPr>
      </w:pPr>
    </w:p>
    <w:p>
      <w:pPr>
        <w:pStyle w:val="Heading1"/>
        <w:spacing w:before="100"/>
        <w:ind w:left="372"/>
        <w:rPr>
          <w:b/>
        </w:rPr>
      </w:pPr>
      <w:r>
        <w:rPr/>
        <w:pict>
          <v:group style="position:absolute;margin-left:42.700001pt;margin-top:-18.073544pt;width:531.65pt;height:610.050pt;mso-position-horizontal-relative:page;mso-position-vertical-relative:paragraph;z-index:-3256" coordorigin="854,-361" coordsize="10633,12201">
            <v:line style="position:absolute" from="864,-351" to="6169,-351" stroked="true" strokeweight=".95996pt" strokecolor="#000000">
              <v:stroke dashstyle="solid"/>
            </v:line>
            <v:line style="position:absolute" from="6169,-341" to="6179,-341" stroked="true" strokeweight=".060059pt" strokecolor="#000000">
              <v:stroke dashstyle="solid"/>
            </v:line>
            <v:line style="position:absolute" from="6169,-351" to="11477,-351" stroked="true" strokeweight=".95996pt" strokecolor="#000000">
              <v:stroke dashstyle="solid"/>
            </v:line>
            <v:line style="position:absolute" from="6174,-341" to="6174,11835" stroked="true" strokeweight=".48001pt" strokecolor="#000000">
              <v:stroke dashstyle="solid"/>
            </v:line>
            <w10:wrap type="none"/>
          </v:group>
        </w:pict>
      </w:r>
      <w:r>
        <w:rPr>
          <w:b/>
        </w:rPr>
        <w:t>New Pharmacy Web Site</w:t>
      </w:r>
    </w:p>
    <w:p>
      <w:pPr>
        <w:pStyle w:val="BodyText"/>
        <w:spacing w:line="290" w:lineRule="auto" w:before="193"/>
        <w:ind w:left="371"/>
      </w:pPr>
      <w:r>
        <w:rPr/>
        <w:t>The Pharmacy Program at MassHealth has a new Web site. Useful information at this site includes links to the MassHealth Drug List, pharmacy regulations, PA forms, and billing guide.  The address for this site is </w:t>
      </w:r>
      <w:hyperlink r:id="rId6">
        <w:r>
          <w:rPr>
            <w:color w:val="0000FF"/>
            <w:sz w:val="20"/>
            <w:u w:val="single" w:color="0000FF"/>
          </w:rPr>
          <w:t>www.mass.gov/masshealth/pharmacy</w:t>
        </w:r>
        <w:r>
          <w:rPr/>
          <w:t>.</w:t>
        </w:r>
      </w:hyperlink>
    </w:p>
    <w:p>
      <w:pPr>
        <w:pStyle w:val="BodyText"/>
        <w:rPr>
          <w:sz w:val="22"/>
        </w:rPr>
      </w:pPr>
    </w:p>
    <w:p>
      <w:pPr>
        <w:pStyle w:val="BodyText"/>
        <w:spacing w:before="10"/>
        <w:rPr>
          <w:sz w:val="26"/>
        </w:rPr>
      </w:pPr>
    </w:p>
    <w:p>
      <w:pPr>
        <w:pStyle w:val="Heading1"/>
        <w:ind w:left="372"/>
        <w:rPr>
          <w:b/>
        </w:rPr>
      </w:pPr>
      <w:r>
        <w:rPr>
          <w:b/>
        </w:rPr>
        <w:t>Pharmacy Program Regulations</w:t>
      </w:r>
    </w:p>
    <w:p>
      <w:pPr>
        <w:pStyle w:val="BodyText"/>
        <w:spacing w:line="290" w:lineRule="auto" w:before="192"/>
        <w:ind w:left="372" w:right="193"/>
      </w:pPr>
      <w:r>
        <w:rPr/>
        <w:t>Pharmacies will receive postcard notification of an update to Subchapter 4 of the Pharmacy Manual. The referenced document, TL PHM-53, can also be found at </w:t>
      </w:r>
      <w:hyperlink r:id="rId7">
        <w:r>
          <w:rPr>
            <w:color w:val="0000FF"/>
            <w:sz w:val="20"/>
            <w:u w:val="single" w:color="0000FF"/>
          </w:rPr>
          <w:t>www.mass.gov/masshealthpubs</w:t>
        </w:r>
        <w:r>
          <w:rPr/>
          <w:t>.</w:t>
        </w:r>
      </w:hyperlink>
    </w:p>
    <w:p>
      <w:pPr>
        <w:pStyle w:val="BodyText"/>
        <w:spacing w:line="290" w:lineRule="auto" w:before="122"/>
        <w:ind w:left="372" w:right="695"/>
      </w:pPr>
      <w:r>
        <w:rPr/>
        <w:t>The following changes, of particular interest to pharmacists, will become effective 12/1/2005:</w:t>
      </w:r>
    </w:p>
    <w:p>
      <w:pPr>
        <w:pStyle w:val="ListParagraph"/>
        <w:numPr>
          <w:ilvl w:val="0"/>
          <w:numId w:val="2"/>
        </w:numPr>
        <w:tabs>
          <w:tab w:pos="839" w:val="left" w:leader="none"/>
          <w:tab w:pos="840" w:val="left" w:leader="none"/>
        </w:tabs>
        <w:spacing w:line="290" w:lineRule="auto" w:before="122" w:after="0"/>
        <w:ind w:left="840" w:right="92" w:hanging="360"/>
        <w:jc w:val="left"/>
        <w:rPr>
          <w:sz w:val="21"/>
        </w:rPr>
      </w:pPr>
      <w:r>
        <w:rPr>
          <w:sz w:val="21"/>
        </w:rPr>
        <w:t>MassHealth does not pay for prescriptions if the prescribing clinician has been suspended, terminated from participation, or denied admission by</w:t>
      </w:r>
      <w:r>
        <w:rPr>
          <w:spacing w:val="-21"/>
          <w:sz w:val="21"/>
        </w:rPr>
        <w:t> </w:t>
      </w:r>
      <w:r>
        <w:rPr>
          <w:sz w:val="21"/>
        </w:rPr>
        <w:t>MassHealth.</w:t>
      </w:r>
    </w:p>
    <w:p>
      <w:pPr>
        <w:pStyle w:val="ListParagraph"/>
        <w:numPr>
          <w:ilvl w:val="0"/>
          <w:numId w:val="2"/>
        </w:numPr>
        <w:tabs>
          <w:tab w:pos="839" w:val="left" w:leader="none"/>
          <w:tab w:pos="840" w:val="left" w:leader="none"/>
        </w:tabs>
        <w:spacing w:line="290" w:lineRule="auto" w:before="122" w:after="0"/>
        <w:ind w:left="840" w:right="117" w:hanging="360"/>
        <w:jc w:val="left"/>
        <w:rPr>
          <w:sz w:val="21"/>
        </w:rPr>
      </w:pPr>
      <w:r>
        <w:rPr>
          <w:sz w:val="21"/>
        </w:rPr>
        <w:t>MassHealth limits the days’ supply of a prescription to a 30-day supply, unless the</w:t>
      </w:r>
      <w:r>
        <w:rPr>
          <w:spacing w:val="-31"/>
          <w:sz w:val="21"/>
        </w:rPr>
        <w:t> </w:t>
      </w:r>
      <w:r>
        <w:rPr>
          <w:sz w:val="21"/>
        </w:rPr>
        <w:t>drug is available only in a larger minimum package size. Prescriptions for methylphenidate and amphetamine products will continue to be accepted when written for a 60-day</w:t>
      </w:r>
      <w:r>
        <w:rPr>
          <w:spacing w:val="-27"/>
          <w:sz w:val="21"/>
        </w:rPr>
        <w:t> </w:t>
      </w:r>
      <w:r>
        <w:rPr>
          <w:sz w:val="21"/>
        </w:rPr>
        <w:t>supply.</w:t>
      </w:r>
    </w:p>
    <w:p>
      <w:pPr>
        <w:pStyle w:val="ListParagraph"/>
        <w:numPr>
          <w:ilvl w:val="0"/>
          <w:numId w:val="2"/>
        </w:numPr>
        <w:tabs>
          <w:tab w:pos="839" w:val="left" w:leader="none"/>
          <w:tab w:pos="840" w:val="left" w:leader="none"/>
        </w:tabs>
        <w:spacing w:line="290" w:lineRule="auto" w:before="122" w:after="0"/>
        <w:ind w:left="840" w:right="196" w:hanging="360"/>
        <w:jc w:val="left"/>
        <w:rPr>
          <w:sz w:val="21"/>
        </w:rPr>
      </w:pPr>
      <w:r>
        <w:rPr>
          <w:sz w:val="21"/>
        </w:rPr>
        <w:t>MassHealth does not pay for drugs when used in the treatment of male or female sexual dysfunction.</w:t>
      </w:r>
    </w:p>
    <w:p>
      <w:pPr>
        <w:pStyle w:val="Heading1"/>
        <w:spacing w:before="100"/>
        <w:rPr>
          <w:b/>
        </w:rPr>
      </w:pPr>
      <w:r>
        <w:rPr>
          <w:b w:val="0"/>
        </w:rPr>
        <w:br w:type="column"/>
      </w:r>
      <w:r>
        <w:rPr>
          <w:b/>
        </w:rPr>
        <w:t>Pregnancy</w:t>
      </w:r>
    </w:p>
    <w:p>
      <w:pPr>
        <w:pStyle w:val="BodyText"/>
        <w:spacing w:line="290" w:lineRule="auto" w:before="193"/>
        <w:ind w:left="271" w:right="766"/>
      </w:pPr>
      <w:r>
        <w:rPr/>
        <w:t>Members who are pregnant or in the postpartum period (extending through the end of the second calendar month following the final month of their pregnancy), are exempt from MassHealth copayment requirements. In these cases, the pharmacist should enter a </w:t>
      </w:r>
      <w:r>
        <w:rPr>
          <w:b/>
        </w:rPr>
        <w:t>2 </w:t>
      </w:r>
      <w:r>
        <w:rPr/>
        <w:t>in the Pregnancy Indicator Field (NCPDP- 335-2C) of the pharmacy claim.</w:t>
      </w:r>
    </w:p>
    <w:p>
      <w:pPr>
        <w:pStyle w:val="BodyText"/>
        <w:rPr>
          <w:sz w:val="22"/>
        </w:rPr>
      </w:pPr>
    </w:p>
    <w:p>
      <w:pPr>
        <w:pStyle w:val="BodyText"/>
        <w:rPr>
          <w:sz w:val="27"/>
        </w:rPr>
      </w:pPr>
    </w:p>
    <w:p>
      <w:pPr>
        <w:pStyle w:val="Heading1"/>
        <w:spacing w:line="288" w:lineRule="auto"/>
        <w:ind w:right="766"/>
        <w:rPr>
          <w:b/>
        </w:rPr>
      </w:pPr>
      <w:r>
        <w:rPr>
          <w:b/>
        </w:rPr>
        <w:t>Continuing Education (CE) Events: Medicare Part D</w:t>
      </w:r>
    </w:p>
    <w:p>
      <w:pPr>
        <w:pStyle w:val="BodyText"/>
        <w:spacing w:line="290" w:lineRule="auto" w:before="132"/>
        <w:ind w:left="271" w:right="854"/>
      </w:pPr>
      <w:r>
        <w:rPr/>
        <w:t>MassHealth and ACS are offering pharmacists a CE opportunity that will provide 2 hours of CE credit for pharmacy law. These evening programs will take place in the following cities, on the specified dates:</w:t>
      </w:r>
    </w:p>
    <w:p>
      <w:pPr>
        <w:pStyle w:val="ListParagraph"/>
        <w:numPr>
          <w:ilvl w:val="0"/>
          <w:numId w:val="2"/>
        </w:numPr>
        <w:tabs>
          <w:tab w:pos="829" w:val="left" w:leader="none"/>
          <w:tab w:pos="830" w:val="left" w:leader="none"/>
        </w:tabs>
        <w:spacing w:line="240" w:lineRule="auto" w:before="123" w:after="0"/>
        <w:ind w:left="829" w:right="0" w:hanging="360"/>
        <w:jc w:val="left"/>
        <w:rPr>
          <w:sz w:val="21"/>
        </w:rPr>
      </w:pPr>
      <w:r>
        <w:rPr>
          <w:sz w:val="21"/>
        </w:rPr>
        <w:t>Worcester, Tuesday, December</w:t>
      </w:r>
      <w:r>
        <w:rPr>
          <w:spacing w:val="-22"/>
          <w:sz w:val="21"/>
        </w:rPr>
        <w:t> </w:t>
      </w:r>
      <w:r>
        <w:rPr>
          <w:sz w:val="21"/>
        </w:rPr>
        <w:t>6</w:t>
      </w:r>
    </w:p>
    <w:p>
      <w:pPr>
        <w:pStyle w:val="ListParagraph"/>
        <w:numPr>
          <w:ilvl w:val="0"/>
          <w:numId w:val="2"/>
        </w:numPr>
        <w:tabs>
          <w:tab w:pos="829" w:val="left" w:leader="none"/>
          <w:tab w:pos="830" w:val="left" w:leader="none"/>
        </w:tabs>
        <w:spacing w:line="240" w:lineRule="auto" w:before="172" w:after="0"/>
        <w:ind w:left="829" w:right="0" w:hanging="360"/>
        <w:jc w:val="left"/>
        <w:rPr>
          <w:sz w:val="21"/>
        </w:rPr>
      </w:pPr>
      <w:r>
        <w:rPr>
          <w:sz w:val="21"/>
        </w:rPr>
        <w:t>Somerville, Thursday, December</w:t>
      </w:r>
      <w:r>
        <w:rPr>
          <w:spacing w:val="-26"/>
          <w:sz w:val="21"/>
        </w:rPr>
        <w:t> </w:t>
      </w:r>
      <w:r>
        <w:rPr>
          <w:sz w:val="21"/>
        </w:rPr>
        <w:t>8</w:t>
      </w:r>
    </w:p>
    <w:p>
      <w:pPr>
        <w:pStyle w:val="ListParagraph"/>
        <w:numPr>
          <w:ilvl w:val="0"/>
          <w:numId w:val="2"/>
        </w:numPr>
        <w:tabs>
          <w:tab w:pos="829" w:val="left" w:leader="none"/>
          <w:tab w:pos="830" w:val="left" w:leader="none"/>
        </w:tabs>
        <w:spacing w:line="240" w:lineRule="auto" w:before="172" w:after="0"/>
        <w:ind w:left="829" w:right="0" w:hanging="360"/>
        <w:jc w:val="left"/>
        <w:rPr>
          <w:sz w:val="21"/>
        </w:rPr>
      </w:pPr>
      <w:r>
        <w:rPr>
          <w:sz w:val="21"/>
        </w:rPr>
        <w:t>Springfield, Tuesday, December</w:t>
      </w:r>
      <w:r>
        <w:rPr>
          <w:spacing w:val="-27"/>
          <w:sz w:val="21"/>
        </w:rPr>
        <w:t> </w:t>
      </w:r>
      <w:r>
        <w:rPr>
          <w:sz w:val="21"/>
        </w:rPr>
        <w:t>13</w:t>
      </w:r>
    </w:p>
    <w:p>
      <w:pPr>
        <w:pStyle w:val="ListParagraph"/>
        <w:numPr>
          <w:ilvl w:val="0"/>
          <w:numId w:val="2"/>
        </w:numPr>
        <w:tabs>
          <w:tab w:pos="829" w:val="left" w:leader="none"/>
          <w:tab w:pos="830" w:val="left" w:leader="none"/>
        </w:tabs>
        <w:spacing w:line="240" w:lineRule="auto" w:before="172" w:after="0"/>
        <w:ind w:left="829" w:right="0" w:hanging="360"/>
        <w:jc w:val="left"/>
        <w:rPr>
          <w:sz w:val="21"/>
        </w:rPr>
      </w:pPr>
      <w:r>
        <w:rPr>
          <w:sz w:val="21"/>
        </w:rPr>
        <w:t>Randolph, Thursday, December</w:t>
      </w:r>
      <w:r>
        <w:rPr>
          <w:spacing w:val="-24"/>
          <w:sz w:val="21"/>
        </w:rPr>
        <w:t> </w:t>
      </w:r>
      <w:r>
        <w:rPr>
          <w:sz w:val="21"/>
        </w:rPr>
        <w:t>15</w:t>
      </w:r>
    </w:p>
    <w:p>
      <w:pPr>
        <w:pStyle w:val="BodyText"/>
        <w:spacing w:line="290" w:lineRule="auto" w:before="172"/>
        <w:ind w:left="271" w:right="666"/>
      </w:pPr>
      <w:r>
        <w:rPr/>
        <w:t>If you are interested, please save the dates; additional details will follow.</w:t>
      </w:r>
    </w:p>
    <w:p>
      <w:pPr>
        <w:spacing w:after="0" w:line="290" w:lineRule="auto"/>
        <w:sectPr>
          <w:type w:val="continuous"/>
          <w:pgSz w:w="12240" w:h="15840"/>
          <w:pgMar w:top="360" w:bottom="0" w:left="600" w:right="240"/>
          <w:cols w:num="2" w:equalWidth="0">
            <w:col w:w="5371" w:space="40"/>
            <w:col w:w="598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after="1"/>
        <w:rPr>
          <w:sz w:val="26"/>
        </w:rPr>
      </w:pPr>
    </w:p>
    <w:p>
      <w:pPr>
        <w:pStyle w:val="BodyText"/>
        <w:spacing w:line="41" w:lineRule="exact"/>
        <w:ind w:left="293"/>
        <w:rPr>
          <w:sz w:val="4"/>
        </w:rPr>
      </w:pPr>
      <w:r>
        <w:rPr>
          <w:position w:val="0"/>
          <w:sz w:val="4"/>
        </w:rPr>
        <w:pict>
          <v:group style="width:549.7pt;height:2.1pt;mso-position-horizontal-relative:char;mso-position-vertical-relative:line" coordorigin="0,0" coordsize="10994,42">
            <v:line style="position:absolute" from="7,7" to="10987,7" stroked="true" strokeweight=".66pt" strokecolor="#000000">
              <v:stroke dashstyle="solid"/>
            </v:line>
            <v:line style="position:absolute" from="7,35" to="10987,35" stroked="true" strokeweight=".66pt" strokecolor="#000000">
              <v:stroke dashstyle="solid"/>
            </v:line>
          </v:group>
        </w:pict>
      </w:r>
      <w:r>
        <w:rPr>
          <w:position w:val="0"/>
          <w:sz w:val="4"/>
        </w:rPr>
      </w:r>
    </w:p>
    <w:p>
      <w:pPr>
        <w:pStyle w:val="BodyText"/>
        <w:spacing w:line="241" w:lineRule="exact" w:before="87"/>
        <w:ind w:left="300"/>
      </w:pPr>
      <w:r>
        <w:rPr/>
        <w:t>Please direct any questions or comments (or to be taken off of this fax distribution) to</w:t>
      </w:r>
    </w:p>
    <w:p>
      <w:pPr>
        <w:spacing w:line="296" w:lineRule="exact" w:before="0"/>
        <w:ind w:left="299" w:right="0" w:firstLine="0"/>
        <w:jc w:val="left"/>
        <w:rPr>
          <w:sz w:val="21"/>
        </w:rPr>
      </w:pPr>
      <w:r>
        <w:rPr>
          <w:rFonts w:ascii="Arial Black"/>
          <w:b/>
          <w:sz w:val="21"/>
        </w:rPr>
        <w:t>Victor Moquin </w:t>
      </w:r>
      <w:r>
        <w:rPr>
          <w:sz w:val="21"/>
        </w:rPr>
        <w:t>of ACS at 617-423-9830.</w:t>
      </w:r>
    </w:p>
    <w:sectPr>
      <w:type w:val="continuous"/>
      <w:pgSz w:w="12240" w:h="15840"/>
      <w:pgMar w:top="360" w:bottom="0" w:left="6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w w:val="99"/>
        <w:sz w:val="16"/>
        <w:szCs w:val="16"/>
      </w:rPr>
    </w:lvl>
    <w:lvl w:ilvl="1">
      <w:start w:val="0"/>
      <w:numFmt w:val="bullet"/>
      <w:lvlText w:val="•"/>
      <w:lvlJc w:val="left"/>
      <w:pPr>
        <w:ind w:left="1293" w:hanging="360"/>
      </w:pPr>
      <w:rPr>
        <w:rFonts w:hint="default"/>
      </w:rPr>
    </w:lvl>
    <w:lvl w:ilvl="2">
      <w:start w:val="0"/>
      <w:numFmt w:val="bullet"/>
      <w:lvlText w:val="•"/>
      <w:lvlJc w:val="left"/>
      <w:pPr>
        <w:ind w:left="1746" w:hanging="360"/>
      </w:pPr>
      <w:rPr>
        <w:rFonts w:hint="default"/>
      </w:rPr>
    </w:lvl>
    <w:lvl w:ilvl="3">
      <w:start w:val="0"/>
      <w:numFmt w:val="bullet"/>
      <w:lvlText w:val="•"/>
      <w:lvlJc w:val="left"/>
      <w:pPr>
        <w:ind w:left="2199" w:hanging="360"/>
      </w:pPr>
      <w:rPr>
        <w:rFonts w:hint="default"/>
      </w:rPr>
    </w:lvl>
    <w:lvl w:ilvl="4">
      <w:start w:val="0"/>
      <w:numFmt w:val="bullet"/>
      <w:lvlText w:val="•"/>
      <w:lvlJc w:val="left"/>
      <w:pPr>
        <w:ind w:left="2652" w:hanging="360"/>
      </w:pPr>
      <w:rPr>
        <w:rFonts w:hint="default"/>
      </w:rPr>
    </w:lvl>
    <w:lvl w:ilvl="5">
      <w:start w:val="0"/>
      <w:numFmt w:val="bullet"/>
      <w:lvlText w:val="•"/>
      <w:lvlJc w:val="left"/>
      <w:pPr>
        <w:ind w:left="3105" w:hanging="360"/>
      </w:pPr>
      <w:rPr>
        <w:rFonts w:hint="default"/>
      </w:rPr>
    </w:lvl>
    <w:lvl w:ilvl="6">
      <w:start w:val="0"/>
      <w:numFmt w:val="bullet"/>
      <w:lvlText w:val="•"/>
      <w:lvlJc w:val="left"/>
      <w:pPr>
        <w:ind w:left="3558" w:hanging="360"/>
      </w:pPr>
      <w:rPr>
        <w:rFonts w:hint="default"/>
      </w:rPr>
    </w:lvl>
    <w:lvl w:ilvl="7">
      <w:start w:val="0"/>
      <w:numFmt w:val="bullet"/>
      <w:lvlText w:val="•"/>
      <w:lvlJc w:val="left"/>
      <w:pPr>
        <w:ind w:left="4011" w:hanging="360"/>
      </w:pPr>
      <w:rPr>
        <w:rFonts w:hint="default"/>
      </w:rPr>
    </w:lvl>
    <w:lvl w:ilvl="8">
      <w:start w:val="0"/>
      <w:numFmt w:val="bullet"/>
      <w:lvlText w:val="•"/>
      <w:lvlJc w:val="left"/>
      <w:pPr>
        <w:ind w:left="4464" w:hanging="360"/>
      </w:pPr>
      <w:rPr>
        <w:rFonts w:hint="default"/>
      </w:rPr>
    </w:lvl>
  </w:abstractNum>
  <w:abstractNum w:abstractNumId="0">
    <w:multiLevelType w:val="hybridMultilevel"/>
    <w:lvl w:ilvl="0">
      <w:start w:val="0"/>
      <w:numFmt w:val="bullet"/>
      <w:lvlText w:val="•"/>
      <w:lvlJc w:val="left"/>
      <w:pPr>
        <w:ind w:left="2555" w:hanging="150"/>
      </w:pPr>
      <w:rPr>
        <w:rFonts w:hint="default" w:ascii="Arial Black" w:hAnsi="Arial Black" w:eastAsia="Arial Black" w:cs="Arial Black"/>
        <w:b/>
        <w:bCs/>
        <w:w w:val="100"/>
        <w:sz w:val="18"/>
        <w:szCs w:val="18"/>
      </w:rPr>
    </w:lvl>
    <w:lvl w:ilvl="1">
      <w:start w:val="0"/>
      <w:numFmt w:val="bullet"/>
      <w:lvlText w:val="•"/>
      <w:lvlJc w:val="left"/>
      <w:pPr>
        <w:ind w:left="3444" w:hanging="150"/>
      </w:pPr>
      <w:rPr>
        <w:rFonts w:hint="default"/>
      </w:rPr>
    </w:lvl>
    <w:lvl w:ilvl="2">
      <w:start w:val="0"/>
      <w:numFmt w:val="bullet"/>
      <w:lvlText w:val="•"/>
      <w:lvlJc w:val="left"/>
      <w:pPr>
        <w:ind w:left="4328" w:hanging="150"/>
      </w:pPr>
      <w:rPr>
        <w:rFonts w:hint="default"/>
      </w:rPr>
    </w:lvl>
    <w:lvl w:ilvl="3">
      <w:start w:val="0"/>
      <w:numFmt w:val="bullet"/>
      <w:lvlText w:val="•"/>
      <w:lvlJc w:val="left"/>
      <w:pPr>
        <w:ind w:left="5212" w:hanging="150"/>
      </w:pPr>
      <w:rPr>
        <w:rFonts w:hint="default"/>
      </w:rPr>
    </w:lvl>
    <w:lvl w:ilvl="4">
      <w:start w:val="0"/>
      <w:numFmt w:val="bullet"/>
      <w:lvlText w:val="•"/>
      <w:lvlJc w:val="left"/>
      <w:pPr>
        <w:ind w:left="6096" w:hanging="150"/>
      </w:pPr>
      <w:rPr>
        <w:rFonts w:hint="default"/>
      </w:rPr>
    </w:lvl>
    <w:lvl w:ilvl="5">
      <w:start w:val="0"/>
      <w:numFmt w:val="bullet"/>
      <w:lvlText w:val="•"/>
      <w:lvlJc w:val="left"/>
      <w:pPr>
        <w:ind w:left="6980" w:hanging="150"/>
      </w:pPr>
      <w:rPr>
        <w:rFonts w:hint="default"/>
      </w:rPr>
    </w:lvl>
    <w:lvl w:ilvl="6">
      <w:start w:val="0"/>
      <w:numFmt w:val="bullet"/>
      <w:lvlText w:val="•"/>
      <w:lvlJc w:val="left"/>
      <w:pPr>
        <w:ind w:left="7864" w:hanging="150"/>
      </w:pPr>
      <w:rPr>
        <w:rFonts w:hint="default"/>
      </w:rPr>
    </w:lvl>
    <w:lvl w:ilvl="7">
      <w:start w:val="0"/>
      <w:numFmt w:val="bullet"/>
      <w:lvlText w:val="•"/>
      <w:lvlJc w:val="left"/>
      <w:pPr>
        <w:ind w:left="8748" w:hanging="150"/>
      </w:pPr>
      <w:rPr>
        <w:rFonts w:hint="default"/>
      </w:rPr>
    </w:lvl>
    <w:lvl w:ilvl="8">
      <w:start w:val="0"/>
      <w:numFmt w:val="bullet"/>
      <w:lvlText w:val="•"/>
      <w:lvlJc w:val="left"/>
      <w:pPr>
        <w:ind w:left="9632"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271"/>
      <w:outlineLvl w:val="1"/>
    </w:pPr>
    <w:rPr>
      <w:rFonts w:ascii="Arial Black" w:hAnsi="Arial Black" w:eastAsia="Arial Black" w:cs="Arial Black"/>
      <w:b/>
      <w:bCs/>
      <w:sz w:val="22"/>
      <w:szCs w:val="22"/>
    </w:rPr>
  </w:style>
  <w:style w:styleId="ListParagraph" w:type="paragraph">
    <w:name w:val="List Paragraph"/>
    <w:basedOn w:val="Normal"/>
    <w:uiPriority w:val="1"/>
    <w:qFormat/>
    <w:pPr>
      <w:spacing w:before="122"/>
      <w:ind w:left="829"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pub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PKraytman</dc:creator>
  <dc:title>Microsoft Word - PharmFacts_#12.doc</dc:title>
  <dcterms:created xsi:type="dcterms:W3CDTF">2017-11-16T08:51:31Z</dcterms:created>
  <dcterms:modified xsi:type="dcterms:W3CDTF">2017-11-16T08:51:31Z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2005-11-10T00:00:00Z</vt:filetime>
  </property>
  <property fmtid="{D5CDD505-2E9C-101B-9397-08002B2CF9AE}" pid="3" name="Creator">
    <vt:lpwstr>PScript5.dll Version 5.2.2</vt:lpwstr>
  </property>
  <property fmtid="{D5CDD505-2E9C-101B-9397-08002B2CF9AE}" pid="4" name="LastSaved">
    <vt:filetime>2017-11-16T00:00:00Z</vt:filetime>
  </property>
</Properties>
</file>