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014" w:rsidRPr="00D327DC" w:rsidRDefault="00EF29A2" w:rsidP="00A11371">
      <w:pPr>
        <w:tabs>
          <w:tab w:val="left" w:pos="10530"/>
        </w:tabs>
        <w:ind w:right="720"/>
        <w:rPr>
          <w:sz w:val="18"/>
        </w:rPr>
      </w:pPr>
      <w:r>
        <w:rPr>
          <w:rFonts w:ascii="Arial" w:hAnsi="Arial" w:cs="Arial"/>
          <w:noProof/>
          <w:sz w:val="16"/>
          <w:szCs w:val="22"/>
        </w:rPr>
        <w:pict>
          <v:shapetype id="_x0000_t202" coordsize="21600,21600" o:spt="202" path="m,l,21600r21600,l21600,xe">
            <v:stroke joinstyle="miter"/>
            <v:path gradientshapeok="t" o:connecttype="rect"/>
          </v:shapetype>
          <v:shape id="_x0000_s1031" type="#_x0000_t202" style="position:absolute;margin-left:450pt;margin-top:90pt;width:81pt;height:18pt;z-index:251658752" stroked="f">
            <v:textbox style="mso-next-textbox:#_x0000_s1031">
              <w:txbxContent>
                <w:p w:rsidR="00AD18B8" w:rsidRPr="00A120E1" w:rsidRDefault="00AD18B8" w:rsidP="00140D08">
                  <w:pPr>
                    <w:pStyle w:val="Default"/>
                    <w:rPr>
                      <w:sz w:val="6"/>
                      <w:szCs w:val="6"/>
                    </w:rPr>
                  </w:pPr>
                </w:p>
              </w:txbxContent>
            </v:textbox>
          </v:shape>
        </w:pict>
      </w:r>
    </w:p>
    <w:tbl>
      <w:tblPr>
        <w:tblW w:w="0" w:type="auto"/>
        <w:tblBorders>
          <w:insideH w:val="single" w:sz="6" w:space="0" w:color="000000"/>
          <w:insideV w:val="single" w:sz="6" w:space="0" w:color="000000"/>
        </w:tblBorders>
        <w:tblLayout w:type="fixed"/>
        <w:tblLook w:val="01E0" w:firstRow="1" w:lastRow="1" w:firstColumn="1" w:lastColumn="1" w:noHBand="0" w:noVBand="0"/>
      </w:tblPr>
      <w:tblGrid>
        <w:gridCol w:w="10818"/>
      </w:tblGrid>
      <w:tr w:rsidR="00CA0669" w:rsidTr="008C5414">
        <w:trPr>
          <w:trHeight w:val="188"/>
        </w:trPr>
        <w:tc>
          <w:tcPr>
            <w:tcW w:w="10818" w:type="dxa"/>
            <w:shd w:val="clear" w:color="auto" w:fill="auto"/>
          </w:tcPr>
          <w:p w:rsidR="00CA0669" w:rsidRPr="008C5414" w:rsidRDefault="00EF29A2" w:rsidP="00A571F6">
            <w:pPr>
              <w:autoSpaceDE w:val="0"/>
              <w:autoSpaceDN w:val="0"/>
              <w:adjustRightInd w:val="0"/>
              <w:spacing w:line="288" w:lineRule="auto"/>
              <w:ind w:left="-90" w:right="-576"/>
              <w:textAlignment w:val="baseline"/>
              <w:rPr>
                <w:rFonts w:ascii="Tahoma" w:hAnsi="Tahoma" w:cs="Tahoma"/>
                <w:b/>
                <w:bCs/>
                <w:color w:val="000000"/>
                <w:sz w:val="32"/>
                <w:szCs w:val="32"/>
              </w:rPr>
            </w:pPr>
            <w:r>
              <w:rPr>
                <w:b/>
                <w:bCs/>
                <w:noProof/>
              </w:rPr>
              <w:pict>
                <v:shape id="_x0000_s1028" type="#_x0000_t202" style="position:absolute;left:0;text-align:left;margin-left:-12.35pt;margin-top:5.85pt;width:204.75pt;height:27pt;z-index:251657728" filled="f" stroked="f" strokeweight="0">
                  <v:textbox style="mso-next-textbox:#_x0000_s1028">
                    <w:txbxContent>
                      <w:p w:rsidR="00BF0DF4" w:rsidRDefault="00BF0DF4" w:rsidP="00BF0DF4">
                        <w:pPr>
                          <w:pStyle w:val="Noparagraphstyle"/>
                          <w:rPr>
                            <w:rFonts w:ascii="Arial Narrow" w:hAnsi="Arial Narrow"/>
                            <w:b/>
                            <w:sz w:val="20"/>
                            <w:szCs w:val="20"/>
                          </w:rPr>
                        </w:pPr>
                        <w:r>
                          <w:rPr>
                            <w:rFonts w:ascii="Arial Narrow" w:hAnsi="Arial Narrow"/>
                            <w:b/>
                            <w:sz w:val="20"/>
                            <w:szCs w:val="20"/>
                          </w:rPr>
                          <w:t>Number</w:t>
                        </w:r>
                        <w:r w:rsidR="00D327DC">
                          <w:rPr>
                            <w:rFonts w:ascii="Arial Narrow" w:hAnsi="Arial Narrow"/>
                            <w:b/>
                            <w:sz w:val="20"/>
                            <w:szCs w:val="20"/>
                          </w:rPr>
                          <w:t xml:space="preserve"> </w:t>
                        </w:r>
                        <w:r w:rsidR="00D327DC" w:rsidRPr="00E73190">
                          <w:rPr>
                            <w:rFonts w:ascii="Arial Narrow" w:hAnsi="Arial Narrow"/>
                            <w:b/>
                            <w:color w:val="auto"/>
                            <w:sz w:val="20"/>
                            <w:szCs w:val="20"/>
                          </w:rPr>
                          <w:t>120, October 19, 2018</w:t>
                        </w:r>
                      </w:p>
                      <w:p w:rsidR="00760FDF" w:rsidRPr="00D450C8" w:rsidRDefault="00760FDF" w:rsidP="00D450C8">
                        <w:pPr>
                          <w:pStyle w:val="Noparagraphstyle"/>
                          <w:rPr>
                            <w:rFonts w:ascii="Arial Narrow" w:hAnsi="Arial Narrow"/>
                            <w:b/>
                            <w:color w:val="auto"/>
                            <w:sz w:val="20"/>
                            <w:szCs w:val="20"/>
                          </w:rPr>
                        </w:pPr>
                      </w:p>
                    </w:txbxContent>
                  </v:textbox>
                </v:shape>
              </w:pict>
            </w:r>
            <w:r>
              <w:rPr>
                <w:rFonts w:ascii="Tahoma" w:hAnsi="Tahoma" w:cs="Tahoma"/>
                <w:b/>
                <w:bCs/>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8pt;height:141pt">
                  <v:imagedata r:id="rId9" o:title="banner"/>
                </v:shape>
              </w:pict>
            </w:r>
            <w:r>
              <w:rPr>
                <w:b/>
                <w:bCs/>
                <w:noProof/>
              </w:rPr>
              <w:pict>
                <v:shape id="_x0000_s1026" type="#_x0000_t202" style="position:absolute;left:0;text-align:left;margin-left:572.85pt;margin-top:88.95pt;width:53.7pt;height:18pt;z-index:251656704;mso-position-horizontal-relative:text;mso-position-vertical-relative:text" filled="f" stroked="f">
                  <v:textbox style="mso-next-textbox:#_x0000_s1026">
                    <w:txbxContent>
                      <w:p w:rsidR="00760FDF" w:rsidRPr="007A41F5" w:rsidRDefault="00760FDF" w:rsidP="00140D08">
                        <w:pPr>
                          <w:rPr>
                            <w:rFonts w:ascii="Arial Narrow" w:hAnsi="Arial Narrow"/>
                            <w:sz w:val="18"/>
                            <w:szCs w:val="18"/>
                          </w:rPr>
                        </w:pPr>
                      </w:p>
                    </w:txbxContent>
                  </v:textbox>
                </v:shape>
              </w:pict>
            </w:r>
          </w:p>
        </w:tc>
      </w:tr>
    </w:tbl>
    <w:p w:rsidR="006F35F9" w:rsidRDefault="006F35F9"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1721D8">
          <w:headerReference w:type="default" r:id="rId10"/>
          <w:footerReference w:type="default" r:id="rId11"/>
          <w:footerReference w:type="first" r:id="rId12"/>
          <w:pgSz w:w="12240" w:h="15840" w:code="1"/>
          <w:pgMar w:top="360" w:right="907" w:bottom="446" w:left="907" w:header="0" w:footer="288" w:gutter="0"/>
          <w:cols w:space="720"/>
          <w:docGrid w:linePitch="360"/>
        </w:sectPr>
      </w:pPr>
    </w:p>
    <w:p w:rsidR="00D327DC" w:rsidRPr="00A34BFA" w:rsidRDefault="00D327DC" w:rsidP="00D327DC">
      <w:pPr>
        <w:rPr>
          <w:rFonts w:ascii="Arial" w:hAnsi="Arial" w:cs="Arial"/>
          <w:b/>
          <w:sz w:val="28"/>
          <w:szCs w:val="28"/>
        </w:rPr>
      </w:pPr>
      <w:r w:rsidRPr="00A34BFA">
        <w:rPr>
          <w:rFonts w:ascii="Arial" w:hAnsi="Arial" w:cs="Arial"/>
          <w:b/>
          <w:sz w:val="28"/>
          <w:szCs w:val="28"/>
        </w:rPr>
        <w:lastRenderedPageBreak/>
        <w:t>MHDL Update</w:t>
      </w:r>
    </w:p>
    <w:p w:rsidR="00D327DC" w:rsidRPr="00D56C5A" w:rsidRDefault="00D327DC" w:rsidP="00D327DC">
      <w:pPr>
        <w:rPr>
          <w:sz w:val="14"/>
          <w:szCs w:val="22"/>
        </w:rPr>
      </w:pPr>
    </w:p>
    <w:p w:rsidR="00D327DC" w:rsidRPr="00E02811" w:rsidRDefault="00D327DC" w:rsidP="00D327DC">
      <w:pPr>
        <w:rPr>
          <w:rFonts w:ascii="Arial" w:hAnsi="Arial" w:cs="Arial"/>
          <w:sz w:val="22"/>
          <w:szCs w:val="22"/>
        </w:rPr>
      </w:pPr>
      <w:r w:rsidRPr="00E02811">
        <w:rPr>
          <w:rFonts w:ascii="Arial" w:hAnsi="Arial" w:cs="Arial"/>
          <w:sz w:val="22"/>
          <w:szCs w:val="22"/>
        </w:rPr>
        <w:t>Below are certain updates to the MassHealth Drug List (MHDL). See the MHDL for a complete listing of updates.</w:t>
      </w:r>
    </w:p>
    <w:p w:rsidR="00D327DC" w:rsidRPr="00D56C5A" w:rsidRDefault="00D327DC" w:rsidP="00D327DC">
      <w:pPr>
        <w:rPr>
          <w:rFonts w:ascii="Arial" w:hAnsi="Arial" w:cs="Arial"/>
          <w:sz w:val="14"/>
          <w:szCs w:val="22"/>
        </w:rPr>
      </w:pPr>
    </w:p>
    <w:p w:rsidR="00D327DC" w:rsidRPr="00124A3F" w:rsidRDefault="00D327DC" w:rsidP="00D327DC">
      <w:pPr>
        <w:pStyle w:val="Default"/>
        <w:numPr>
          <w:ilvl w:val="0"/>
          <w:numId w:val="26"/>
        </w:numPr>
        <w:tabs>
          <w:tab w:val="left" w:pos="360"/>
        </w:tabs>
        <w:spacing w:after="120"/>
        <w:ind w:left="180" w:hanging="180"/>
        <w:rPr>
          <w:rFonts w:ascii="Arial" w:hAnsi="Arial" w:cs="Arial"/>
          <w:b/>
          <w:color w:val="auto"/>
          <w:sz w:val="22"/>
          <w:szCs w:val="22"/>
        </w:rPr>
      </w:pPr>
      <w:r w:rsidRPr="00124A3F">
        <w:rPr>
          <w:rFonts w:ascii="Arial" w:hAnsi="Arial" w:cs="Arial"/>
          <w:b/>
          <w:color w:val="auto"/>
          <w:sz w:val="22"/>
          <w:szCs w:val="22"/>
        </w:rPr>
        <w:t>Additions</w:t>
      </w:r>
    </w:p>
    <w:p w:rsidR="00D327DC" w:rsidRPr="00E02811" w:rsidRDefault="00D327DC" w:rsidP="00E02811">
      <w:pPr>
        <w:pStyle w:val="Default"/>
        <w:spacing w:after="120"/>
        <w:ind w:left="360"/>
        <w:rPr>
          <w:rFonts w:ascii="Arial" w:hAnsi="Arial" w:cs="Arial"/>
          <w:sz w:val="22"/>
          <w:szCs w:val="20"/>
        </w:rPr>
      </w:pPr>
      <w:r w:rsidRPr="00E02811">
        <w:rPr>
          <w:rFonts w:ascii="Arial" w:hAnsi="Arial" w:cs="Arial"/>
          <w:color w:val="auto"/>
          <w:sz w:val="22"/>
          <w:szCs w:val="22"/>
        </w:rPr>
        <w:t>Effective October 22, 2018, the following newly marketed drugs have been added to the MassHealth Drug List.</w:t>
      </w:r>
    </w:p>
    <w:p w:rsidR="00D327DC" w:rsidRPr="00DA664E" w:rsidRDefault="00D327DC" w:rsidP="00D327DC">
      <w:pPr>
        <w:pStyle w:val="Default"/>
        <w:numPr>
          <w:ilvl w:val="0"/>
          <w:numId w:val="25"/>
        </w:numPr>
        <w:spacing w:line="276" w:lineRule="auto"/>
        <w:ind w:left="630" w:hanging="270"/>
        <w:rPr>
          <w:rFonts w:ascii="Arial" w:hAnsi="Arial" w:cs="Arial"/>
          <w:color w:val="auto"/>
          <w:sz w:val="20"/>
          <w:szCs w:val="20"/>
        </w:rPr>
      </w:pPr>
      <w:proofErr w:type="spellStart"/>
      <w:r w:rsidRPr="00DA664E">
        <w:rPr>
          <w:rFonts w:ascii="Arial" w:hAnsi="Arial" w:cs="Arial"/>
          <w:color w:val="auto"/>
          <w:sz w:val="20"/>
          <w:szCs w:val="20"/>
        </w:rPr>
        <w:t>Aristada</w:t>
      </w:r>
      <w:proofErr w:type="spellEnd"/>
      <w:r w:rsidRPr="00DA664E">
        <w:rPr>
          <w:rFonts w:ascii="Arial" w:hAnsi="Arial" w:cs="Arial"/>
          <w:color w:val="auto"/>
          <w:sz w:val="20"/>
          <w:szCs w:val="20"/>
        </w:rPr>
        <w:t xml:space="preserve"> Initio (aripiprazole </w:t>
      </w:r>
      <w:proofErr w:type="spellStart"/>
      <w:r w:rsidRPr="00DA664E">
        <w:rPr>
          <w:rFonts w:ascii="Arial" w:hAnsi="Arial" w:cs="Arial"/>
          <w:color w:val="auto"/>
          <w:sz w:val="20"/>
          <w:szCs w:val="20"/>
        </w:rPr>
        <w:t>lauroxil</w:t>
      </w:r>
      <w:proofErr w:type="spellEnd"/>
      <w:r w:rsidRPr="00DA664E">
        <w:rPr>
          <w:rFonts w:ascii="Arial" w:hAnsi="Arial" w:cs="Arial"/>
          <w:color w:val="auto"/>
          <w:sz w:val="20"/>
          <w:szCs w:val="20"/>
        </w:rPr>
        <w:t xml:space="preserve"> 675 mg) </w:t>
      </w:r>
      <w:r w:rsidRPr="00DA664E">
        <w:rPr>
          <w:rFonts w:ascii="Arial" w:hAnsi="Arial" w:cs="Arial"/>
          <w:color w:val="auto"/>
          <w:sz w:val="20"/>
          <w:szCs w:val="20"/>
          <w:vertAlign w:val="superscript"/>
        </w:rPr>
        <w:t>PD</w:t>
      </w:r>
      <w:r w:rsidRPr="00DA664E">
        <w:rPr>
          <w:rFonts w:ascii="Arial" w:hAnsi="Arial" w:cs="Arial"/>
          <w:color w:val="auto"/>
          <w:sz w:val="20"/>
          <w:szCs w:val="20"/>
        </w:rPr>
        <w:t xml:space="preserve"> – </w:t>
      </w:r>
      <w:r w:rsidRPr="00DA664E">
        <w:rPr>
          <w:rFonts w:ascii="Arial" w:hAnsi="Arial" w:cs="Arial"/>
          <w:b/>
          <w:color w:val="auto"/>
          <w:sz w:val="20"/>
          <w:szCs w:val="20"/>
        </w:rPr>
        <w:t>PA &lt; 6 years and PA &gt; 1 injection/month</w:t>
      </w:r>
    </w:p>
    <w:p w:rsidR="00D327DC" w:rsidRPr="00DA664E" w:rsidRDefault="00D327DC" w:rsidP="00D327DC">
      <w:pPr>
        <w:pStyle w:val="Default"/>
        <w:numPr>
          <w:ilvl w:val="0"/>
          <w:numId w:val="25"/>
        </w:numPr>
        <w:spacing w:line="276" w:lineRule="auto"/>
        <w:ind w:left="630" w:hanging="270"/>
        <w:rPr>
          <w:rFonts w:ascii="Arial" w:hAnsi="Arial" w:cs="Arial"/>
          <w:color w:val="auto"/>
          <w:sz w:val="20"/>
          <w:szCs w:val="20"/>
        </w:rPr>
      </w:pPr>
      <w:proofErr w:type="spellStart"/>
      <w:r w:rsidRPr="00DA664E">
        <w:rPr>
          <w:rFonts w:ascii="Arial" w:hAnsi="Arial" w:cs="Arial"/>
          <w:color w:val="auto"/>
          <w:sz w:val="20"/>
          <w:szCs w:val="20"/>
        </w:rPr>
        <w:t>Braftovi</w:t>
      </w:r>
      <w:proofErr w:type="spellEnd"/>
      <w:r w:rsidRPr="00DA664E">
        <w:rPr>
          <w:rFonts w:ascii="Arial" w:hAnsi="Arial" w:cs="Arial"/>
          <w:color w:val="auto"/>
          <w:sz w:val="20"/>
          <w:szCs w:val="20"/>
        </w:rPr>
        <w:t xml:space="preserve"> (</w:t>
      </w:r>
      <w:proofErr w:type="spellStart"/>
      <w:r w:rsidRPr="00DA664E">
        <w:rPr>
          <w:rFonts w:ascii="Arial" w:hAnsi="Arial" w:cs="Arial"/>
          <w:color w:val="auto"/>
          <w:sz w:val="20"/>
          <w:szCs w:val="20"/>
        </w:rPr>
        <w:t>encorafenib</w:t>
      </w:r>
      <w:proofErr w:type="spellEnd"/>
      <w:r w:rsidRPr="00DA664E">
        <w:rPr>
          <w:rFonts w:ascii="Arial" w:hAnsi="Arial" w:cs="Arial"/>
          <w:color w:val="auto"/>
          <w:sz w:val="20"/>
          <w:szCs w:val="20"/>
        </w:rPr>
        <w:t xml:space="preserve">) – </w:t>
      </w:r>
      <w:r w:rsidRPr="00DA664E">
        <w:rPr>
          <w:rFonts w:ascii="Arial" w:hAnsi="Arial" w:cs="Arial"/>
          <w:b/>
          <w:color w:val="auto"/>
          <w:sz w:val="20"/>
          <w:szCs w:val="20"/>
        </w:rPr>
        <w:t>PA</w:t>
      </w:r>
    </w:p>
    <w:p w:rsidR="00D327DC" w:rsidRPr="00DA664E" w:rsidRDefault="00D327DC" w:rsidP="00D327DC">
      <w:pPr>
        <w:pStyle w:val="Default"/>
        <w:numPr>
          <w:ilvl w:val="0"/>
          <w:numId w:val="25"/>
        </w:numPr>
        <w:spacing w:line="276" w:lineRule="auto"/>
        <w:ind w:left="630" w:hanging="270"/>
        <w:rPr>
          <w:rFonts w:ascii="Arial" w:hAnsi="Arial" w:cs="Arial"/>
          <w:sz w:val="20"/>
          <w:szCs w:val="20"/>
        </w:rPr>
      </w:pPr>
      <w:proofErr w:type="spellStart"/>
      <w:r w:rsidRPr="00DA664E">
        <w:rPr>
          <w:rFonts w:ascii="Arial" w:hAnsi="Arial" w:cs="Arial"/>
          <w:sz w:val="20"/>
          <w:szCs w:val="20"/>
        </w:rPr>
        <w:t>Jynarque</w:t>
      </w:r>
      <w:proofErr w:type="spellEnd"/>
      <w:r w:rsidRPr="00DA664E">
        <w:rPr>
          <w:rFonts w:ascii="Arial" w:hAnsi="Arial" w:cs="Arial"/>
          <w:sz w:val="20"/>
          <w:szCs w:val="20"/>
        </w:rPr>
        <w:t xml:space="preserve"> (</w:t>
      </w:r>
      <w:proofErr w:type="spellStart"/>
      <w:r w:rsidRPr="00DA664E">
        <w:rPr>
          <w:rFonts w:ascii="Arial" w:hAnsi="Arial" w:cs="Arial"/>
          <w:sz w:val="20"/>
          <w:szCs w:val="20"/>
        </w:rPr>
        <w:t>tolvaptan</w:t>
      </w:r>
      <w:proofErr w:type="spellEnd"/>
      <w:r w:rsidRPr="00DA664E">
        <w:rPr>
          <w:rFonts w:ascii="Arial" w:hAnsi="Arial" w:cs="Arial"/>
          <w:sz w:val="20"/>
          <w:szCs w:val="20"/>
        </w:rPr>
        <w:t xml:space="preserve">) – </w:t>
      </w:r>
      <w:r w:rsidRPr="00DA664E">
        <w:rPr>
          <w:rFonts w:ascii="Arial" w:hAnsi="Arial" w:cs="Arial"/>
          <w:b/>
          <w:sz w:val="20"/>
          <w:szCs w:val="20"/>
        </w:rPr>
        <w:t>PA</w:t>
      </w:r>
    </w:p>
    <w:p w:rsidR="00D327DC" w:rsidRPr="00DA664E" w:rsidRDefault="00D327DC" w:rsidP="00D327DC">
      <w:pPr>
        <w:pStyle w:val="Default"/>
        <w:numPr>
          <w:ilvl w:val="0"/>
          <w:numId w:val="25"/>
        </w:numPr>
        <w:spacing w:line="276" w:lineRule="auto"/>
        <w:ind w:left="630" w:hanging="270"/>
        <w:rPr>
          <w:rFonts w:ascii="Arial" w:hAnsi="Arial" w:cs="Arial"/>
          <w:color w:val="auto"/>
          <w:sz w:val="20"/>
          <w:szCs w:val="20"/>
        </w:rPr>
      </w:pPr>
      <w:proofErr w:type="spellStart"/>
      <w:r w:rsidRPr="00DA664E">
        <w:rPr>
          <w:rFonts w:ascii="Arial" w:hAnsi="Arial" w:cs="Arial"/>
          <w:color w:val="auto"/>
          <w:sz w:val="20"/>
          <w:szCs w:val="20"/>
        </w:rPr>
        <w:t>Mektovi</w:t>
      </w:r>
      <w:proofErr w:type="spellEnd"/>
      <w:r w:rsidRPr="00DA664E">
        <w:rPr>
          <w:rFonts w:ascii="Arial" w:hAnsi="Arial" w:cs="Arial"/>
          <w:color w:val="auto"/>
          <w:sz w:val="20"/>
          <w:szCs w:val="20"/>
        </w:rPr>
        <w:t xml:space="preserve"> (</w:t>
      </w:r>
      <w:proofErr w:type="spellStart"/>
      <w:r w:rsidRPr="00DA664E">
        <w:rPr>
          <w:rFonts w:ascii="Arial" w:hAnsi="Arial" w:cs="Arial"/>
          <w:color w:val="auto"/>
          <w:sz w:val="20"/>
          <w:szCs w:val="20"/>
        </w:rPr>
        <w:t>binimetinib</w:t>
      </w:r>
      <w:proofErr w:type="spellEnd"/>
      <w:r w:rsidRPr="00DA664E">
        <w:rPr>
          <w:rFonts w:ascii="Arial" w:hAnsi="Arial" w:cs="Arial"/>
          <w:color w:val="auto"/>
          <w:sz w:val="20"/>
          <w:szCs w:val="20"/>
        </w:rPr>
        <w:t xml:space="preserve">) – </w:t>
      </w:r>
      <w:r w:rsidRPr="00DA664E">
        <w:rPr>
          <w:rFonts w:ascii="Arial" w:hAnsi="Arial" w:cs="Arial"/>
          <w:b/>
          <w:color w:val="auto"/>
          <w:sz w:val="20"/>
          <w:szCs w:val="20"/>
        </w:rPr>
        <w:t>PA</w:t>
      </w:r>
    </w:p>
    <w:p w:rsidR="00D327DC" w:rsidRPr="00DA664E" w:rsidRDefault="00D327DC" w:rsidP="00D327DC">
      <w:pPr>
        <w:pStyle w:val="Default"/>
        <w:numPr>
          <w:ilvl w:val="0"/>
          <w:numId w:val="25"/>
        </w:numPr>
        <w:spacing w:line="276" w:lineRule="auto"/>
        <w:ind w:left="630" w:hanging="270"/>
        <w:rPr>
          <w:rFonts w:ascii="Arial" w:hAnsi="Arial" w:cs="Arial"/>
          <w:color w:val="auto"/>
          <w:sz w:val="20"/>
          <w:szCs w:val="20"/>
        </w:rPr>
      </w:pPr>
      <w:proofErr w:type="spellStart"/>
      <w:r w:rsidRPr="00DA664E">
        <w:rPr>
          <w:rFonts w:ascii="Arial" w:hAnsi="Arial" w:cs="Arial"/>
          <w:color w:val="auto"/>
          <w:sz w:val="20"/>
          <w:szCs w:val="20"/>
        </w:rPr>
        <w:t>Olumiant</w:t>
      </w:r>
      <w:proofErr w:type="spellEnd"/>
      <w:r w:rsidRPr="00DA664E">
        <w:rPr>
          <w:rFonts w:ascii="Arial" w:hAnsi="Arial" w:cs="Arial"/>
          <w:color w:val="auto"/>
          <w:sz w:val="20"/>
          <w:szCs w:val="20"/>
        </w:rPr>
        <w:t xml:space="preserve"> (</w:t>
      </w:r>
      <w:proofErr w:type="spellStart"/>
      <w:r w:rsidRPr="00DA664E">
        <w:rPr>
          <w:rFonts w:ascii="Arial" w:hAnsi="Arial" w:cs="Arial"/>
          <w:color w:val="auto"/>
          <w:sz w:val="20"/>
          <w:szCs w:val="20"/>
        </w:rPr>
        <w:t>baricitinib</w:t>
      </w:r>
      <w:proofErr w:type="spellEnd"/>
      <w:r w:rsidRPr="00DA664E">
        <w:rPr>
          <w:rFonts w:ascii="Arial" w:hAnsi="Arial" w:cs="Arial"/>
          <w:color w:val="auto"/>
          <w:sz w:val="20"/>
          <w:szCs w:val="20"/>
        </w:rPr>
        <w:t xml:space="preserve">) – </w:t>
      </w:r>
      <w:r w:rsidRPr="00DA664E">
        <w:rPr>
          <w:rFonts w:ascii="Arial" w:hAnsi="Arial" w:cs="Arial"/>
          <w:b/>
          <w:color w:val="auto"/>
          <w:sz w:val="20"/>
          <w:szCs w:val="20"/>
        </w:rPr>
        <w:t>PA</w:t>
      </w:r>
    </w:p>
    <w:p w:rsidR="00D327DC" w:rsidRPr="00DA664E" w:rsidRDefault="00D327DC" w:rsidP="00D327DC">
      <w:pPr>
        <w:pStyle w:val="Default"/>
        <w:numPr>
          <w:ilvl w:val="0"/>
          <w:numId w:val="25"/>
        </w:numPr>
        <w:spacing w:line="276" w:lineRule="auto"/>
        <w:ind w:left="630" w:hanging="270"/>
        <w:rPr>
          <w:rFonts w:ascii="Arial" w:hAnsi="Arial" w:cs="Arial"/>
          <w:color w:val="auto"/>
          <w:sz w:val="20"/>
          <w:szCs w:val="20"/>
        </w:rPr>
      </w:pPr>
      <w:proofErr w:type="spellStart"/>
      <w:r w:rsidRPr="00DA664E">
        <w:rPr>
          <w:rFonts w:ascii="Arial" w:hAnsi="Arial" w:cs="Arial"/>
          <w:color w:val="auto"/>
          <w:sz w:val="20"/>
          <w:szCs w:val="20"/>
        </w:rPr>
        <w:t>Retacrit</w:t>
      </w:r>
      <w:proofErr w:type="spellEnd"/>
      <w:r w:rsidRPr="00DA664E">
        <w:rPr>
          <w:rFonts w:ascii="Arial" w:hAnsi="Arial" w:cs="Arial"/>
          <w:color w:val="auto"/>
          <w:sz w:val="20"/>
          <w:szCs w:val="20"/>
        </w:rPr>
        <w:t xml:space="preserve"> (</w:t>
      </w:r>
      <w:proofErr w:type="spellStart"/>
      <w:r w:rsidRPr="00DA664E">
        <w:rPr>
          <w:rFonts w:ascii="Arial" w:hAnsi="Arial" w:cs="Arial"/>
          <w:color w:val="auto"/>
          <w:sz w:val="20"/>
          <w:szCs w:val="20"/>
        </w:rPr>
        <w:t>epoetin</w:t>
      </w:r>
      <w:proofErr w:type="spellEnd"/>
      <w:r w:rsidRPr="00DA664E">
        <w:rPr>
          <w:rFonts w:ascii="Arial" w:hAnsi="Arial" w:cs="Arial"/>
          <w:color w:val="auto"/>
          <w:sz w:val="20"/>
          <w:szCs w:val="20"/>
        </w:rPr>
        <w:t xml:space="preserve"> alfa-</w:t>
      </w:r>
      <w:proofErr w:type="spellStart"/>
      <w:r w:rsidRPr="00DA664E">
        <w:rPr>
          <w:rFonts w:ascii="Arial" w:hAnsi="Arial" w:cs="Arial"/>
          <w:color w:val="auto"/>
          <w:sz w:val="20"/>
          <w:szCs w:val="20"/>
        </w:rPr>
        <w:t>epbx</w:t>
      </w:r>
      <w:proofErr w:type="spellEnd"/>
      <w:r w:rsidRPr="00DA664E">
        <w:rPr>
          <w:rFonts w:ascii="Arial" w:hAnsi="Arial" w:cs="Arial"/>
          <w:color w:val="auto"/>
          <w:sz w:val="20"/>
          <w:szCs w:val="20"/>
        </w:rPr>
        <w:t xml:space="preserve">) – </w:t>
      </w:r>
      <w:r w:rsidRPr="00DA664E">
        <w:rPr>
          <w:rFonts w:ascii="Arial" w:hAnsi="Arial" w:cs="Arial"/>
          <w:b/>
          <w:color w:val="auto"/>
          <w:sz w:val="20"/>
          <w:szCs w:val="20"/>
        </w:rPr>
        <w:t>PA</w:t>
      </w:r>
      <w:r w:rsidRPr="00DA664E">
        <w:rPr>
          <w:rFonts w:ascii="Arial" w:hAnsi="Arial" w:cs="Arial"/>
          <w:color w:val="auto"/>
          <w:sz w:val="20"/>
          <w:szCs w:val="20"/>
        </w:rPr>
        <w:t xml:space="preserve"> </w:t>
      </w:r>
    </w:p>
    <w:p w:rsidR="00D327DC" w:rsidRPr="00DA664E" w:rsidRDefault="00D327DC" w:rsidP="00D327DC">
      <w:pPr>
        <w:pStyle w:val="Default"/>
        <w:numPr>
          <w:ilvl w:val="0"/>
          <w:numId w:val="25"/>
        </w:numPr>
        <w:spacing w:line="276" w:lineRule="auto"/>
        <w:ind w:left="630" w:hanging="270"/>
        <w:rPr>
          <w:rFonts w:ascii="Arial" w:hAnsi="Arial" w:cs="Arial"/>
          <w:color w:val="auto"/>
          <w:sz w:val="20"/>
          <w:szCs w:val="20"/>
        </w:rPr>
      </w:pPr>
      <w:proofErr w:type="spellStart"/>
      <w:r w:rsidRPr="00DA664E">
        <w:rPr>
          <w:rFonts w:ascii="Arial" w:hAnsi="Arial" w:cs="Arial"/>
          <w:color w:val="auto"/>
          <w:sz w:val="20"/>
          <w:szCs w:val="20"/>
        </w:rPr>
        <w:t>Siklos</w:t>
      </w:r>
      <w:proofErr w:type="spellEnd"/>
      <w:r w:rsidRPr="00DA664E">
        <w:rPr>
          <w:rFonts w:ascii="Arial" w:hAnsi="Arial" w:cs="Arial"/>
          <w:color w:val="auto"/>
          <w:sz w:val="20"/>
          <w:szCs w:val="20"/>
        </w:rPr>
        <w:t xml:space="preserve"> (hydroxyurea)</w:t>
      </w:r>
    </w:p>
    <w:p w:rsidR="00D327DC" w:rsidRPr="00DA664E" w:rsidRDefault="00D327DC" w:rsidP="00D327DC">
      <w:pPr>
        <w:pStyle w:val="Default"/>
        <w:numPr>
          <w:ilvl w:val="0"/>
          <w:numId w:val="25"/>
        </w:numPr>
        <w:spacing w:line="276" w:lineRule="auto"/>
        <w:ind w:left="630" w:hanging="270"/>
        <w:rPr>
          <w:rFonts w:ascii="Arial" w:hAnsi="Arial" w:cs="Arial"/>
          <w:sz w:val="20"/>
          <w:szCs w:val="20"/>
        </w:rPr>
      </w:pPr>
      <w:proofErr w:type="spellStart"/>
      <w:r w:rsidRPr="00DA664E">
        <w:rPr>
          <w:rFonts w:ascii="Arial" w:hAnsi="Arial" w:cs="Arial"/>
          <w:sz w:val="20"/>
          <w:szCs w:val="20"/>
        </w:rPr>
        <w:t>Symtuza</w:t>
      </w:r>
      <w:proofErr w:type="spellEnd"/>
      <w:r w:rsidRPr="00DA664E">
        <w:rPr>
          <w:rFonts w:ascii="Arial" w:hAnsi="Arial" w:cs="Arial"/>
          <w:sz w:val="20"/>
          <w:szCs w:val="20"/>
        </w:rPr>
        <w:t xml:space="preserve"> (</w:t>
      </w:r>
      <w:proofErr w:type="spellStart"/>
      <w:r w:rsidRPr="00DA664E">
        <w:rPr>
          <w:rFonts w:ascii="Arial" w:hAnsi="Arial" w:cs="Arial"/>
          <w:sz w:val="20"/>
          <w:szCs w:val="20"/>
        </w:rPr>
        <w:t>darunavir</w:t>
      </w:r>
      <w:proofErr w:type="spellEnd"/>
      <w:r w:rsidRPr="00DA664E">
        <w:rPr>
          <w:rFonts w:ascii="Arial" w:hAnsi="Arial" w:cs="Arial"/>
          <w:sz w:val="20"/>
          <w:szCs w:val="20"/>
        </w:rPr>
        <w:t>/</w:t>
      </w:r>
      <w:proofErr w:type="spellStart"/>
      <w:r w:rsidRPr="00DA664E">
        <w:rPr>
          <w:rFonts w:ascii="Arial" w:hAnsi="Arial" w:cs="Arial"/>
          <w:sz w:val="20"/>
          <w:szCs w:val="20"/>
        </w:rPr>
        <w:t>cobicistat</w:t>
      </w:r>
      <w:proofErr w:type="spellEnd"/>
      <w:r w:rsidRPr="00DA664E">
        <w:rPr>
          <w:rFonts w:ascii="Arial" w:hAnsi="Arial" w:cs="Arial"/>
          <w:sz w:val="20"/>
          <w:szCs w:val="20"/>
        </w:rPr>
        <w:t>/</w:t>
      </w:r>
      <w:proofErr w:type="spellStart"/>
      <w:r w:rsidRPr="00DA664E">
        <w:rPr>
          <w:rFonts w:ascii="Arial" w:hAnsi="Arial" w:cs="Arial"/>
          <w:sz w:val="20"/>
          <w:szCs w:val="20"/>
        </w:rPr>
        <w:t>emtricitabine</w:t>
      </w:r>
      <w:proofErr w:type="spellEnd"/>
      <w:r w:rsidRPr="00DA664E">
        <w:rPr>
          <w:rFonts w:ascii="Arial" w:hAnsi="Arial" w:cs="Arial"/>
          <w:sz w:val="20"/>
          <w:szCs w:val="20"/>
        </w:rPr>
        <w:t>/</w:t>
      </w:r>
      <w:r>
        <w:rPr>
          <w:rFonts w:ascii="Arial" w:hAnsi="Arial" w:cs="Arial"/>
          <w:sz w:val="20"/>
          <w:szCs w:val="20"/>
        </w:rPr>
        <w:t xml:space="preserve"> </w:t>
      </w:r>
      <w:proofErr w:type="spellStart"/>
      <w:r w:rsidRPr="00DA664E">
        <w:rPr>
          <w:rFonts w:ascii="Arial" w:hAnsi="Arial" w:cs="Arial"/>
          <w:sz w:val="20"/>
          <w:szCs w:val="20"/>
        </w:rPr>
        <w:t>tenofovir</w:t>
      </w:r>
      <w:proofErr w:type="spellEnd"/>
      <w:r w:rsidRPr="00DA664E">
        <w:rPr>
          <w:rFonts w:ascii="Arial" w:hAnsi="Arial" w:cs="Arial"/>
          <w:sz w:val="20"/>
          <w:szCs w:val="20"/>
        </w:rPr>
        <w:t xml:space="preserve"> </w:t>
      </w:r>
      <w:proofErr w:type="spellStart"/>
      <w:r w:rsidRPr="00DA664E">
        <w:rPr>
          <w:rFonts w:ascii="Arial" w:hAnsi="Arial" w:cs="Arial"/>
          <w:sz w:val="20"/>
          <w:szCs w:val="20"/>
        </w:rPr>
        <w:t>alafenamide</w:t>
      </w:r>
      <w:proofErr w:type="spellEnd"/>
      <w:r w:rsidRPr="00DA664E">
        <w:rPr>
          <w:rFonts w:ascii="Arial" w:hAnsi="Arial" w:cs="Arial"/>
          <w:sz w:val="20"/>
          <w:szCs w:val="20"/>
        </w:rPr>
        <w:t xml:space="preserve">) – </w:t>
      </w:r>
      <w:r w:rsidRPr="00DA664E">
        <w:rPr>
          <w:rFonts w:ascii="Arial" w:hAnsi="Arial" w:cs="Arial"/>
          <w:b/>
          <w:sz w:val="20"/>
          <w:szCs w:val="20"/>
        </w:rPr>
        <w:t>PA</w:t>
      </w:r>
      <w:r w:rsidRPr="00DA664E">
        <w:rPr>
          <w:rFonts w:ascii="Arial" w:hAnsi="Arial" w:cs="Arial"/>
          <w:sz w:val="20"/>
          <w:szCs w:val="20"/>
        </w:rPr>
        <w:t xml:space="preserve"> </w:t>
      </w:r>
    </w:p>
    <w:p w:rsidR="00D327DC" w:rsidRPr="00DA664E" w:rsidRDefault="00D327DC" w:rsidP="00D327DC">
      <w:pPr>
        <w:pStyle w:val="Default"/>
        <w:numPr>
          <w:ilvl w:val="0"/>
          <w:numId w:val="25"/>
        </w:numPr>
        <w:spacing w:line="276" w:lineRule="auto"/>
        <w:ind w:left="630" w:hanging="270"/>
        <w:rPr>
          <w:rFonts w:ascii="Arial" w:hAnsi="Arial" w:cs="Arial"/>
          <w:sz w:val="20"/>
          <w:szCs w:val="20"/>
        </w:rPr>
      </w:pPr>
      <w:proofErr w:type="spellStart"/>
      <w:r w:rsidRPr="00DA664E">
        <w:rPr>
          <w:rFonts w:ascii="Arial" w:hAnsi="Arial" w:cs="Arial"/>
          <w:sz w:val="20"/>
          <w:szCs w:val="20"/>
        </w:rPr>
        <w:t>Tavalisse</w:t>
      </w:r>
      <w:proofErr w:type="spellEnd"/>
      <w:r w:rsidRPr="00DA664E">
        <w:rPr>
          <w:rFonts w:ascii="Arial" w:hAnsi="Arial" w:cs="Arial"/>
          <w:sz w:val="20"/>
          <w:szCs w:val="20"/>
        </w:rPr>
        <w:t xml:space="preserve"> (</w:t>
      </w:r>
      <w:proofErr w:type="spellStart"/>
      <w:r w:rsidRPr="00DA664E">
        <w:rPr>
          <w:rFonts w:ascii="Arial" w:hAnsi="Arial" w:cs="Arial"/>
          <w:sz w:val="20"/>
          <w:szCs w:val="20"/>
        </w:rPr>
        <w:t>fostamatinib</w:t>
      </w:r>
      <w:proofErr w:type="spellEnd"/>
      <w:r w:rsidRPr="00DA664E">
        <w:rPr>
          <w:rFonts w:ascii="Arial" w:hAnsi="Arial" w:cs="Arial"/>
          <w:sz w:val="20"/>
          <w:szCs w:val="20"/>
        </w:rPr>
        <w:t xml:space="preserve">) – </w:t>
      </w:r>
      <w:r w:rsidRPr="00DA664E">
        <w:rPr>
          <w:rFonts w:ascii="Arial" w:hAnsi="Arial" w:cs="Arial"/>
          <w:b/>
          <w:sz w:val="20"/>
          <w:szCs w:val="20"/>
        </w:rPr>
        <w:t>PA</w:t>
      </w:r>
    </w:p>
    <w:p w:rsidR="00D327DC" w:rsidRPr="00DA664E" w:rsidRDefault="00D327DC" w:rsidP="00D327DC">
      <w:pPr>
        <w:pStyle w:val="Default"/>
        <w:numPr>
          <w:ilvl w:val="0"/>
          <w:numId w:val="25"/>
        </w:numPr>
        <w:spacing w:line="276" w:lineRule="auto"/>
        <w:ind w:left="630" w:hanging="270"/>
        <w:rPr>
          <w:rFonts w:ascii="Arial" w:hAnsi="Arial" w:cs="Arial"/>
          <w:sz w:val="20"/>
          <w:szCs w:val="20"/>
        </w:rPr>
      </w:pPr>
      <w:proofErr w:type="spellStart"/>
      <w:r w:rsidRPr="00DA664E">
        <w:rPr>
          <w:rFonts w:ascii="Arial" w:hAnsi="Arial" w:cs="Arial"/>
          <w:bCs/>
          <w:sz w:val="20"/>
          <w:szCs w:val="20"/>
        </w:rPr>
        <w:t>Yonsa</w:t>
      </w:r>
      <w:proofErr w:type="spellEnd"/>
      <w:r w:rsidRPr="00DA664E">
        <w:rPr>
          <w:rFonts w:ascii="Arial" w:hAnsi="Arial" w:cs="Arial"/>
          <w:bCs/>
          <w:sz w:val="20"/>
          <w:szCs w:val="20"/>
        </w:rPr>
        <w:t xml:space="preserve"> (</w:t>
      </w:r>
      <w:proofErr w:type="spellStart"/>
      <w:r w:rsidRPr="00DA664E">
        <w:rPr>
          <w:rFonts w:ascii="Arial" w:hAnsi="Arial" w:cs="Arial"/>
          <w:bCs/>
          <w:sz w:val="20"/>
          <w:szCs w:val="20"/>
        </w:rPr>
        <w:t>abiraterone</w:t>
      </w:r>
      <w:proofErr w:type="spellEnd"/>
      <w:r w:rsidRPr="00DA664E">
        <w:rPr>
          <w:rFonts w:ascii="Arial" w:hAnsi="Arial" w:cs="Arial"/>
          <w:bCs/>
          <w:sz w:val="20"/>
          <w:szCs w:val="20"/>
        </w:rPr>
        <w:t xml:space="preserve">) – </w:t>
      </w:r>
      <w:r w:rsidRPr="00DA664E">
        <w:rPr>
          <w:rFonts w:ascii="Arial" w:hAnsi="Arial" w:cs="Arial"/>
          <w:b/>
          <w:bCs/>
          <w:sz w:val="20"/>
          <w:szCs w:val="20"/>
        </w:rPr>
        <w:t>PA</w:t>
      </w:r>
      <w:r w:rsidRPr="00DA664E">
        <w:rPr>
          <w:rFonts w:ascii="Arial" w:hAnsi="Arial" w:cs="Arial"/>
          <w:bCs/>
          <w:sz w:val="20"/>
          <w:szCs w:val="20"/>
        </w:rPr>
        <w:t xml:space="preserve"> </w:t>
      </w:r>
    </w:p>
    <w:p w:rsidR="00D327DC" w:rsidRPr="00D56C5A" w:rsidRDefault="00D327DC" w:rsidP="00D327DC">
      <w:pPr>
        <w:pStyle w:val="Default"/>
        <w:ind w:left="360"/>
        <w:rPr>
          <w:rFonts w:ascii="Arial" w:hAnsi="Arial" w:cs="Arial"/>
          <w:sz w:val="16"/>
          <w:szCs w:val="22"/>
        </w:rPr>
      </w:pPr>
    </w:p>
    <w:p w:rsidR="00D327DC" w:rsidRPr="00DE76F8" w:rsidRDefault="00D327DC" w:rsidP="00D327DC">
      <w:pPr>
        <w:pStyle w:val="Default"/>
        <w:numPr>
          <w:ilvl w:val="0"/>
          <w:numId w:val="26"/>
        </w:numPr>
        <w:tabs>
          <w:tab w:val="left" w:pos="360"/>
        </w:tabs>
        <w:spacing w:after="120"/>
        <w:ind w:left="180" w:hanging="180"/>
        <w:rPr>
          <w:rFonts w:ascii="Arial" w:hAnsi="Arial" w:cs="Arial"/>
          <w:b/>
          <w:color w:val="auto"/>
          <w:sz w:val="22"/>
          <w:szCs w:val="22"/>
        </w:rPr>
      </w:pPr>
      <w:r w:rsidRPr="00DE76F8">
        <w:rPr>
          <w:rFonts w:ascii="Arial" w:hAnsi="Arial" w:cs="Arial"/>
          <w:b/>
          <w:color w:val="auto"/>
          <w:sz w:val="22"/>
          <w:szCs w:val="22"/>
        </w:rPr>
        <w:t>Change in Prior Authorization Status</w:t>
      </w:r>
    </w:p>
    <w:p w:rsidR="00D327DC" w:rsidRPr="00E02811" w:rsidRDefault="00D327DC" w:rsidP="00CE360C">
      <w:pPr>
        <w:numPr>
          <w:ilvl w:val="0"/>
          <w:numId w:val="11"/>
        </w:numPr>
        <w:autoSpaceDE w:val="0"/>
        <w:autoSpaceDN w:val="0"/>
        <w:adjustRightInd w:val="0"/>
        <w:spacing w:after="120"/>
        <w:ind w:left="634" w:hanging="274"/>
        <w:rPr>
          <w:rFonts w:ascii="Arial" w:hAnsi="Arial" w:cs="Arial"/>
          <w:color w:val="000000"/>
          <w:sz w:val="22"/>
          <w:szCs w:val="22"/>
          <w:lang w:val="fr-FR"/>
        </w:rPr>
      </w:pPr>
      <w:r w:rsidRPr="00E02811">
        <w:rPr>
          <w:rFonts w:ascii="Arial" w:hAnsi="Arial" w:cs="Arial"/>
          <w:color w:val="000000"/>
          <w:sz w:val="22"/>
          <w:szCs w:val="22"/>
          <w:lang w:val="fr-FR"/>
        </w:rPr>
        <w:t xml:space="preserve">Effective </w:t>
      </w:r>
      <w:proofErr w:type="spellStart"/>
      <w:r w:rsidRPr="00E02811">
        <w:rPr>
          <w:rFonts w:ascii="Arial" w:hAnsi="Arial" w:cs="Arial"/>
          <w:color w:val="000000"/>
          <w:sz w:val="22"/>
          <w:szCs w:val="22"/>
          <w:lang w:val="fr-FR"/>
        </w:rPr>
        <w:t>October</w:t>
      </w:r>
      <w:proofErr w:type="spellEnd"/>
      <w:r w:rsidRPr="00E02811">
        <w:rPr>
          <w:rFonts w:ascii="Arial" w:hAnsi="Arial" w:cs="Arial"/>
          <w:color w:val="000000"/>
          <w:sz w:val="22"/>
          <w:szCs w:val="22"/>
          <w:lang w:val="fr-FR"/>
        </w:rPr>
        <w:t xml:space="preserve"> 22, 2018, the </w:t>
      </w:r>
      <w:proofErr w:type="spellStart"/>
      <w:r w:rsidRPr="00E02811">
        <w:rPr>
          <w:rFonts w:ascii="Arial" w:hAnsi="Arial" w:cs="Arial"/>
          <w:color w:val="000000"/>
          <w:sz w:val="22"/>
          <w:szCs w:val="22"/>
          <w:lang w:val="fr-FR"/>
        </w:rPr>
        <w:t>following</w:t>
      </w:r>
      <w:proofErr w:type="spellEnd"/>
      <w:r w:rsidRPr="00E02811">
        <w:rPr>
          <w:rFonts w:ascii="Arial" w:hAnsi="Arial" w:cs="Arial"/>
          <w:color w:val="000000"/>
          <w:sz w:val="22"/>
          <w:szCs w:val="22"/>
          <w:lang w:val="fr-FR"/>
        </w:rPr>
        <w:t xml:space="preserve"> </w:t>
      </w:r>
      <w:proofErr w:type="spellStart"/>
      <w:r w:rsidRPr="00E02811">
        <w:rPr>
          <w:rFonts w:ascii="Arial" w:hAnsi="Arial" w:cs="Arial"/>
          <w:color w:val="000000"/>
          <w:sz w:val="22"/>
          <w:szCs w:val="22"/>
          <w:lang w:val="fr-FR"/>
        </w:rPr>
        <w:t>prefilled</w:t>
      </w:r>
      <w:proofErr w:type="spellEnd"/>
      <w:r w:rsidRPr="00E02811">
        <w:rPr>
          <w:rFonts w:ascii="Arial" w:hAnsi="Arial" w:cs="Arial"/>
          <w:color w:val="000000"/>
          <w:sz w:val="22"/>
          <w:szCs w:val="22"/>
          <w:lang w:val="fr-FR"/>
        </w:rPr>
        <w:t xml:space="preserve"> </w:t>
      </w:r>
      <w:proofErr w:type="spellStart"/>
      <w:r w:rsidRPr="00E02811">
        <w:rPr>
          <w:rFonts w:ascii="Arial" w:hAnsi="Arial" w:cs="Arial"/>
          <w:color w:val="000000"/>
          <w:sz w:val="22"/>
          <w:szCs w:val="22"/>
          <w:lang w:val="fr-FR"/>
        </w:rPr>
        <w:t>insulin</w:t>
      </w:r>
      <w:proofErr w:type="spellEnd"/>
      <w:r w:rsidRPr="00E02811">
        <w:rPr>
          <w:rFonts w:ascii="Arial" w:hAnsi="Arial" w:cs="Arial"/>
          <w:color w:val="000000"/>
          <w:sz w:val="22"/>
          <w:szCs w:val="22"/>
          <w:lang w:val="fr-FR"/>
        </w:rPr>
        <w:t xml:space="preserve"> syringes </w:t>
      </w:r>
      <w:proofErr w:type="spellStart"/>
      <w:r w:rsidRPr="00E02811">
        <w:rPr>
          <w:rFonts w:ascii="Arial" w:hAnsi="Arial" w:cs="Arial"/>
          <w:color w:val="000000"/>
          <w:sz w:val="22"/>
          <w:szCs w:val="22"/>
          <w:lang w:val="fr-FR"/>
        </w:rPr>
        <w:t>will</w:t>
      </w:r>
      <w:proofErr w:type="spellEnd"/>
      <w:r w:rsidRPr="00E02811">
        <w:rPr>
          <w:rFonts w:ascii="Arial" w:hAnsi="Arial" w:cs="Arial"/>
          <w:color w:val="000000"/>
          <w:sz w:val="22"/>
          <w:szCs w:val="22"/>
          <w:lang w:val="fr-FR"/>
        </w:rPr>
        <w:t xml:space="preserve"> no </w:t>
      </w:r>
      <w:proofErr w:type="gramStart"/>
      <w:r w:rsidRPr="00E02811">
        <w:rPr>
          <w:rFonts w:ascii="Arial" w:hAnsi="Arial" w:cs="Arial"/>
          <w:color w:val="000000"/>
          <w:sz w:val="22"/>
          <w:szCs w:val="22"/>
          <w:lang w:val="fr-FR"/>
        </w:rPr>
        <w:t>longer</w:t>
      </w:r>
      <w:proofErr w:type="gramEnd"/>
      <w:r w:rsidRPr="00E02811">
        <w:rPr>
          <w:rFonts w:ascii="Arial" w:hAnsi="Arial" w:cs="Arial"/>
          <w:color w:val="000000"/>
          <w:sz w:val="22"/>
          <w:szCs w:val="22"/>
          <w:lang w:val="fr-FR"/>
        </w:rPr>
        <w:t xml:space="preserve"> </w:t>
      </w:r>
      <w:proofErr w:type="spellStart"/>
      <w:r w:rsidRPr="00E02811">
        <w:rPr>
          <w:rFonts w:ascii="Arial" w:hAnsi="Arial" w:cs="Arial"/>
          <w:color w:val="000000"/>
          <w:sz w:val="22"/>
          <w:szCs w:val="22"/>
          <w:lang w:val="fr-FR"/>
        </w:rPr>
        <w:t>require</w:t>
      </w:r>
      <w:proofErr w:type="spellEnd"/>
      <w:r w:rsidRPr="00E02811">
        <w:rPr>
          <w:rFonts w:ascii="Arial" w:hAnsi="Arial" w:cs="Arial"/>
          <w:color w:val="000000"/>
          <w:sz w:val="22"/>
          <w:szCs w:val="22"/>
          <w:lang w:val="fr-FR"/>
        </w:rPr>
        <w:t xml:space="preserve"> </w:t>
      </w:r>
      <w:proofErr w:type="spellStart"/>
      <w:r w:rsidRPr="00E02811">
        <w:rPr>
          <w:rFonts w:ascii="Arial" w:hAnsi="Arial" w:cs="Arial"/>
          <w:color w:val="000000"/>
          <w:sz w:val="22"/>
          <w:szCs w:val="22"/>
          <w:lang w:val="fr-FR"/>
        </w:rPr>
        <w:t>prior</w:t>
      </w:r>
      <w:proofErr w:type="spellEnd"/>
      <w:r w:rsidRPr="00E02811">
        <w:rPr>
          <w:rFonts w:ascii="Arial" w:hAnsi="Arial" w:cs="Arial"/>
          <w:color w:val="000000"/>
          <w:sz w:val="22"/>
          <w:szCs w:val="22"/>
          <w:lang w:val="fr-FR"/>
        </w:rPr>
        <w:t xml:space="preserve"> </w:t>
      </w:r>
      <w:proofErr w:type="spellStart"/>
      <w:r w:rsidRPr="00E02811">
        <w:rPr>
          <w:rFonts w:ascii="Arial" w:hAnsi="Arial" w:cs="Arial"/>
          <w:color w:val="000000"/>
          <w:sz w:val="22"/>
          <w:szCs w:val="22"/>
          <w:lang w:val="fr-FR"/>
        </w:rPr>
        <w:t>authorization</w:t>
      </w:r>
      <w:proofErr w:type="spellEnd"/>
      <w:r w:rsidRPr="00E02811">
        <w:rPr>
          <w:rFonts w:ascii="Arial" w:hAnsi="Arial" w:cs="Arial"/>
          <w:color w:val="000000"/>
          <w:sz w:val="22"/>
          <w:szCs w:val="22"/>
          <w:lang w:val="fr-FR"/>
        </w:rPr>
        <w:t xml:space="preserve">. </w:t>
      </w:r>
    </w:p>
    <w:p w:rsidR="00D327DC" w:rsidRPr="00DA664E" w:rsidRDefault="00D327DC" w:rsidP="00D327DC">
      <w:pPr>
        <w:pStyle w:val="ListParagraph"/>
        <w:numPr>
          <w:ilvl w:val="0"/>
          <w:numId w:val="5"/>
        </w:numPr>
        <w:spacing w:line="276" w:lineRule="auto"/>
        <w:ind w:left="900" w:hanging="270"/>
        <w:contextualSpacing/>
        <w:rPr>
          <w:rFonts w:ascii="Arial" w:hAnsi="Arial" w:cs="Arial"/>
          <w:sz w:val="20"/>
          <w:szCs w:val="20"/>
        </w:rPr>
      </w:pPr>
      <w:proofErr w:type="spellStart"/>
      <w:r w:rsidRPr="00DA664E">
        <w:rPr>
          <w:rFonts w:ascii="Arial" w:hAnsi="Arial" w:cs="Arial"/>
          <w:sz w:val="20"/>
          <w:szCs w:val="20"/>
        </w:rPr>
        <w:t>Apidra</w:t>
      </w:r>
      <w:proofErr w:type="spellEnd"/>
      <w:r w:rsidRPr="00DA664E">
        <w:rPr>
          <w:rFonts w:ascii="Arial" w:hAnsi="Arial" w:cs="Arial"/>
          <w:sz w:val="20"/>
          <w:szCs w:val="20"/>
        </w:rPr>
        <w:t xml:space="preserve"> (insulin </w:t>
      </w:r>
      <w:proofErr w:type="spellStart"/>
      <w:r w:rsidRPr="00DA664E">
        <w:rPr>
          <w:rFonts w:ascii="Arial" w:hAnsi="Arial" w:cs="Arial"/>
          <w:sz w:val="20"/>
          <w:szCs w:val="20"/>
        </w:rPr>
        <w:t>glulisine</w:t>
      </w:r>
      <w:proofErr w:type="spellEnd"/>
      <w:r w:rsidRPr="00DA664E">
        <w:rPr>
          <w:rFonts w:ascii="Arial" w:hAnsi="Arial" w:cs="Arial"/>
          <w:sz w:val="20"/>
          <w:szCs w:val="20"/>
        </w:rPr>
        <w:t xml:space="preserve"> prefilled syringe) </w:t>
      </w:r>
    </w:p>
    <w:p w:rsidR="00D327DC" w:rsidRPr="00DA664E" w:rsidRDefault="00D327DC" w:rsidP="00D327DC">
      <w:pPr>
        <w:pStyle w:val="ListParagraph"/>
        <w:numPr>
          <w:ilvl w:val="0"/>
          <w:numId w:val="5"/>
        </w:numPr>
        <w:spacing w:line="276" w:lineRule="auto"/>
        <w:ind w:left="900" w:hanging="270"/>
        <w:contextualSpacing/>
        <w:rPr>
          <w:rFonts w:ascii="Arial" w:hAnsi="Arial" w:cs="Arial"/>
          <w:sz w:val="20"/>
          <w:szCs w:val="20"/>
        </w:rPr>
      </w:pPr>
      <w:r w:rsidRPr="00DA664E">
        <w:rPr>
          <w:rFonts w:ascii="Arial" w:hAnsi="Arial" w:cs="Arial"/>
          <w:sz w:val="20"/>
          <w:szCs w:val="20"/>
        </w:rPr>
        <w:t xml:space="preserve">Humalog (insulin </w:t>
      </w:r>
      <w:proofErr w:type="spellStart"/>
      <w:r w:rsidRPr="00DA664E">
        <w:rPr>
          <w:rFonts w:ascii="Arial" w:hAnsi="Arial" w:cs="Arial"/>
          <w:sz w:val="20"/>
          <w:szCs w:val="20"/>
        </w:rPr>
        <w:t>lispro</w:t>
      </w:r>
      <w:proofErr w:type="spellEnd"/>
      <w:r w:rsidRPr="00DA664E">
        <w:rPr>
          <w:rFonts w:ascii="Arial" w:hAnsi="Arial" w:cs="Arial"/>
          <w:sz w:val="20"/>
          <w:szCs w:val="20"/>
        </w:rPr>
        <w:t xml:space="preserve"> prefilled syringe)</w:t>
      </w:r>
    </w:p>
    <w:p w:rsidR="00D327DC" w:rsidRPr="00DA664E" w:rsidRDefault="00D327DC" w:rsidP="00D327DC">
      <w:pPr>
        <w:pStyle w:val="ListParagraph"/>
        <w:numPr>
          <w:ilvl w:val="0"/>
          <w:numId w:val="5"/>
        </w:numPr>
        <w:spacing w:line="276" w:lineRule="auto"/>
        <w:ind w:left="900" w:hanging="270"/>
        <w:contextualSpacing/>
        <w:rPr>
          <w:rFonts w:ascii="Arial" w:hAnsi="Arial" w:cs="Arial"/>
          <w:sz w:val="20"/>
          <w:szCs w:val="20"/>
        </w:rPr>
      </w:pPr>
      <w:r w:rsidRPr="00DA664E">
        <w:rPr>
          <w:rFonts w:ascii="Arial" w:hAnsi="Arial" w:cs="Arial"/>
          <w:sz w:val="20"/>
          <w:szCs w:val="20"/>
        </w:rPr>
        <w:t xml:space="preserve">Humalog (insulin </w:t>
      </w:r>
      <w:proofErr w:type="spellStart"/>
      <w:r w:rsidRPr="00DA664E">
        <w:rPr>
          <w:rFonts w:ascii="Arial" w:hAnsi="Arial" w:cs="Arial"/>
          <w:sz w:val="20"/>
          <w:szCs w:val="20"/>
        </w:rPr>
        <w:t>lispro</w:t>
      </w:r>
      <w:proofErr w:type="spellEnd"/>
      <w:r w:rsidRPr="00DA664E">
        <w:rPr>
          <w:rFonts w:ascii="Arial" w:hAnsi="Arial" w:cs="Arial"/>
          <w:sz w:val="20"/>
          <w:szCs w:val="20"/>
        </w:rPr>
        <w:t xml:space="preserve"> 50/50 prefilled syringe)</w:t>
      </w:r>
    </w:p>
    <w:p w:rsidR="00D327DC" w:rsidRPr="00DA664E" w:rsidRDefault="00D327DC" w:rsidP="00D327DC">
      <w:pPr>
        <w:pStyle w:val="ListParagraph"/>
        <w:numPr>
          <w:ilvl w:val="0"/>
          <w:numId w:val="5"/>
        </w:numPr>
        <w:spacing w:line="276" w:lineRule="auto"/>
        <w:ind w:left="900" w:hanging="270"/>
        <w:contextualSpacing/>
        <w:rPr>
          <w:rFonts w:ascii="Arial" w:hAnsi="Arial" w:cs="Arial"/>
          <w:sz w:val="20"/>
          <w:szCs w:val="20"/>
        </w:rPr>
      </w:pPr>
      <w:r w:rsidRPr="00DA664E">
        <w:rPr>
          <w:rFonts w:ascii="Arial" w:hAnsi="Arial" w:cs="Arial"/>
          <w:sz w:val="20"/>
          <w:szCs w:val="20"/>
        </w:rPr>
        <w:t xml:space="preserve">Humalog (insulin </w:t>
      </w:r>
      <w:proofErr w:type="spellStart"/>
      <w:r w:rsidRPr="00DA664E">
        <w:rPr>
          <w:rFonts w:ascii="Arial" w:hAnsi="Arial" w:cs="Arial"/>
          <w:sz w:val="20"/>
          <w:szCs w:val="20"/>
        </w:rPr>
        <w:t>lispro</w:t>
      </w:r>
      <w:proofErr w:type="spellEnd"/>
      <w:r w:rsidRPr="00DA664E">
        <w:rPr>
          <w:rFonts w:ascii="Arial" w:hAnsi="Arial" w:cs="Arial"/>
          <w:sz w:val="20"/>
          <w:szCs w:val="20"/>
        </w:rPr>
        <w:t xml:space="preserve"> 75/25 prefilled syringe)</w:t>
      </w:r>
    </w:p>
    <w:p w:rsidR="00D327DC" w:rsidRPr="00DA664E" w:rsidRDefault="00D327DC" w:rsidP="00D327DC">
      <w:pPr>
        <w:pStyle w:val="ListParagraph"/>
        <w:numPr>
          <w:ilvl w:val="0"/>
          <w:numId w:val="5"/>
        </w:numPr>
        <w:spacing w:line="276" w:lineRule="auto"/>
        <w:ind w:left="900" w:hanging="270"/>
        <w:contextualSpacing/>
        <w:rPr>
          <w:rFonts w:ascii="Arial" w:hAnsi="Arial" w:cs="Arial"/>
          <w:sz w:val="20"/>
          <w:szCs w:val="20"/>
        </w:rPr>
      </w:pPr>
      <w:proofErr w:type="spellStart"/>
      <w:r w:rsidRPr="00DA664E">
        <w:rPr>
          <w:rFonts w:ascii="Arial" w:hAnsi="Arial" w:cs="Arial"/>
          <w:sz w:val="20"/>
          <w:szCs w:val="20"/>
        </w:rPr>
        <w:t>Humulin</w:t>
      </w:r>
      <w:proofErr w:type="spellEnd"/>
      <w:r w:rsidRPr="00DA664E">
        <w:rPr>
          <w:rFonts w:ascii="Arial" w:hAnsi="Arial" w:cs="Arial"/>
          <w:sz w:val="20"/>
          <w:szCs w:val="20"/>
        </w:rPr>
        <w:t xml:space="preserve"> (insulin NPH/regular insulin 70/30 prefilled syringe)</w:t>
      </w:r>
    </w:p>
    <w:p w:rsidR="00D327DC" w:rsidRPr="00DA664E" w:rsidRDefault="00D327DC" w:rsidP="00D327DC">
      <w:pPr>
        <w:pStyle w:val="ListParagraph"/>
        <w:numPr>
          <w:ilvl w:val="0"/>
          <w:numId w:val="5"/>
        </w:numPr>
        <w:spacing w:line="276" w:lineRule="auto"/>
        <w:ind w:left="900" w:hanging="270"/>
        <w:contextualSpacing/>
        <w:rPr>
          <w:rFonts w:ascii="Arial" w:hAnsi="Arial" w:cs="Arial"/>
          <w:sz w:val="20"/>
          <w:szCs w:val="20"/>
        </w:rPr>
      </w:pPr>
      <w:proofErr w:type="spellStart"/>
      <w:r w:rsidRPr="00DA664E">
        <w:rPr>
          <w:rFonts w:ascii="Arial" w:hAnsi="Arial" w:cs="Arial"/>
          <w:sz w:val="20"/>
          <w:szCs w:val="20"/>
        </w:rPr>
        <w:t>Humulin</w:t>
      </w:r>
      <w:proofErr w:type="spellEnd"/>
      <w:r w:rsidRPr="00DA664E">
        <w:rPr>
          <w:rFonts w:ascii="Arial" w:hAnsi="Arial" w:cs="Arial"/>
          <w:sz w:val="20"/>
          <w:szCs w:val="20"/>
        </w:rPr>
        <w:t xml:space="preserve"> N (insulin NPH prefilled syringe)</w:t>
      </w:r>
    </w:p>
    <w:p w:rsidR="00D327DC" w:rsidRPr="00DA664E" w:rsidRDefault="00D327DC" w:rsidP="00D327DC">
      <w:pPr>
        <w:pStyle w:val="ListParagraph"/>
        <w:numPr>
          <w:ilvl w:val="0"/>
          <w:numId w:val="5"/>
        </w:numPr>
        <w:spacing w:line="276" w:lineRule="auto"/>
        <w:ind w:left="900" w:hanging="270"/>
        <w:contextualSpacing/>
        <w:rPr>
          <w:rFonts w:ascii="Arial" w:hAnsi="Arial" w:cs="Arial"/>
          <w:sz w:val="20"/>
          <w:szCs w:val="20"/>
        </w:rPr>
      </w:pPr>
      <w:r w:rsidRPr="00DA664E">
        <w:rPr>
          <w:rFonts w:ascii="Arial" w:hAnsi="Arial" w:cs="Arial"/>
          <w:sz w:val="20"/>
          <w:szCs w:val="20"/>
        </w:rPr>
        <w:t>Lantus (insulin glargine 100 units/mL prefilled syringe)</w:t>
      </w:r>
    </w:p>
    <w:p w:rsidR="00D327DC" w:rsidRPr="00DA664E" w:rsidRDefault="00D327DC" w:rsidP="00D327DC">
      <w:pPr>
        <w:pStyle w:val="ListParagraph"/>
        <w:numPr>
          <w:ilvl w:val="0"/>
          <w:numId w:val="5"/>
        </w:numPr>
        <w:spacing w:line="276" w:lineRule="auto"/>
        <w:ind w:left="900" w:hanging="270"/>
        <w:contextualSpacing/>
        <w:rPr>
          <w:rFonts w:ascii="Arial" w:hAnsi="Arial" w:cs="Arial"/>
          <w:sz w:val="20"/>
        </w:rPr>
      </w:pPr>
      <w:proofErr w:type="spellStart"/>
      <w:r w:rsidRPr="00DA664E">
        <w:rPr>
          <w:rFonts w:ascii="Arial" w:hAnsi="Arial" w:cs="Arial"/>
          <w:sz w:val="20"/>
        </w:rPr>
        <w:t>Levemir</w:t>
      </w:r>
      <w:proofErr w:type="spellEnd"/>
      <w:r w:rsidRPr="00DA664E">
        <w:rPr>
          <w:rFonts w:ascii="Arial" w:hAnsi="Arial" w:cs="Arial"/>
          <w:sz w:val="20"/>
        </w:rPr>
        <w:t xml:space="preserve"> (insulin </w:t>
      </w:r>
      <w:proofErr w:type="spellStart"/>
      <w:r w:rsidRPr="00DA664E">
        <w:rPr>
          <w:rFonts w:ascii="Arial" w:hAnsi="Arial" w:cs="Arial"/>
          <w:sz w:val="20"/>
        </w:rPr>
        <w:t>detemir</w:t>
      </w:r>
      <w:proofErr w:type="spellEnd"/>
      <w:r w:rsidRPr="00DA664E">
        <w:rPr>
          <w:rFonts w:ascii="Arial" w:hAnsi="Arial" w:cs="Arial"/>
          <w:sz w:val="20"/>
        </w:rPr>
        <w:t xml:space="preserve"> prefilled syringe)</w:t>
      </w:r>
    </w:p>
    <w:p w:rsidR="00D327DC" w:rsidRDefault="00D327DC" w:rsidP="00D327DC">
      <w:pPr>
        <w:pStyle w:val="ListParagraph"/>
        <w:numPr>
          <w:ilvl w:val="0"/>
          <w:numId w:val="5"/>
        </w:numPr>
        <w:spacing w:line="276" w:lineRule="auto"/>
        <w:ind w:left="900" w:hanging="270"/>
        <w:contextualSpacing/>
        <w:rPr>
          <w:rFonts w:ascii="Arial" w:hAnsi="Arial" w:cs="Arial"/>
          <w:sz w:val="20"/>
        </w:rPr>
      </w:pPr>
      <w:proofErr w:type="spellStart"/>
      <w:r w:rsidRPr="00A05059">
        <w:rPr>
          <w:rFonts w:ascii="Arial" w:hAnsi="Arial" w:cs="Arial"/>
          <w:sz w:val="20"/>
        </w:rPr>
        <w:t>Novolog</w:t>
      </w:r>
      <w:proofErr w:type="spellEnd"/>
      <w:r w:rsidRPr="00A05059">
        <w:rPr>
          <w:rFonts w:ascii="Arial" w:hAnsi="Arial" w:cs="Arial"/>
          <w:sz w:val="20"/>
        </w:rPr>
        <w:t xml:space="preserve"> (insulin </w:t>
      </w:r>
      <w:proofErr w:type="spellStart"/>
      <w:r w:rsidRPr="00A05059">
        <w:rPr>
          <w:rFonts w:ascii="Arial" w:hAnsi="Arial" w:cs="Arial"/>
          <w:sz w:val="20"/>
        </w:rPr>
        <w:t>aspart</w:t>
      </w:r>
      <w:proofErr w:type="spellEnd"/>
      <w:r w:rsidRPr="00A05059">
        <w:rPr>
          <w:rFonts w:ascii="Arial" w:hAnsi="Arial" w:cs="Arial"/>
          <w:sz w:val="20"/>
        </w:rPr>
        <w:t xml:space="preserve"> prefilled syringe)</w:t>
      </w:r>
    </w:p>
    <w:p w:rsidR="00D327DC" w:rsidRPr="00DA664E" w:rsidRDefault="00D327DC" w:rsidP="00D327DC">
      <w:pPr>
        <w:pStyle w:val="ListParagraph"/>
        <w:numPr>
          <w:ilvl w:val="0"/>
          <w:numId w:val="5"/>
        </w:numPr>
        <w:spacing w:line="276" w:lineRule="auto"/>
        <w:ind w:left="900" w:hanging="270"/>
        <w:contextualSpacing/>
        <w:rPr>
          <w:rFonts w:ascii="Arial" w:hAnsi="Arial" w:cs="Arial"/>
          <w:sz w:val="20"/>
        </w:rPr>
      </w:pPr>
      <w:proofErr w:type="spellStart"/>
      <w:r w:rsidRPr="00DA664E">
        <w:rPr>
          <w:rFonts w:ascii="Arial" w:hAnsi="Arial" w:cs="Arial"/>
          <w:sz w:val="20"/>
        </w:rPr>
        <w:lastRenderedPageBreak/>
        <w:t>Novolog</w:t>
      </w:r>
      <w:proofErr w:type="spellEnd"/>
      <w:r w:rsidRPr="00DA664E">
        <w:rPr>
          <w:rFonts w:ascii="Arial" w:hAnsi="Arial" w:cs="Arial"/>
          <w:sz w:val="20"/>
        </w:rPr>
        <w:t xml:space="preserve"> (insulin </w:t>
      </w:r>
      <w:proofErr w:type="spellStart"/>
      <w:r w:rsidRPr="00DA664E">
        <w:rPr>
          <w:rFonts w:ascii="Arial" w:hAnsi="Arial" w:cs="Arial"/>
          <w:sz w:val="20"/>
        </w:rPr>
        <w:t>aspart</w:t>
      </w:r>
      <w:proofErr w:type="spellEnd"/>
      <w:r w:rsidRPr="00DA664E">
        <w:rPr>
          <w:rFonts w:ascii="Arial" w:hAnsi="Arial" w:cs="Arial"/>
          <w:sz w:val="20"/>
        </w:rPr>
        <w:t xml:space="preserve"> 70/30 prefilled syringe)</w:t>
      </w:r>
    </w:p>
    <w:p w:rsidR="00E02811" w:rsidRPr="00DA664E" w:rsidRDefault="00E02811" w:rsidP="00E02811">
      <w:pPr>
        <w:pStyle w:val="ListParagraph"/>
        <w:numPr>
          <w:ilvl w:val="0"/>
          <w:numId w:val="5"/>
        </w:numPr>
        <w:spacing w:line="276" w:lineRule="auto"/>
        <w:ind w:left="900" w:hanging="270"/>
        <w:contextualSpacing/>
        <w:rPr>
          <w:rFonts w:ascii="Arial" w:hAnsi="Arial" w:cs="Arial"/>
          <w:sz w:val="20"/>
        </w:rPr>
      </w:pPr>
      <w:proofErr w:type="spellStart"/>
      <w:r w:rsidRPr="00DA664E">
        <w:rPr>
          <w:rFonts w:ascii="Arial" w:hAnsi="Arial" w:cs="Arial"/>
          <w:sz w:val="20"/>
        </w:rPr>
        <w:t>Toujeo</w:t>
      </w:r>
      <w:proofErr w:type="spellEnd"/>
      <w:r w:rsidRPr="00DA664E">
        <w:rPr>
          <w:rFonts w:ascii="Arial" w:hAnsi="Arial" w:cs="Arial"/>
          <w:sz w:val="20"/>
        </w:rPr>
        <w:t xml:space="preserve"> (insulin glargine 300 units/mL prefilled syringe)</w:t>
      </w:r>
    </w:p>
    <w:p w:rsidR="00D327DC" w:rsidRPr="00E02811" w:rsidRDefault="00E02811" w:rsidP="00E02811">
      <w:pPr>
        <w:pStyle w:val="ListParagraph"/>
        <w:numPr>
          <w:ilvl w:val="0"/>
          <w:numId w:val="5"/>
        </w:numPr>
        <w:spacing w:after="240" w:line="276" w:lineRule="auto"/>
        <w:ind w:left="900" w:hanging="270"/>
        <w:contextualSpacing/>
        <w:rPr>
          <w:rFonts w:ascii="Arial" w:hAnsi="Arial" w:cs="Arial"/>
          <w:sz w:val="20"/>
        </w:rPr>
      </w:pPr>
      <w:proofErr w:type="spellStart"/>
      <w:r w:rsidRPr="00DA664E">
        <w:rPr>
          <w:rFonts w:ascii="Arial" w:hAnsi="Arial" w:cs="Arial"/>
          <w:sz w:val="20"/>
        </w:rPr>
        <w:t>Tresiba</w:t>
      </w:r>
      <w:proofErr w:type="spellEnd"/>
      <w:r w:rsidRPr="00DA664E">
        <w:rPr>
          <w:rFonts w:ascii="Arial" w:hAnsi="Arial" w:cs="Arial"/>
          <w:sz w:val="20"/>
        </w:rPr>
        <w:t xml:space="preserve"> (insulin </w:t>
      </w:r>
      <w:proofErr w:type="spellStart"/>
      <w:r w:rsidRPr="00DA664E">
        <w:rPr>
          <w:rFonts w:ascii="Arial" w:hAnsi="Arial" w:cs="Arial"/>
          <w:sz w:val="20"/>
        </w:rPr>
        <w:t>degludec</w:t>
      </w:r>
      <w:proofErr w:type="spellEnd"/>
      <w:r w:rsidRPr="00DA664E">
        <w:rPr>
          <w:rFonts w:ascii="Arial" w:hAnsi="Arial" w:cs="Arial"/>
          <w:sz w:val="20"/>
        </w:rPr>
        <w:t xml:space="preserve"> prefilled syringe)</w:t>
      </w:r>
    </w:p>
    <w:p w:rsidR="00E02811" w:rsidRPr="00E02811" w:rsidRDefault="00E02811" w:rsidP="00E02811">
      <w:pPr>
        <w:pStyle w:val="Default"/>
        <w:numPr>
          <w:ilvl w:val="0"/>
          <w:numId w:val="4"/>
        </w:numPr>
        <w:spacing w:line="276" w:lineRule="auto"/>
        <w:rPr>
          <w:rFonts w:ascii="Arial" w:hAnsi="Arial" w:cs="Arial"/>
          <w:sz w:val="22"/>
          <w:szCs w:val="22"/>
        </w:rPr>
      </w:pPr>
      <w:r w:rsidRPr="00E02811">
        <w:rPr>
          <w:rFonts w:ascii="Arial" w:hAnsi="Arial" w:cs="Arial"/>
          <w:sz w:val="22"/>
          <w:szCs w:val="22"/>
        </w:rPr>
        <w:t xml:space="preserve">Effective </w:t>
      </w:r>
      <w:r w:rsidRPr="00E02811">
        <w:rPr>
          <w:rFonts w:ascii="Arial" w:hAnsi="Arial" w:cs="Arial"/>
          <w:color w:val="auto"/>
          <w:sz w:val="22"/>
          <w:szCs w:val="22"/>
        </w:rPr>
        <w:t>October 22</w:t>
      </w:r>
      <w:r w:rsidRPr="00E02811">
        <w:rPr>
          <w:rFonts w:ascii="Arial" w:hAnsi="Arial" w:cs="Arial"/>
          <w:sz w:val="22"/>
          <w:szCs w:val="22"/>
        </w:rPr>
        <w:t xml:space="preserve">, 2018, the following topical immune suppressants will no longer require prior authorization. </w:t>
      </w:r>
    </w:p>
    <w:p w:rsidR="00E02811" w:rsidRPr="00E02811" w:rsidRDefault="00E02811" w:rsidP="00E02811">
      <w:pPr>
        <w:pStyle w:val="Default"/>
        <w:numPr>
          <w:ilvl w:val="1"/>
          <w:numId w:val="4"/>
        </w:numPr>
        <w:spacing w:line="276" w:lineRule="auto"/>
        <w:ind w:left="1080"/>
        <w:rPr>
          <w:rFonts w:ascii="Arial" w:hAnsi="Arial" w:cs="Arial"/>
          <w:sz w:val="20"/>
          <w:szCs w:val="22"/>
        </w:rPr>
      </w:pPr>
      <w:proofErr w:type="spellStart"/>
      <w:r w:rsidRPr="00E02811">
        <w:rPr>
          <w:rFonts w:ascii="Arial" w:hAnsi="Arial" w:cs="Arial"/>
          <w:sz w:val="20"/>
          <w:szCs w:val="22"/>
        </w:rPr>
        <w:t>Elidel</w:t>
      </w:r>
      <w:proofErr w:type="spellEnd"/>
      <w:r w:rsidRPr="00E02811">
        <w:rPr>
          <w:rFonts w:ascii="Arial" w:hAnsi="Arial" w:cs="Arial"/>
          <w:sz w:val="20"/>
          <w:szCs w:val="22"/>
        </w:rPr>
        <w:t xml:space="preserve"> (</w:t>
      </w:r>
      <w:proofErr w:type="spellStart"/>
      <w:r w:rsidRPr="00E02811">
        <w:rPr>
          <w:rFonts w:ascii="Arial" w:hAnsi="Arial" w:cs="Arial"/>
          <w:sz w:val="20"/>
          <w:szCs w:val="22"/>
        </w:rPr>
        <w:t>pimecrolimus</w:t>
      </w:r>
      <w:proofErr w:type="spellEnd"/>
      <w:r w:rsidRPr="00E02811">
        <w:rPr>
          <w:rFonts w:ascii="Arial" w:hAnsi="Arial" w:cs="Arial"/>
          <w:sz w:val="20"/>
          <w:szCs w:val="22"/>
        </w:rPr>
        <w:t>)</w:t>
      </w:r>
    </w:p>
    <w:p w:rsidR="00E02811" w:rsidRPr="00E02811" w:rsidRDefault="00E02811" w:rsidP="00E02811">
      <w:pPr>
        <w:pStyle w:val="Default"/>
        <w:numPr>
          <w:ilvl w:val="1"/>
          <w:numId w:val="4"/>
        </w:numPr>
        <w:spacing w:line="276" w:lineRule="auto"/>
        <w:ind w:left="1080"/>
        <w:rPr>
          <w:rFonts w:ascii="Arial" w:hAnsi="Arial" w:cs="Arial"/>
          <w:sz w:val="20"/>
          <w:szCs w:val="22"/>
        </w:rPr>
      </w:pPr>
      <w:proofErr w:type="spellStart"/>
      <w:r w:rsidRPr="00E02811">
        <w:rPr>
          <w:rFonts w:ascii="Arial" w:hAnsi="Arial" w:cs="Arial"/>
          <w:sz w:val="20"/>
          <w:szCs w:val="22"/>
        </w:rPr>
        <w:t>Protopic</w:t>
      </w:r>
      <w:proofErr w:type="spellEnd"/>
      <w:r w:rsidRPr="00E02811">
        <w:rPr>
          <w:rFonts w:ascii="Arial" w:hAnsi="Arial" w:cs="Arial"/>
          <w:sz w:val="20"/>
          <w:szCs w:val="22"/>
        </w:rPr>
        <w:t xml:space="preserve"> (tacrolimus topical) </w:t>
      </w:r>
      <w:r w:rsidRPr="00E02811">
        <w:rPr>
          <w:rFonts w:ascii="Arial" w:hAnsi="Arial" w:cs="Arial"/>
          <w:sz w:val="20"/>
          <w:szCs w:val="22"/>
          <w:vertAlign w:val="superscript"/>
        </w:rPr>
        <w:t>BP</w:t>
      </w:r>
    </w:p>
    <w:p w:rsidR="00905C46" w:rsidRPr="00905C46" w:rsidRDefault="00CE360C" w:rsidP="00905C46">
      <w:pPr>
        <w:pStyle w:val="Subtitle"/>
        <w:spacing w:line="240" w:lineRule="auto"/>
        <w:rPr>
          <w:rFonts w:cs="Arial"/>
          <w:b/>
          <w:sz w:val="24"/>
          <w:szCs w:val="24"/>
        </w:rPr>
      </w:pPr>
      <w:r>
        <w:rPr>
          <w:rFonts w:cs="Arial"/>
          <w:b/>
          <w:sz w:val="24"/>
          <w:szCs w:val="24"/>
        </w:rPr>
        <w:t>Updated MassHealth Brand Name Preferred Over Generic Drug List</w:t>
      </w:r>
    </w:p>
    <w:p w:rsidR="00CE360C" w:rsidRPr="00CE360C" w:rsidRDefault="00CE360C" w:rsidP="00CE360C">
      <w:pPr>
        <w:numPr>
          <w:ilvl w:val="0"/>
          <w:numId w:val="27"/>
        </w:numPr>
        <w:autoSpaceDE w:val="0"/>
        <w:autoSpaceDN w:val="0"/>
        <w:adjustRightInd w:val="0"/>
        <w:spacing w:line="276" w:lineRule="auto"/>
        <w:rPr>
          <w:rFonts w:ascii="Arial" w:hAnsi="Arial" w:cs="Arial"/>
          <w:color w:val="000000"/>
          <w:sz w:val="22"/>
          <w:szCs w:val="21"/>
        </w:rPr>
      </w:pPr>
      <w:r w:rsidRPr="00CE360C">
        <w:rPr>
          <w:rFonts w:ascii="Arial" w:hAnsi="Arial" w:cs="Arial"/>
          <w:color w:val="000000"/>
          <w:sz w:val="22"/>
          <w:szCs w:val="21"/>
        </w:rPr>
        <w:t xml:space="preserve">Effective October 22, 2018, the following agents will be added to the MassHealth Brand Name Preferred </w:t>
      </w:r>
      <w:proofErr w:type="gramStart"/>
      <w:r w:rsidRPr="00CE360C">
        <w:rPr>
          <w:rFonts w:ascii="Arial" w:hAnsi="Arial" w:cs="Arial"/>
          <w:color w:val="000000"/>
          <w:sz w:val="22"/>
          <w:szCs w:val="21"/>
        </w:rPr>
        <w:t>Over</w:t>
      </w:r>
      <w:proofErr w:type="gramEnd"/>
      <w:r w:rsidRPr="00CE360C">
        <w:rPr>
          <w:rFonts w:ascii="Arial" w:hAnsi="Arial" w:cs="Arial"/>
          <w:color w:val="000000"/>
          <w:sz w:val="22"/>
          <w:szCs w:val="21"/>
        </w:rPr>
        <w:t xml:space="preserve"> Generic Drug List. </w:t>
      </w:r>
    </w:p>
    <w:p w:rsidR="00CE360C" w:rsidRPr="00CE360C" w:rsidRDefault="00CE360C" w:rsidP="00707004">
      <w:pPr>
        <w:numPr>
          <w:ilvl w:val="0"/>
          <w:numId w:val="6"/>
        </w:numPr>
        <w:autoSpaceDE w:val="0"/>
        <w:autoSpaceDN w:val="0"/>
        <w:adjustRightInd w:val="0"/>
        <w:spacing w:line="276" w:lineRule="auto"/>
        <w:ind w:left="990" w:hanging="270"/>
        <w:rPr>
          <w:rFonts w:ascii="Arial" w:hAnsi="Arial" w:cs="Arial"/>
          <w:color w:val="000000"/>
          <w:sz w:val="20"/>
          <w:szCs w:val="21"/>
        </w:rPr>
      </w:pPr>
      <w:proofErr w:type="spellStart"/>
      <w:r w:rsidRPr="00CE360C">
        <w:rPr>
          <w:rFonts w:ascii="Arial" w:hAnsi="Arial" w:cs="Arial"/>
          <w:color w:val="000000"/>
          <w:sz w:val="20"/>
          <w:szCs w:val="21"/>
        </w:rPr>
        <w:t>Albenza</w:t>
      </w:r>
      <w:proofErr w:type="spellEnd"/>
      <w:r w:rsidRPr="00CE360C">
        <w:rPr>
          <w:rFonts w:ascii="Arial" w:hAnsi="Arial" w:cs="Arial"/>
          <w:color w:val="000000"/>
          <w:sz w:val="20"/>
          <w:szCs w:val="21"/>
        </w:rPr>
        <w:t xml:space="preserve"> (</w:t>
      </w:r>
      <w:proofErr w:type="spellStart"/>
      <w:r w:rsidRPr="00CE360C">
        <w:rPr>
          <w:rFonts w:ascii="Arial" w:hAnsi="Arial" w:cs="Arial"/>
          <w:color w:val="000000"/>
          <w:sz w:val="20"/>
          <w:szCs w:val="21"/>
        </w:rPr>
        <w:t>albendazole</w:t>
      </w:r>
      <w:proofErr w:type="spellEnd"/>
      <w:r w:rsidRPr="00CE360C">
        <w:rPr>
          <w:rFonts w:ascii="Arial" w:hAnsi="Arial" w:cs="Arial"/>
          <w:color w:val="000000"/>
          <w:sz w:val="20"/>
          <w:szCs w:val="21"/>
        </w:rPr>
        <w:t xml:space="preserve">) </w:t>
      </w:r>
      <w:r w:rsidRPr="00CE360C">
        <w:rPr>
          <w:rFonts w:ascii="Arial" w:hAnsi="Arial" w:cs="Arial"/>
          <w:color w:val="000000"/>
          <w:sz w:val="20"/>
          <w:szCs w:val="21"/>
          <w:vertAlign w:val="superscript"/>
        </w:rPr>
        <w:t>BP</w:t>
      </w:r>
    </w:p>
    <w:p w:rsidR="00CE360C" w:rsidRPr="00CE360C" w:rsidRDefault="00CE360C" w:rsidP="00707004">
      <w:pPr>
        <w:numPr>
          <w:ilvl w:val="0"/>
          <w:numId w:val="6"/>
        </w:numPr>
        <w:autoSpaceDE w:val="0"/>
        <w:autoSpaceDN w:val="0"/>
        <w:adjustRightInd w:val="0"/>
        <w:spacing w:after="60" w:line="276" w:lineRule="auto"/>
        <w:ind w:left="990" w:hanging="270"/>
        <w:rPr>
          <w:rFonts w:ascii="Arial" w:hAnsi="Arial" w:cs="Arial"/>
          <w:color w:val="000000"/>
          <w:sz w:val="20"/>
          <w:szCs w:val="21"/>
        </w:rPr>
      </w:pPr>
      <w:proofErr w:type="spellStart"/>
      <w:r w:rsidRPr="00CE360C">
        <w:rPr>
          <w:rFonts w:ascii="Arial" w:hAnsi="Arial" w:cs="Arial"/>
          <w:color w:val="000000"/>
          <w:sz w:val="20"/>
          <w:szCs w:val="21"/>
        </w:rPr>
        <w:t>Forfivo</w:t>
      </w:r>
      <w:proofErr w:type="spellEnd"/>
      <w:r w:rsidRPr="00CE360C">
        <w:rPr>
          <w:rFonts w:ascii="Arial" w:hAnsi="Arial" w:cs="Arial"/>
          <w:color w:val="000000"/>
          <w:sz w:val="20"/>
          <w:szCs w:val="21"/>
        </w:rPr>
        <w:t xml:space="preserve"> XL (bupropion hydrochloride extended-release 450 mg tablet) </w:t>
      </w:r>
      <w:r w:rsidRPr="00CE360C">
        <w:rPr>
          <w:rFonts w:ascii="Arial" w:hAnsi="Arial" w:cs="Arial"/>
          <w:color w:val="000000"/>
          <w:sz w:val="20"/>
          <w:szCs w:val="21"/>
          <w:vertAlign w:val="superscript"/>
        </w:rPr>
        <w:t>BP</w:t>
      </w:r>
      <w:r w:rsidRPr="00CE360C">
        <w:rPr>
          <w:rFonts w:ascii="Arial" w:hAnsi="Arial" w:cs="Arial"/>
          <w:color w:val="000000"/>
          <w:sz w:val="20"/>
          <w:szCs w:val="21"/>
        </w:rPr>
        <w:t xml:space="preserve"> – </w:t>
      </w:r>
      <w:r w:rsidRPr="00CE360C">
        <w:rPr>
          <w:rFonts w:ascii="Arial" w:hAnsi="Arial" w:cs="Arial"/>
          <w:b/>
          <w:color w:val="000000"/>
          <w:sz w:val="20"/>
          <w:szCs w:val="21"/>
        </w:rPr>
        <w:t>PA</w:t>
      </w:r>
      <w:r w:rsidRPr="00CE360C">
        <w:rPr>
          <w:rFonts w:ascii="Arial" w:hAnsi="Arial" w:cs="Arial"/>
          <w:color w:val="000000"/>
          <w:sz w:val="20"/>
          <w:szCs w:val="21"/>
        </w:rPr>
        <w:t xml:space="preserve"> </w:t>
      </w:r>
    </w:p>
    <w:p w:rsidR="00CE360C" w:rsidRPr="00CE360C" w:rsidRDefault="00CE360C" w:rsidP="00CE360C">
      <w:pPr>
        <w:numPr>
          <w:ilvl w:val="0"/>
          <w:numId w:val="27"/>
        </w:numPr>
        <w:autoSpaceDE w:val="0"/>
        <w:autoSpaceDN w:val="0"/>
        <w:adjustRightInd w:val="0"/>
        <w:spacing w:line="276" w:lineRule="auto"/>
        <w:rPr>
          <w:rFonts w:ascii="Arial" w:hAnsi="Arial" w:cs="Arial"/>
          <w:color w:val="000000"/>
          <w:sz w:val="22"/>
          <w:szCs w:val="21"/>
        </w:rPr>
      </w:pPr>
      <w:r w:rsidRPr="00CE360C">
        <w:rPr>
          <w:rFonts w:ascii="Arial" w:hAnsi="Arial" w:cs="Arial"/>
          <w:color w:val="000000"/>
          <w:sz w:val="22"/>
          <w:szCs w:val="21"/>
        </w:rPr>
        <w:t xml:space="preserve">Effective October 22, 2018, the following agents will be removed from the MassHealth Brand Name Preferred </w:t>
      </w:r>
      <w:proofErr w:type="gramStart"/>
      <w:r w:rsidRPr="00CE360C">
        <w:rPr>
          <w:rFonts w:ascii="Arial" w:hAnsi="Arial" w:cs="Arial"/>
          <w:color w:val="000000"/>
          <w:sz w:val="22"/>
          <w:szCs w:val="21"/>
        </w:rPr>
        <w:t>Over</w:t>
      </w:r>
      <w:proofErr w:type="gramEnd"/>
      <w:r w:rsidRPr="00CE360C">
        <w:rPr>
          <w:rFonts w:ascii="Arial" w:hAnsi="Arial" w:cs="Arial"/>
          <w:color w:val="000000"/>
          <w:sz w:val="22"/>
          <w:szCs w:val="21"/>
        </w:rPr>
        <w:t xml:space="preserve"> Generic Drug List. Please note, </w:t>
      </w:r>
      <w:proofErr w:type="spellStart"/>
      <w:r w:rsidRPr="00CE360C">
        <w:rPr>
          <w:rFonts w:ascii="Arial" w:hAnsi="Arial" w:cs="Arial"/>
          <w:color w:val="000000"/>
          <w:sz w:val="22"/>
          <w:szCs w:val="21"/>
        </w:rPr>
        <w:t>Copaxone</w:t>
      </w:r>
      <w:proofErr w:type="spellEnd"/>
      <w:r w:rsidRPr="00CE360C">
        <w:rPr>
          <w:rFonts w:ascii="Arial" w:hAnsi="Arial" w:cs="Arial"/>
          <w:color w:val="000000"/>
          <w:sz w:val="22"/>
          <w:szCs w:val="21"/>
        </w:rPr>
        <w:t xml:space="preserve"> (</w:t>
      </w:r>
      <w:proofErr w:type="spellStart"/>
      <w:r w:rsidRPr="00CE360C">
        <w:rPr>
          <w:rFonts w:ascii="Arial" w:hAnsi="Arial" w:cs="Arial"/>
          <w:color w:val="000000"/>
          <w:sz w:val="22"/>
          <w:szCs w:val="21"/>
        </w:rPr>
        <w:t>glatiramer</w:t>
      </w:r>
      <w:proofErr w:type="spellEnd"/>
      <w:r w:rsidRPr="00CE360C">
        <w:rPr>
          <w:rFonts w:ascii="Arial" w:hAnsi="Arial" w:cs="Arial"/>
          <w:color w:val="000000"/>
          <w:sz w:val="22"/>
          <w:szCs w:val="21"/>
        </w:rPr>
        <w:t xml:space="preserve"> 20 mg) </w:t>
      </w:r>
      <w:r w:rsidRPr="00CE360C">
        <w:rPr>
          <w:rFonts w:ascii="Arial" w:hAnsi="Arial" w:cs="Arial"/>
          <w:color w:val="000000"/>
          <w:sz w:val="22"/>
          <w:szCs w:val="21"/>
          <w:vertAlign w:val="superscript"/>
        </w:rPr>
        <w:t>BP</w:t>
      </w:r>
      <w:r w:rsidRPr="00CE360C">
        <w:rPr>
          <w:rFonts w:ascii="Arial" w:hAnsi="Arial" w:cs="Arial"/>
          <w:color w:val="000000"/>
          <w:sz w:val="22"/>
          <w:szCs w:val="21"/>
        </w:rPr>
        <w:t xml:space="preserve"> will remain on the MassHealth Brand Name Preferred </w:t>
      </w:r>
      <w:proofErr w:type="gramStart"/>
      <w:r w:rsidRPr="00CE360C">
        <w:rPr>
          <w:rFonts w:ascii="Arial" w:hAnsi="Arial" w:cs="Arial"/>
          <w:color w:val="000000"/>
          <w:sz w:val="22"/>
          <w:szCs w:val="21"/>
        </w:rPr>
        <w:t>Over</w:t>
      </w:r>
      <w:proofErr w:type="gramEnd"/>
      <w:r w:rsidRPr="00CE360C">
        <w:rPr>
          <w:rFonts w:ascii="Arial" w:hAnsi="Arial" w:cs="Arial"/>
          <w:color w:val="000000"/>
          <w:sz w:val="22"/>
          <w:szCs w:val="21"/>
        </w:rPr>
        <w:t xml:space="preserve"> Generic Drug List.</w:t>
      </w:r>
    </w:p>
    <w:p w:rsidR="00CE360C" w:rsidRPr="00CE360C" w:rsidRDefault="00CE360C" w:rsidP="00707004">
      <w:pPr>
        <w:numPr>
          <w:ilvl w:val="0"/>
          <w:numId w:val="16"/>
        </w:numPr>
        <w:autoSpaceDE w:val="0"/>
        <w:autoSpaceDN w:val="0"/>
        <w:adjustRightInd w:val="0"/>
        <w:spacing w:line="276" w:lineRule="auto"/>
        <w:ind w:left="990" w:hanging="270"/>
        <w:rPr>
          <w:rFonts w:ascii="Arial" w:hAnsi="Arial" w:cs="Arial"/>
          <w:color w:val="000000"/>
          <w:sz w:val="20"/>
          <w:szCs w:val="22"/>
        </w:rPr>
      </w:pPr>
      <w:proofErr w:type="spellStart"/>
      <w:r w:rsidRPr="00CE360C">
        <w:rPr>
          <w:rFonts w:ascii="Arial" w:hAnsi="Arial" w:cs="Arial"/>
          <w:color w:val="000000"/>
          <w:sz w:val="20"/>
          <w:szCs w:val="22"/>
        </w:rPr>
        <w:t>Copaxone</w:t>
      </w:r>
      <w:proofErr w:type="spellEnd"/>
      <w:r w:rsidRPr="00CE360C">
        <w:rPr>
          <w:rFonts w:ascii="Arial" w:hAnsi="Arial" w:cs="Arial"/>
          <w:color w:val="000000"/>
          <w:sz w:val="20"/>
          <w:szCs w:val="22"/>
        </w:rPr>
        <w:t xml:space="preserve"> # (</w:t>
      </w:r>
      <w:proofErr w:type="spellStart"/>
      <w:r w:rsidRPr="00CE360C">
        <w:rPr>
          <w:rFonts w:ascii="Arial" w:hAnsi="Arial" w:cs="Arial"/>
          <w:color w:val="000000"/>
          <w:sz w:val="20"/>
          <w:szCs w:val="22"/>
        </w:rPr>
        <w:t>glatiramer</w:t>
      </w:r>
      <w:proofErr w:type="spellEnd"/>
      <w:r w:rsidRPr="00CE360C">
        <w:rPr>
          <w:rFonts w:ascii="Arial" w:hAnsi="Arial" w:cs="Arial"/>
          <w:color w:val="000000"/>
          <w:sz w:val="20"/>
          <w:szCs w:val="22"/>
        </w:rPr>
        <w:t xml:space="preserve"> 40 mg) </w:t>
      </w:r>
    </w:p>
    <w:p w:rsidR="00CE360C" w:rsidRPr="00CE360C" w:rsidRDefault="00CE360C" w:rsidP="00707004">
      <w:pPr>
        <w:numPr>
          <w:ilvl w:val="0"/>
          <w:numId w:val="16"/>
        </w:numPr>
        <w:autoSpaceDE w:val="0"/>
        <w:autoSpaceDN w:val="0"/>
        <w:adjustRightInd w:val="0"/>
        <w:spacing w:line="276" w:lineRule="auto"/>
        <w:ind w:left="990" w:hanging="270"/>
        <w:rPr>
          <w:rFonts w:ascii="Arial" w:hAnsi="Arial" w:cs="Arial"/>
          <w:color w:val="000000"/>
          <w:sz w:val="20"/>
          <w:szCs w:val="21"/>
        </w:rPr>
      </w:pPr>
      <w:proofErr w:type="spellStart"/>
      <w:r w:rsidRPr="00CE360C">
        <w:rPr>
          <w:rFonts w:ascii="Arial" w:hAnsi="Arial" w:cs="Arial"/>
          <w:color w:val="000000"/>
          <w:sz w:val="20"/>
          <w:szCs w:val="21"/>
        </w:rPr>
        <w:t>Suboxone</w:t>
      </w:r>
      <w:proofErr w:type="spellEnd"/>
      <w:r w:rsidRPr="00CE360C">
        <w:rPr>
          <w:rFonts w:ascii="Arial" w:hAnsi="Arial" w:cs="Arial"/>
          <w:color w:val="000000"/>
          <w:sz w:val="20"/>
          <w:szCs w:val="21"/>
        </w:rPr>
        <w:t xml:space="preserve"> (buprenorphine/naloxone film)</w:t>
      </w:r>
      <w:r w:rsidRPr="00CE360C">
        <w:rPr>
          <w:rFonts w:ascii="Arial" w:hAnsi="Arial" w:cs="Arial"/>
          <w:color w:val="000000"/>
          <w:sz w:val="20"/>
          <w:szCs w:val="21"/>
          <w:vertAlign w:val="superscript"/>
        </w:rPr>
        <w:t xml:space="preserve"> PD</w:t>
      </w:r>
      <w:r w:rsidRPr="00CE360C">
        <w:rPr>
          <w:rFonts w:ascii="Arial" w:hAnsi="Arial" w:cs="Arial"/>
          <w:color w:val="000000"/>
          <w:sz w:val="20"/>
          <w:szCs w:val="21"/>
        </w:rPr>
        <w:t xml:space="preserve"> – </w:t>
      </w:r>
      <w:r w:rsidRPr="00CE360C">
        <w:rPr>
          <w:rFonts w:ascii="Arial" w:hAnsi="Arial" w:cs="Arial"/>
          <w:b/>
          <w:color w:val="000000"/>
          <w:sz w:val="20"/>
          <w:szCs w:val="21"/>
        </w:rPr>
        <w:t>PA &gt; 180 days (&gt; 16 mg/day and ≤ 24 mg/day)</w:t>
      </w:r>
    </w:p>
    <w:p w:rsidR="00CE360C" w:rsidRPr="00CE360C" w:rsidRDefault="00CE360C" w:rsidP="00707004">
      <w:pPr>
        <w:numPr>
          <w:ilvl w:val="0"/>
          <w:numId w:val="16"/>
        </w:numPr>
        <w:autoSpaceDE w:val="0"/>
        <w:autoSpaceDN w:val="0"/>
        <w:adjustRightInd w:val="0"/>
        <w:spacing w:line="276" w:lineRule="auto"/>
        <w:ind w:left="990" w:hanging="270"/>
        <w:rPr>
          <w:rFonts w:ascii="Arial" w:hAnsi="Arial" w:cs="Arial"/>
          <w:color w:val="000000"/>
          <w:sz w:val="20"/>
          <w:szCs w:val="21"/>
        </w:rPr>
      </w:pPr>
      <w:proofErr w:type="spellStart"/>
      <w:r w:rsidRPr="00CE360C">
        <w:rPr>
          <w:rFonts w:ascii="Arial" w:hAnsi="Arial" w:cs="Arial"/>
          <w:color w:val="000000"/>
          <w:sz w:val="20"/>
          <w:szCs w:val="21"/>
        </w:rPr>
        <w:t>Suboxone</w:t>
      </w:r>
      <w:proofErr w:type="spellEnd"/>
      <w:r w:rsidRPr="00CE360C">
        <w:rPr>
          <w:rFonts w:ascii="Arial" w:hAnsi="Arial" w:cs="Arial"/>
          <w:color w:val="000000"/>
          <w:sz w:val="20"/>
          <w:szCs w:val="21"/>
        </w:rPr>
        <w:t xml:space="preserve"> (buprenorphine/naloxone film)</w:t>
      </w:r>
      <w:r w:rsidRPr="00CE360C">
        <w:rPr>
          <w:rFonts w:ascii="Arial" w:hAnsi="Arial" w:cs="Arial"/>
          <w:color w:val="000000"/>
          <w:sz w:val="20"/>
          <w:szCs w:val="21"/>
          <w:vertAlign w:val="superscript"/>
        </w:rPr>
        <w:t xml:space="preserve"> PD</w:t>
      </w:r>
      <w:r w:rsidRPr="00CE360C">
        <w:rPr>
          <w:rFonts w:ascii="Arial" w:hAnsi="Arial" w:cs="Arial"/>
          <w:color w:val="000000"/>
          <w:sz w:val="20"/>
          <w:szCs w:val="21"/>
        </w:rPr>
        <w:t xml:space="preserve"> – </w:t>
      </w:r>
      <w:r w:rsidRPr="00CE360C">
        <w:rPr>
          <w:rFonts w:ascii="Arial" w:hAnsi="Arial" w:cs="Arial"/>
          <w:b/>
          <w:color w:val="000000"/>
          <w:sz w:val="20"/>
          <w:szCs w:val="21"/>
        </w:rPr>
        <w:t>PA &gt; 32 mg/day</w:t>
      </w:r>
    </w:p>
    <w:p w:rsidR="00CE360C" w:rsidRPr="00CE360C" w:rsidRDefault="00CE360C" w:rsidP="00707004">
      <w:pPr>
        <w:numPr>
          <w:ilvl w:val="0"/>
          <w:numId w:val="16"/>
        </w:numPr>
        <w:autoSpaceDE w:val="0"/>
        <w:autoSpaceDN w:val="0"/>
        <w:adjustRightInd w:val="0"/>
        <w:spacing w:line="276" w:lineRule="auto"/>
        <w:ind w:left="990" w:hanging="270"/>
        <w:rPr>
          <w:rFonts w:ascii="Arial" w:hAnsi="Arial" w:cs="Arial"/>
          <w:color w:val="000000"/>
          <w:sz w:val="20"/>
          <w:szCs w:val="21"/>
        </w:rPr>
      </w:pPr>
      <w:proofErr w:type="spellStart"/>
      <w:r w:rsidRPr="00CE360C">
        <w:rPr>
          <w:rFonts w:ascii="Arial" w:hAnsi="Arial" w:cs="Arial"/>
          <w:color w:val="000000"/>
          <w:sz w:val="20"/>
          <w:szCs w:val="21"/>
        </w:rPr>
        <w:t>Suboxone</w:t>
      </w:r>
      <w:proofErr w:type="spellEnd"/>
      <w:r w:rsidRPr="00CE360C">
        <w:rPr>
          <w:rFonts w:ascii="Arial" w:hAnsi="Arial" w:cs="Arial"/>
          <w:color w:val="000000"/>
          <w:sz w:val="20"/>
          <w:szCs w:val="21"/>
        </w:rPr>
        <w:t xml:space="preserve"> (buprenorphine/naloxone film)</w:t>
      </w:r>
      <w:r w:rsidRPr="00CE360C">
        <w:rPr>
          <w:rFonts w:ascii="Arial" w:hAnsi="Arial" w:cs="Arial"/>
          <w:color w:val="000000"/>
          <w:sz w:val="20"/>
          <w:szCs w:val="21"/>
          <w:vertAlign w:val="superscript"/>
        </w:rPr>
        <w:t xml:space="preserve"> PD</w:t>
      </w:r>
      <w:r w:rsidRPr="00CE360C">
        <w:rPr>
          <w:rFonts w:ascii="Arial" w:hAnsi="Arial" w:cs="Arial"/>
          <w:color w:val="000000"/>
          <w:sz w:val="20"/>
          <w:szCs w:val="21"/>
        </w:rPr>
        <w:t xml:space="preserve"> – </w:t>
      </w:r>
      <w:r w:rsidRPr="00CE360C">
        <w:rPr>
          <w:rFonts w:ascii="Arial" w:hAnsi="Arial" w:cs="Arial"/>
          <w:b/>
          <w:color w:val="000000"/>
          <w:sz w:val="20"/>
          <w:szCs w:val="21"/>
        </w:rPr>
        <w:t>PA &gt; 90 days (&gt; 24 mg/day and ≤ 32 mg/day)</w:t>
      </w:r>
    </w:p>
    <w:p w:rsidR="00CE360C" w:rsidRPr="00CE360C" w:rsidRDefault="00CE360C" w:rsidP="00707004">
      <w:pPr>
        <w:numPr>
          <w:ilvl w:val="0"/>
          <w:numId w:val="16"/>
        </w:numPr>
        <w:autoSpaceDE w:val="0"/>
        <w:autoSpaceDN w:val="0"/>
        <w:adjustRightInd w:val="0"/>
        <w:spacing w:line="276" w:lineRule="auto"/>
        <w:ind w:left="990" w:hanging="270"/>
        <w:rPr>
          <w:rFonts w:ascii="Arial" w:hAnsi="Arial" w:cs="Arial"/>
          <w:color w:val="000000"/>
          <w:sz w:val="20"/>
          <w:szCs w:val="21"/>
        </w:rPr>
      </w:pPr>
      <w:proofErr w:type="spellStart"/>
      <w:r w:rsidRPr="00CE360C">
        <w:rPr>
          <w:rFonts w:ascii="Arial" w:hAnsi="Arial" w:cs="Arial"/>
          <w:color w:val="000000"/>
          <w:sz w:val="20"/>
          <w:szCs w:val="21"/>
        </w:rPr>
        <w:t>Suboxone</w:t>
      </w:r>
      <w:proofErr w:type="spellEnd"/>
      <w:r w:rsidRPr="00CE360C">
        <w:rPr>
          <w:rFonts w:ascii="Arial" w:hAnsi="Arial" w:cs="Arial"/>
          <w:color w:val="000000"/>
          <w:sz w:val="20"/>
          <w:szCs w:val="21"/>
        </w:rPr>
        <w:t xml:space="preserve"> (buprenorphine/naloxone film ≤ 16 mg/day)</w:t>
      </w:r>
      <w:r w:rsidRPr="00CE360C">
        <w:rPr>
          <w:rFonts w:ascii="Arial" w:hAnsi="Arial" w:cs="Arial"/>
          <w:color w:val="000000"/>
          <w:sz w:val="20"/>
          <w:szCs w:val="21"/>
          <w:vertAlign w:val="superscript"/>
        </w:rPr>
        <w:t xml:space="preserve"> PD</w:t>
      </w:r>
    </w:p>
    <w:p w:rsidR="003B17F6" w:rsidRDefault="003B17F6" w:rsidP="00B645C9">
      <w:pPr>
        <w:shd w:val="clear" w:color="auto" w:fill="FFFFFF"/>
        <w:ind w:left="729" w:hanging="630"/>
        <w:jc w:val="center"/>
        <w:rPr>
          <w:rFonts w:ascii="Arial" w:hAnsi="Arial"/>
          <w:b/>
          <w:bCs/>
          <w:sz w:val="18"/>
          <w:szCs w:val="18"/>
        </w:rPr>
      </w:pPr>
    </w:p>
    <w:p w:rsidR="00EF7C8A" w:rsidRDefault="00EF7C8A" w:rsidP="00B645C9">
      <w:pPr>
        <w:shd w:val="clear" w:color="auto" w:fill="FFFFFF"/>
        <w:ind w:left="729" w:hanging="630"/>
        <w:jc w:val="center"/>
        <w:rPr>
          <w:rFonts w:ascii="Arial" w:hAnsi="Arial"/>
          <w:b/>
          <w:bCs/>
          <w:sz w:val="18"/>
          <w:szCs w:val="18"/>
        </w:rPr>
      </w:pPr>
      <w:r w:rsidRPr="006E1C33">
        <w:rPr>
          <w:rFonts w:ascii="Arial" w:hAnsi="Arial"/>
          <w:b/>
          <w:bCs/>
          <w:sz w:val="18"/>
          <w:szCs w:val="18"/>
        </w:rPr>
        <w:lastRenderedPageBreak/>
        <w:t>Legend</w:t>
      </w:r>
    </w:p>
    <w:p w:rsidR="005B15B3" w:rsidRPr="00E73190" w:rsidRDefault="005B15B3" w:rsidP="005B15B3">
      <w:pPr>
        <w:shd w:val="clear" w:color="auto" w:fill="FFFFFF"/>
        <w:tabs>
          <w:tab w:val="left" w:pos="180"/>
          <w:tab w:val="left" w:pos="360"/>
        </w:tabs>
        <w:ind w:left="270" w:hanging="360"/>
        <w:rPr>
          <w:rFonts w:ascii="Arial" w:hAnsi="Arial"/>
          <w:b/>
          <w:bCs/>
          <w:sz w:val="18"/>
          <w:szCs w:val="18"/>
        </w:rPr>
      </w:pPr>
    </w:p>
    <w:p w:rsidR="00E50862" w:rsidRDefault="00E50862" w:rsidP="005B15B3">
      <w:pPr>
        <w:shd w:val="clear" w:color="auto" w:fill="FFFFFF"/>
        <w:tabs>
          <w:tab w:val="left" w:pos="180"/>
          <w:tab w:val="left" w:pos="360"/>
        </w:tabs>
        <w:ind w:left="270" w:hanging="360"/>
        <w:rPr>
          <w:rFonts w:ascii="Arial" w:hAnsi="Arial"/>
          <w:bCs/>
          <w:sz w:val="18"/>
          <w:szCs w:val="18"/>
        </w:rPr>
      </w:pPr>
      <w:r w:rsidRPr="002A5C1E">
        <w:rPr>
          <w:rFonts w:ascii="Arial" w:hAnsi="Arial"/>
          <w:b/>
          <w:bCs/>
          <w:sz w:val="22"/>
          <w:szCs w:val="18"/>
          <w:vertAlign w:val="superscript"/>
        </w:rPr>
        <w:t>PA</w:t>
      </w:r>
      <w:r w:rsidR="009F0526">
        <w:rPr>
          <w:rFonts w:ascii="Arial" w:hAnsi="Arial"/>
          <w:b/>
          <w:bCs/>
          <w:sz w:val="18"/>
          <w:szCs w:val="18"/>
        </w:rPr>
        <w:t xml:space="preserve"> </w:t>
      </w:r>
      <w:r>
        <w:rPr>
          <w:rFonts w:ascii="Arial" w:hAnsi="Arial"/>
          <w:b/>
          <w:bCs/>
          <w:sz w:val="18"/>
          <w:szCs w:val="18"/>
        </w:rPr>
        <w:t xml:space="preserve"> </w:t>
      </w:r>
      <w:r w:rsidR="002A5C1E">
        <w:rPr>
          <w:rFonts w:ascii="Arial" w:hAnsi="Arial"/>
          <w:b/>
          <w:bCs/>
          <w:sz w:val="18"/>
          <w:szCs w:val="18"/>
        </w:rPr>
        <w:t xml:space="preserve"> </w:t>
      </w:r>
      <w:r>
        <w:rPr>
          <w:rFonts w:ascii="Arial" w:hAnsi="Arial"/>
          <w:bCs/>
          <w:sz w:val="18"/>
          <w:szCs w:val="18"/>
        </w:rPr>
        <w:t>Prior authorization is required. The prescriber must obtain prior authorization for the drug in order for the pharmacy to receive payment. Note: PA applies to both the brand-name and the FDA “A”-rated generic equivalent of listed product.</w:t>
      </w:r>
    </w:p>
    <w:p w:rsidR="003240F1" w:rsidRDefault="003240F1" w:rsidP="005B15B3">
      <w:pPr>
        <w:shd w:val="clear" w:color="auto" w:fill="FFFFFF"/>
        <w:tabs>
          <w:tab w:val="left" w:pos="180"/>
          <w:tab w:val="left" w:pos="360"/>
        </w:tabs>
        <w:ind w:left="270" w:hanging="360"/>
        <w:rPr>
          <w:rFonts w:ascii="Arial" w:hAnsi="Arial"/>
          <w:bCs/>
          <w:sz w:val="18"/>
          <w:szCs w:val="18"/>
        </w:rPr>
      </w:pPr>
    </w:p>
    <w:p w:rsidR="009D6D73" w:rsidRPr="009D6D73" w:rsidRDefault="009D6D73" w:rsidP="009D6D73">
      <w:pPr>
        <w:shd w:val="clear" w:color="auto" w:fill="FFFFFF"/>
        <w:tabs>
          <w:tab w:val="left" w:pos="270"/>
          <w:tab w:val="left" w:pos="360"/>
        </w:tabs>
        <w:ind w:left="270" w:hanging="360"/>
        <w:rPr>
          <w:rFonts w:ascii="Arial" w:hAnsi="Arial"/>
          <w:bCs/>
          <w:sz w:val="18"/>
          <w:szCs w:val="18"/>
        </w:rPr>
      </w:pPr>
      <w:r w:rsidRPr="005B15B3">
        <w:rPr>
          <w:rFonts w:ascii="Arial" w:hAnsi="Arial"/>
          <w:bCs/>
          <w:sz w:val="22"/>
          <w:szCs w:val="22"/>
        </w:rPr>
        <w:t xml:space="preserve"># </w:t>
      </w:r>
      <w:r w:rsidRPr="009D6D73">
        <w:rPr>
          <w:rFonts w:ascii="Arial" w:hAnsi="Arial"/>
          <w:bCs/>
          <w:sz w:val="18"/>
          <w:szCs w:val="18"/>
        </w:rPr>
        <w:t xml:space="preserve"> </w:t>
      </w:r>
      <w:r>
        <w:rPr>
          <w:rFonts w:ascii="Arial" w:hAnsi="Arial"/>
          <w:bCs/>
          <w:sz w:val="18"/>
          <w:szCs w:val="18"/>
        </w:rPr>
        <w:t xml:space="preserve"> </w:t>
      </w:r>
      <w:r w:rsidRPr="009D6D73">
        <w:rPr>
          <w:rFonts w:ascii="Arial" w:hAnsi="Arial"/>
          <w:bCs/>
          <w:sz w:val="18"/>
          <w:szCs w:val="18"/>
        </w:rPr>
        <w:t xml:space="preserve"> </w:t>
      </w:r>
      <w:r>
        <w:rPr>
          <w:rFonts w:ascii="Arial" w:hAnsi="Arial"/>
          <w:bCs/>
          <w:sz w:val="18"/>
          <w:szCs w:val="18"/>
        </w:rPr>
        <w:t xml:space="preserve"> D</w:t>
      </w:r>
      <w:r w:rsidRPr="009D6D73">
        <w:rPr>
          <w:rFonts w:ascii="Arial" w:hAnsi="Arial"/>
          <w:bCs/>
          <w:sz w:val="18"/>
          <w:szCs w:val="18"/>
        </w:rPr>
        <w:t>esignates a brand-name drug with FDA “A”-rated generic equivalents. </w:t>
      </w:r>
      <w:bookmarkStart w:id="0" w:name="Prior_Authorization"/>
      <w:r w:rsidRPr="009D6D73">
        <w:rPr>
          <w:rFonts w:ascii="Arial" w:hAnsi="Arial"/>
          <w:bCs/>
          <w:sz w:val="18"/>
          <w:szCs w:val="18"/>
        </w:rPr>
        <w:t>Prior authorization</w:t>
      </w:r>
      <w:bookmarkEnd w:id="0"/>
      <w:r w:rsidRPr="009D6D73">
        <w:rPr>
          <w:rFonts w:ascii="Arial" w:hAnsi="Arial"/>
          <w:bCs/>
          <w:sz w:val="18"/>
          <w:szCs w:val="18"/>
        </w:rPr>
        <w:t xml:space="preserve"> is required for the brand, unless a particular form of that drug (for example, tablet, capsule, or liquid) does not have an FDA “A”-rated generic equivalent. </w:t>
      </w:r>
    </w:p>
    <w:p w:rsidR="009D6D73" w:rsidRPr="005B15B3" w:rsidRDefault="009D6D73" w:rsidP="00E50862">
      <w:pPr>
        <w:shd w:val="clear" w:color="auto" w:fill="FFFFFF"/>
        <w:tabs>
          <w:tab w:val="left" w:pos="360"/>
        </w:tabs>
        <w:ind w:left="540" w:hanging="630"/>
        <w:rPr>
          <w:rFonts w:ascii="Arial" w:hAnsi="Arial"/>
          <w:bCs/>
          <w:sz w:val="22"/>
          <w:szCs w:val="22"/>
        </w:rPr>
      </w:pPr>
    </w:p>
    <w:p w:rsidR="00212622" w:rsidRDefault="00E50862" w:rsidP="00212622">
      <w:pPr>
        <w:shd w:val="clear" w:color="auto" w:fill="FFFFFF"/>
        <w:ind w:left="270" w:hanging="441"/>
        <w:rPr>
          <w:rFonts w:ascii="Arial" w:hAnsi="Arial"/>
          <w:bCs/>
          <w:sz w:val="18"/>
          <w:szCs w:val="18"/>
        </w:rPr>
      </w:pPr>
      <w:r w:rsidRPr="005B15B3">
        <w:rPr>
          <w:rFonts w:ascii="Arial" w:hAnsi="Arial"/>
          <w:b/>
          <w:sz w:val="22"/>
          <w:szCs w:val="22"/>
          <w:vertAlign w:val="superscript"/>
        </w:rPr>
        <w:t>BP</w:t>
      </w:r>
      <w:r w:rsidR="004D79B2" w:rsidRPr="005B15B3">
        <w:rPr>
          <w:rFonts w:ascii="Arial" w:hAnsi="Arial"/>
          <w:b/>
          <w:sz w:val="22"/>
          <w:szCs w:val="22"/>
          <w:vertAlign w:val="superscript"/>
        </w:rPr>
        <w:t xml:space="preserve"> </w:t>
      </w:r>
      <w:r w:rsidR="004D79B2">
        <w:rPr>
          <w:rFonts w:ascii="Arial" w:hAnsi="Arial"/>
          <w:b/>
          <w:sz w:val="18"/>
          <w:szCs w:val="18"/>
          <w:vertAlign w:val="superscript"/>
        </w:rPr>
        <w:t xml:space="preserve">  </w:t>
      </w:r>
      <w:r w:rsidR="004D79B2">
        <w:rPr>
          <w:rFonts w:ascii="Arial" w:hAnsi="Arial"/>
          <w:bCs/>
          <w:sz w:val="18"/>
          <w:szCs w:val="18"/>
        </w:rPr>
        <w:t xml:space="preserve">  </w:t>
      </w:r>
      <w:r w:rsidR="009F0526">
        <w:rPr>
          <w:rFonts w:ascii="Arial" w:hAnsi="Arial"/>
          <w:bCs/>
          <w:sz w:val="18"/>
          <w:szCs w:val="18"/>
        </w:rPr>
        <w:tab/>
      </w:r>
      <w:r>
        <w:rPr>
          <w:rFonts w:ascii="Arial" w:hAnsi="Arial"/>
          <w:bCs/>
          <w:sz w:val="18"/>
          <w:szCs w:val="18"/>
        </w:rPr>
        <w:t>Brand preferred over generic equivalents.</w:t>
      </w:r>
      <w:r w:rsidR="005B15B3">
        <w:rPr>
          <w:rFonts w:ascii="Arial" w:hAnsi="Arial"/>
          <w:bCs/>
          <w:sz w:val="18"/>
          <w:szCs w:val="18"/>
        </w:rPr>
        <w:t xml:space="preserve"> </w:t>
      </w:r>
      <w:r>
        <w:rPr>
          <w:rFonts w:ascii="Arial" w:hAnsi="Arial"/>
          <w:bCs/>
          <w:sz w:val="18"/>
          <w:szCs w:val="18"/>
        </w:rPr>
        <w:t xml:space="preserve">In general, MassHealth requires a trial of the preferred drug or clinical rationale for prescribing the </w:t>
      </w:r>
      <w:proofErr w:type="spellStart"/>
      <w:r>
        <w:rPr>
          <w:rFonts w:ascii="Arial" w:hAnsi="Arial"/>
          <w:bCs/>
          <w:sz w:val="18"/>
          <w:szCs w:val="18"/>
        </w:rPr>
        <w:t>nonpreferred</w:t>
      </w:r>
      <w:proofErr w:type="spellEnd"/>
      <w:r>
        <w:rPr>
          <w:rFonts w:ascii="Arial" w:hAnsi="Arial"/>
          <w:bCs/>
          <w:sz w:val="18"/>
          <w:szCs w:val="18"/>
        </w:rPr>
        <w:t xml:space="preserve"> drug generic equivalent</w:t>
      </w:r>
      <w:r w:rsidR="00212622">
        <w:rPr>
          <w:rFonts w:ascii="Arial" w:hAnsi="Arial"/>
          <w:bCs/>
          <w:sz w:val="18"/>
          <w:szCs w:val="18"/>
        </w:rPr>
        <w:t>.</w:t>
      </w:r>
    </w:p>
    <w:p w:rsidR="00212622" w:rsidRPr="00B33581" w:rsidRDefault="00212622" w:rsidP="00212622">
      <w:pPr>
        <w:shd w:val="clear" w:color="auto" w:fill="FFFFFF"/>
        <w:ind w:left="270" w:hanging="441"/>
        <w:rPr>
          <w:rFonts w:ascii="Arial" w:hAnsi="Arial" w:cs="Arial"/>
          <w:b/>
          <w:sz w:val="22"/>
          <w:szCs w:val="22"/>
        </w:rPr>
      </w:pPr>
    </w:p>
    <w:p w:rsidR="00783114" w:rsidRDefault="00783114" w:rsidP="00783114">
      <w:pPr>
        <w:shd w:val="clear" w:color="auto" w:fill="FFFFFF"/>
        <w:ind w:left="270" w:hanging="441"/>
        <w:rPr>
          <w:rFonts w:ascii="Arial" w:hAnsi="Arial"/>
          <w:bCs/>
          <w:sz w:val="18"/>
          <w:szCs w:val="18"/>
        </w:rPr>
      </w:pPr>
      <w:r w:rsidRPr="00B645C9">
        <w:rPr>
          <w:rFonts w:ascii="Arial" w:hAnsi="Arial"/>
          <w:b/>
          <w:sz w:val="22"/>
          <w:szCs w:val="22"/>
          <w:vertAlign w:val="superscript"/>
        </w:rPr>
        <w:t>PD</w:t>
      </w:r>
      <w:r w:rsidRPr="00B645C9">
        <w:rPr>
          <w:rFonts w:ascii="Arial" w:hAnsi="Arial"/>
          <w:b/>
          <w:sz w:val="18"/>
          <w:szCs w:val="18"/>
          <w:vertAlign w:val="superscript"/>
        </w:rPr>
        <w:t xml:space="preserve">    </w:t>
      </w:r>
      <w:r>
        <w:rPr>
          <w:rFonts w:ascii="Arial" w:hAnsi="Arial"/>
          <w:bCs/>
          <w:sz w:val="18"/>
          <w:szCs w:val="18"/>
          <w:vertAlign w:val="superscript"/>
        </w:rPr>
        <w:tab/>
      </w:r>
      <w:r w:rsidRPr="004D79B2">
        <w:rPr>
          <w:rFonts w:ascii="Arial" w:eastAsia="Calibri" w:hAnsi="Arial" w:cs="Arial"/>
          <w:sz w:val="18"/>
          <w:szCs w:val="18"/>
        </w:rPr>
        <w:t xml:space="preserve">In general, MassHealth requires a trial of the preferred drug (PD) or a clinical rationale for prescribing a </w:t>
      </w:r>
      <w:proofErr w:type="spellStart"/>
      <w:r w:rsidRPr="004D79B2">
        <w:rPr>
          <w:rFonts w:ascii="Arial" w:eastAsia="Calibri" w:hAnsi="Arial" w:cs="Arial"/>
          <w:sz w:val="18"/>
          <w:szCs w:val="18"/>
        </w:rPr>
        <w:t>nonpreferred</w:t>
      </w:r>
      <w:proofErr w:type="spellEnd"/>
      <w:r w:rsidRPr="004D79B2">
        <w:rPr>
          <w:rFonts w:ascii="Arial" w:eastAsia="Calibri" w:hAnsi="Arial" w:cs="Arial"/>
          <w:sz w:val="18"/>
          <w:szCs w:val="18"/>
        </w:rPr>
        <w:t xml:space="preserve"> drug within a therapeutic class.</w:t>
      </w:r>
      <w:r w:rsidRPr="00212622">
        <w:rPr>
          <w:rFonts w:ascii="Arial" w:hAnsi="Arial"/>
          <w:bCs/>
          <w:sz w:val="18"/>
          <w:szCs w:val="18"/>
        </w:rPr>
        <w:t xml:space="preserve"> </w:t>
      </w:r>
    </w:p>
    <w:p w:rsidR="00783114" w:rsidRDefault="00783114" w:rsidP="00783114">
      <w:pPr>
        <w:shd w:val="clear" w:color="auto" w:fill="FFFFFF"/>
        <w:rPr>
          <w:rFonts w:ascii="Arial" w:hAnsi="Arial"/>
          <w:bCs/>
          <w:sz w:val="18"/>
          <w:szCs w:val="18"/>
        </w:rPr>
      </w:pPr>
      <w:bookmarkStart w:id="1" w:name="_GoBack"/>
    </w:p>
    <w:bookmarkEnd w:id="1"/>
    <w:p w:rsidR="00212622" w:rsidRPr="005B15B3" w:rsidRDefault="00212622" w:rsidP="00212622">
      <w:pPr>
        <w:shd w:val="clear" w:color="auto" w:fill="FFFFFF"/>
        <w:ind w:left="270" w:hanging="441"/>
        <w:rPr>
          <w:rFonts w:ascii="Arial" w:hAnsi="Arial"/>
          <w:bCs/>
          <w:sz w:val="18"/>
          <w:szCs w:val="18"/>
        </w:rPr>
      </w:pPr>
      <w:proofErr w:type="gramStart"/>
      <w:r w:rsidRPr="00B645C9">
        <w:rPr>
          <w:rFonts w:ascii="Arial" w:hAnsi="Arial" w:cs="Arial"/>
          <w:b/>
          <w:sz w:val="22"/>
          <w:szCs w:val="22"/>
          <w:vertAlign w:val="superscript"/>
        </w:rPr>
        <w:t>H</w:t>
      </w:r>
      <w:r>
        <w:rPr>
          <w:rFonts w:ascii="Arial" w:hAnsi="Arial" w:cs="Arial"/>
          <w:sz w:val="18"/>
          <w:szCs w:val="18"/>
          <w:vertAlign w:val="superscript"/>
        </w:rPr>
        <w:t xml:space="preserve">    </w:t>
      </w:r>
      <w:r>
        <w:rPr>
          <w:rFonts w:ascii="Arial" w:hAnsi="Arial" w:cs="Arial"/>
          <w:bCs/>
          <w:sz w:val="18"/>
          <w:szCs w:val="18"/>
        </w:rPr>
        <w:t xml:space="preserve"> </w:t>
      </w:r>
      <w:r>
        <w:rPr>
          <w:rFonts w:ascii="Arial" w:hAnsi="Arial" w:cs="Arial"/>
          <w:bCs/>
          <w:sz w:val="18"/>
          <w:szCs w:val="18"/>
        </w:rPr>
        <w:tab/>
      </w:r>
      <w:r>
        <w:rPr>
          <w:rFonts w:ascii="Arial" w:eastAsia="Calibri" w:hAnsi="Arial" w:cs="Arial"/>
          <w:sz w:val="18"/>
          <w:szCs w:val="18"/>
        </w:rPr>
        <w:t>Available only in an inpatient hospital setting.</w:t>
      </w:r>
      <w:proofErr w:type="gramEnd"/>
      <w:r>
        <w:rPr>
          <w:rFonts w:ascii="Arial" w:eastAsia="Calibri" w:hAnsi="Arial" w:cs="Arial"/>
          <w:sz w:val="18"/>
          <w:szCs w:val="18"/>
        </w:rPr>
        <w:t xml:space="preserve"> Mass</w:t>
      </w:r>
      <w:r w:rsidRPr="00B645C9">
        <w:rPr>
          <w:rFonts w:ascii="Arial" w:eastAsia="Calibri" w:hAnsi="Arial" w:cs="Arial"/>
          <w:sz w:val="18"/>
          <w:szCs w:val="18"/>
        </w:rPr>
        <w:t xml:space="preserve">Health </w:t>
      </w:r>
      <w:r>
        <w:rPr>
          <w:rFonts w:ascii="Arial" w:eastAsia="Calibri" w:hAnsi="Arial" w:cs="Arial"/>
          <w:sz w:val="18"/>
          <w:szCs w:val="18"/>
        </w:rPr>
        <w:t>does not pay for this drug to be dispensed through the retail pharmacy or physician's office.</w:t>
      </w:r>
    </w:p>
    <w:p w:rsidR="00212622" w:rsidRPr="00E66913" w:rsidRDefault="00212622" w:rsidP="00E66913">
      <w:pPr>
        <w:shd w:val="clear" w:color="auto" w:fill="FFFFFF"/>
        <w:spacing w:after="120"/>
        <w:ind w:left="273" w:hanging="446"/>
        <w:rPr>
          <w:rFonts w:ascii="Arial" w:hAnsi="Arial" w:cs="Arial"/>
          <w:b/>
          <w:sz w:val="22"/>
          <w:szCs w:val="22"/>
        </w:rPr>
      </w:pPr>
    </w:p>
    <w:p w:rsidR="00212622" w:rsidRPr="005B15B3" w:rsidRDefault="000A6318" w:rsidP="00212622">
      <w:pPr>
        <w:shd w:val="clear" w:color="auto" w:fill="FFFFFF"/>
        <w:ind w:left="270" w:hanging="441"/>
        <w:rPr>
          <w:rFonts w:ascii="Arial" w:hAnsi="Arial"/>
          <w:bCs/>
          <w:sz w:val="18"/>
          <w:szCs w:val="18"/>
        </w:rPr>
      </w:pPr>
      <w:r>
        <w:rPr>
          <w:rFonts w:ascii="Arial" w:hAnsi="Arial" w:cs="Arial"/>
          <w:b/>
          <w:sz w:val="22"/>
          <w:szCs w:val="22"/>
          <w:vertAlign w:val="superscript"/>
        </w:rPr>
        <w:t>*</w:t>
      </w:r>
      <w:r w:rsidR="00212622">
        <w:rPr>
          <w:rFonts w:ascii="Arial" w:hAnsi="Arial" w:cs="Arial"/>
          <w:sz w:val="18"/>
          <w:szCs w:val="18"/>
          <w:vertAlign w:val="superscript"/>
        </w:rPr>
        <w:t xml:space="preserve">    </w:t>
      </w:r>
      <w:r w:rsidR="00212622">
        <w:rPr>
          <w:rFonts w:ascii="Arial" w:hAnsi="Arial" w:cs="Arial"/>
          <w:bCs/>
          <w:sz w:val="18"/>
          <w:szCs w:val="18"/>
        </w:rPr>
        <w:t xml:space="preserve"> </w:t>
      </w:r>
      <w:r w:rsidR="00212622">
        <w:rPr>
          <w:rFonts w:ascii="Arial" w:hAnsi="Arial" w:cs="Arial"/>
          <w:bCs/>
          <w:sz w:val="18"/>
          <w:szCs w:val="18"/>
        </w:rPr>
        <w:tab/>
      </w:r>
      <w:r w:rsidR="00212622">
        <w:rPr>
          <w:rFonts w:ascii="Arial" w:eastAsia="Calibri" w:hAnsi="Arial" w:cs="Arial"/>
          <w:sz w:val="18"/>
          <w:szCs w:val="18"/>
        </w:rPr>
        <w:t xml:space="preserve">The generic OTC and, if any, generic prescription versions of the drug are payable under MassHealth without prior authorization. </w:t>
      </w:r>
    </w:p>
    <w:p w:rsidR="00212622" w:rsidRDefault="00212622" w:rsidP="00212622">
      <w:pPr>
        <w:shd w:val="clear" w:color="auto" w:fill="FFFFFF"/>
        <w:tabs>
          <w:tab w:val="left" w:pos="360"/>
        </w:tabs>
        <w:ind w:left="729" w:hanging="630"/>
        <w:rPr>
          <w:rFonts w:ascii="Arial" w:hAnsi="Arial"/>
          <w:bCs/>
          <w:sz w:val="18"/>
          <w:szCs w:val="18"/>
        </w:rPr>
      </w:pPr>
    </w:p>
    <w:p w:rsidR="00137D3D" w:rsidRDefault="000A6318" w:rsidP="00212622">
      <w:pPr>
        <w:shd w:val="clear" w:color="auto" w:fill="FFFFFF"/>
        <w:ind w:left="270" w:hanging="441"/>
        <w:rPr>
          <w:rFonts w:ascii="Arial" w:eastAsia="Calibri" w:hAnsi="Arial" w:cs="Arial"/>
          <w:sz w:val="18"/>
          <w:szCs w:val="18"/>
        </w:rPr>
      </w:pPr>
      <w:r>
        <w:rPr>
          <w:rFonts w:ascii="Arial" w:hAnsi="Arial"/>
          <w:b/>
          <w:sz w:val="22"/>
          <w:szCs w:val="22"/>
          <w:vertAlign w:val="superscript"/>
        </w:rPr>
        <w:t>^</w:t>
      </w:r>
      <w:r w:rsidR="00212622" w:rsidRPr="00B645C9">
        <w:rPr>
          <w:rFonts w:ascii="Arial" w:hAnsi="Arial"/>
          <w:b/>
          <w:sz w:val="18"/>
          <w:szCs w:val="18"/>
          <w:vertAlign w:val="superscript"/>
        </w:rPr>
        <w:t xml:space="preserve">    </w:t>
      </w:r>
      <w:r w:rsidR="00212622">
        <w:rPr>
          <w:rFonts w:ascii="Arial" w:hAnsi="Arial"/>
          <w:bCs/>
          <w:sz w:val="18"/>
          <w:szCs w:val="18"/>
          <w:vertAlign w:val="superscript"/>
        </w:rPr>
        <w:tab/>
      </w:r>
      <w:r w:rsidR="00061F50">
        <w:rPr>
          <w:rFonts w:ascii="Arial" w:eastAsia="Calibri" w:hAnsi="Arial" w:cs="Arial"/>
          <w:sz w:val="18"/>
          <w:szCs w:val="18"/>
        </w:rPr>
        <w:t>A</w:t>
      </w:r>
      <w:r w:rsidR="00212622" w:rsidRPr="00061F50">
        <w:rPr>
          <w:rFonts w:ascii="Arial" w:eastAsia="Calibri" w:hAnsi="Arial" w:cs="Arial"/>
          <w:sz w:val="18"/>
          <w:szCs w:val="18"/>
        </w:rPr>
        <w:t>vailable</w:t>
      </w:r>
      <w:r w:rsidR="00212622" w:rsidRPr="00061F50">
        <w:rPr>
          <w:rFonts w:ascii="Arial" w:eastAsia="Calibri" w:hAnsi="Arial" w:cs="Arial"/>
          <w:color w:val="FF0000"/>
          <w:sz w:val="18"/>
          <w:szCs w:val="18"/>
        </w:rPr>
        <w:t xml:space="preserve"> </w:t>
      </w:r>
      <w:r w:rsidR="00212622">
        <w:rPr>
          <w:rFonts w:ascii="Arial" w:eastAsia="Calibri" w:hAnsi="Arial" w:cs="Arial"/>
          <w:sz w:val="18"/>
          <w:szCs w:val="18"/>
        </w:rPr>
        <w:t xml:space="preserve">through the health care professional who administers the drug. MassHealth does not pay for this drug to be dispensed through a retail pharmacy. </w:t>
      </w:r>
    </w:p>
    <w:p w:rsidR="00D66801" w:rsidRDefault="00D66801" w:rsidP="00212622">
      <w:pPr>
        <w:shd w:val="clear" w:color="auto" w:fill="FFFFFF"/>
        <w:ind w:left="270" w:hanging="441"/>
        <w:rPr>
          <w:rFonts w:ascii="Arial" w:eastAsia="Calibri" w:hAnsi="Arial" w:cs="Arial"/>
          <w:sz w:val="18"/>
          <w:szCs w:val="18"/>
        </w:rPr>
      </w:pPr>
    </w:p>
    <w:p w:rsidR="00D66801" w:rsidRPr="00E73190" w:rsidRDefault="00D66801" w:rsidP="00D66801">
      <w:pPr>
        <w:shd w:val="clear" w:color="auto" w:fill="FFFFFF"/>
        <w:ind w:left="270" w:hanging="450"/>
        <w:rPr>
          <w:rFonts w:ascii="Arial" w:hAnsi="Arial" w:cs="Arial"/>
          <w:sz w:val="18"/>
          <w:szCs w:val="16"/>
        </w:rPr>
      </w:pPr>
      <w:r w:rsidRPr="002A5C1E">
        <w:rPr>
          <w:rFonts w:ascii="Arial" w:hAnsi="Arial"/>
          <w:b/>
          <w:sz w:val="22"/>
          <w:szCs w:val="22"/>
          <w:vertAlign w:val="superscript"/>
        </w:rPr>
        <w:t>1</w:t>
      </w:r>
      <w:r w:rsidRPr="002A5C1E">
        <w:rPr>
          <w:rFonts w:ascii="Arial" w:hAnsi="Arial" w:cs="Arial"/>
          <w:bCs/>
          <w:color w:val="000000"/>
          <w:sz w:val="22"/>
          <w:szCs w:val="22"/>
        </w:rPr>
        <w:t xml:space="preserve"> </w:t>
      </w:r>
      <w:r>
        <w:rPr>
          <w:rFonts w:ascii="Arial" w:hAnsi="Arial" w:cs="Arial"/>
          <w:bCs/>
          <w:color w:val="000000"/>
          <w:sz w:val="16"/>
          <w:szCs w:val="16"/>
        </w:rPr>
        <w:t xml:space="preserve">       </w:t>
      </w:r>
      <w:r w:rsidRPr="00E73190">
        <w:rPr>
          <w:rFonts w:ascii="Arial" w:eastAsia="Calibri" w:hAnsi="Arial" w:cs="Arial"/>
          <w:sz w:val="18"/>
          <w:szCs w:val="16"/>
        </w:rPr>
        <w:t xml:space="preserve">Product may be available through the Massachusetts Department of Public Health (DPH). Please check with DPH for availability. MassHealth does not pay for immunizing biologicals (i.e., vaccines) and tubercular (TB) drugs that are available free of charge through local boards of public health or through the Massachusetts DPH without prior authorization (130 CMR 406.413(C)). </w:t>
      </w:r>
      <w:proofErr w:type="gramStart"/>
      <w:r w:rsidRPr="00E73190">
        <w:rPr>
          <w:rFonts w:ascii="Arial" w:eastAsia="Calibri" w:hAnsi="Arial" w:cs="Arial"/>
          <w:sz w:val="18"/>
          <w:szCs w:val="16"/>
        </w:rPr>
        <w:t>In cases where free vaccines are available to providers for specific populations (e.g., children, high risk, etc.), MassHealth will reimburse the provider only for individuals not eligible for the free vaccines.</w:t>
      </w:r>
      <w:proofErr w:type="gramEnd"/>
      <w:r w:rsidRPr="00E73190">
        <w:rPr>
          <w:rFonts w:ascii="Arial" w:eastAsia="Calibri" w:hAnsi="Arial" w:cs="Arial"/>
          <w:sz w:val="18"/>
          <w:szCs w:val="16"/>
        </w:rPr>
        <w:t xml:space="preserve"> Notwithstanding the above, MassHealth will pay pharmacies for seasonal flu vaccine serum without prior authorization, if the vaccine is administered in the pharmacy</w:t>
      </w:r>
      <w:r w:rsidRPr="00E73190">
        <w:rPr>
          <w:rFonts w:ascii="Arial" w:hAnsi="Arial" w:cs="Arial"/>
          <w:sz w:val="18"/>
          <w:szCs w:val="16"/>
        </w:rPr>
        <w:t xml:space="preserve">. </w:t>
      </w:r>
    </w:p>
    <w:p w:rsidR="00D66801" w:rsidRDefault="00D66801" w:rsidP="00212622">
      <w:pPr>
        <w:shd w:val="clear" w:color="auto" w:fill="FFFFFF"/>
        <w:ind w:left="270" w:hanging="441"/>
        <w:rPr>
          <w:rFonts w:ascii="Arial" w:eastAsia="Calibri" w:hAnsi="Arial" w:cs="Arial"/>
          <w:sz w:val="18"/>
          <w:szCs w:val="18"/>
        </w:rPr>
      </w:pPr>
    </w:p>
    <w:p w:rsidR="00D66801" w:rsidRDefault="00D66801" w:rsidP="00212622">
      <w:pPr>
        <w:shd w:val="clear" w:color="auto" w:fill="FFFFFF"/>
        <w:ind w:left="270" w:hanging="441"/>
        <w:rPr>
          <w:bCs/>
          <w:sz w:val="18"/>
          <w:szCs w:val="18"/>
        </w:rPr>
        <w:sectPr w:rsidR="00D66801" w:rsidSect="00137D3D">
          <w:headerReference w:type="default" r:id="rId13"/>
          <w:footerReference w:type="default" r:id="rId14"/>
          <w:type w:val="continuous"/>
          <w:pgSz w:w="12240" w:h="15840" w:code="1"/>
          <w:pgMar w:top="360" w:right="907" w:bottom="720" w:left="907" w:header="720" w:footer="576" w:gutter="0"/>
          <w:cols w:num="2" w:sep="1" w:space="720"/>
          <w:docGrid w:linePitch="360"/>
        </w:sectPr>
      </w:pPr>
    </w:p>
    <w:p w:rsidR="00A650DC" w:rsidRPr="001721D8" w:rsidRDefault="00A650DC" w:rsidP="00375713">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195" w:rsidRDefault="00372195" w:rsidP="00492602">
      <w:r>
        <w:separator/>
      </w:r>
    </w:p>
  </w:endnote>
  <w:endnote w:type="continuationSeparator" w:id="0">
    <w:p w:rsidR="00372195" w:rsidRDefault="00372195"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37A67">
    <w:pPr>
      <w:pStyle w:val="Footer"/>
    </w:pPr>
    <w:r>
      <w:t>[Type text]</w:t>
    </w:r>
  </w:p>
  <w:p w:rsidR="00637A67" w:rsidRDefault="00637A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37A67" w:rsidP="00637A67">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sidRPr="002D3600">
      <w:rPr>
        <w:rFonts w:ascii="Arial" w:hAnsi="Arial" w:cs="Arial"/>
        <w:iCs/>
        <w:sz w:val="18"/>
        <w:szCs w:val="18"/>
      </w:rPr>
      <w:t xml:space="preserve">If you have questions or comments, or want to be removed from this fax distribution, </w:t>
    </w:r>
  </w:p>
  <w:p w:rsidR="00637A67" w:rsidRPr="00E24139" w:rsidRDefault="00637A67" w:rsidP="00637A67">
    <w:pPr>
      <w:tabs>
        <w:tab w:val="left" w:pos="-90"/>
      </w:tabs>
      <w:autoSpaceDE w:val="0"/>
      <w:autoSpaceDN w:val="0"/>
      <w:adjustRightInd w:val="0"/>
      <w:jc w:val="center"/>
      <w:textAlignment w:val="baseline"/>
    </w:pPr>
    <w:proofErr w:type="gramStart"/>
    <w:r w:rsidRPr="002D3600">
      <w:rPr>
        <w:rFonts w:ascii="Arial" w:hAnsi="Arial" w:cs="Arial"/>
        <w:iCs/>
        <w:sz w:val="18"/>
        <w:szCs w:val="18"/>
      </w:rPr>
      <w:t>please</w:t>
    </w:r>
    <w:proofErr w:type="gramEnd"/>
    <w:r w:rsidRPr="002D3600">
      <w:rPr>
        <w:rFonts w:ascii="Arial" w:hAnsi="Arial" w:cs="Arial"/>
        <w:iCs/>
        <w:sz w:val="18"/>
        <w:szCs w:val="18"/>
      </w:rPr>
      <w:t xml:space="preserve"> contact Victor </w:t>
    </w:r>
    <w:proofErr w:type="spellStart"/>
    <w:r w:rsidRPr="002D3600">
      <w:rPr>
        <w:rFonts w:ascii="Arial" w:hAnsi="Arial" w:cs="Arial"/>
        <w:iCs/>
        <w:sz w:val="18"/>
        <w:szCs w:val="18"/>
      </w:rPr>
      <w:t>Moquin</w:t>
    </w:r>
    <w:proofErr w:type="spellEnd"/>
    <w:r w:rsidRPr="002D3600">
      <w:rPr>
        <w:rFonts w:ascii="Arial" w:hAnsi="Arial" w:cs="Arial"/>
        <w:iCs/>
        <w:sz w:val="18"/>
        <w:szCs w:val="18"/>
      </w:rPr>
      <w:t xml:space="preserve"> at </w:t>
    </w:r>
    <w:proofErr w:type="spellStart"/>
    <w:r w:rsidRPr="002D3600">
      <w:rPr>
        <w:rFonts w:ascii="Arial" w:hAnsi="Arial" w:cs="Arial"/>
        <w:iCs/>
        <w:sz w:val="18"/>
        <w:szCs w:val="18"/>
      </w:rPr>
      <w:t>Conduent</w:t>
    </w:r>
    <w:proofErr w:type="spellEnd"/>
    <w:r w:rsidRPr="002D3600">
      <w:rPr>
        <w:rFonts w:ascii="Arial" w:hAnsi="Arial" w:cs="Arial"/>
        <w:iCs/>
        <w:sz w:val="18"/>
        <w:szCs w:val="18"/>
      </w:rPr>
      <w:t xml:space="preserve"> at 617-423-</w:t>
    </w:r>
    <w:r w:rsidR="004D1BC7">
      <w:rPr>
        <w:rFonts w:ascii="Arial" w:hAnsi="Arial" w:cs="Arial"/>
        <w:iCs/>
        <w:sz w:val="18"/>
        <w:szCs w:val="18"/>
      </w:rPr>
      <w:t>9</w:t>
    </w:r>
    <w:r w:rsidRPr="002D3600">
      <w:rPr>
        <w:rFonts w:ascii="Arial" w:hAnsi="Arial" w:cs="Arial"/>
        <w:iCs/>
        <w:sz w:val="18"/>
        <w:szCs w:val="18"/>
      </w:rPr>
      <w:t>830</w:t>
    </w:r>
    <w:r>
      <w:rPr>
        <w:rFonts w:ascii="Arial" w:hAnsi="Arial" w:cs="Arial"/>
        <w:iCs/>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195" w:rsidRDefault="00372195" w:rsidP="00492602">
      <w:r>
        <w:separator/>
      </w:r>
    </w:p>
  </w:footnote>
  <w:footnote w:type="continuationSeparator" w:id="0">
    <w:p w:rsidR="00372195" w:rsidRDefault="00372195" w:rsidP="0049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02" w:rsidRPr="00D327DC" w:rsidRDefault="00492602" w:rsidP="00492602">
    <w:pPr>
      <w:pStyle w:val="Header"/>
      <w:rPr>
        <w:sz w:val="20"/>
      </w:rPr>
    </w:pPr>
  </w:p>
  <w:p w:rsidR="00492602" w:rsidRPr="00D327DC" w:rsidRDefault="00492602">
    <w:pPr>
      <w:pStyle w:val="Head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02" w:rsidRPr="00E73190" w:rsidRDefault="00492602" w:rsidP="006D3B5F">
    <w:pPr>
      <w:pStyle w:val="Default"/>
      <w:pBdr>
        <w:bottom w:val="single" w:sz="18" w:space="1" w:color="auto"/>
      </w:pBdr>
      <w:tabs>
        <w:tab w:val="right" w:pos="10440"/>
      </w:tabs>
      <w:spacing w:after="240"/>
      <w:rPr>
        <w:color w:val="auto"/>
        <w:sz w:val="18"/>
        <w:szCs w:val="18"/>
      </w:rPr>
    </w:pPr>
    <w:r w:rsidRPr="00AD18B8">
      <w:rPr>
        <w:sz w:val="18"/>
        <w:szCs w:val="18"/>
      </w:rPr>
      <w:t>P</w:t>
    </w:r>
    <w:r>
      <w:rPr>
        <w:sz w:val="18"/>
        <w:szCs w:val="18"/>
      </w:rPr>
      <w:t xml:space="preserve">harmacy Facts, Number </w:t>
    </w:r>
    <w:r w:rsidR="00D327DC" w:rsidRPr="00E73190">
      <w:rPr>
        <w:color w:val="auto"/>
        <w:sz w:val="18"/>
        <w:szCs w:val="18"/>
      </w:rPr>
      <w:t>120</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783114">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75713">
      <w:rPr>
        <w:noProof/>
        <w:color w:val="auto"/>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40758"/>
    <w:multiLevelType w:val="hybridMultilevel"/>
    <w:tmpl w:val="BE52F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79C31A6"/>
    <w:multiLevelType w:val="hybridMultilevel"/>
    <w:tmpl w:val="E62CE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20"/>
  </w:num>
  <w:num w:numId="4">
    <w:abstractNumId w:val="7"/>
  </w:num>
  <w:num w:numId="5">
    <w:abstractNumId w:val="9"/>
  </w:num>
  <w:num w:numId="6">
    <w:abstractNumId w:val="14"/>
  </w:num>
  <w:num w:numId="7">
    <w:abstractNumId w:val="21"/>
  </w:num>
  <w:num w:numId="8">
    <w:abstractNumId w:val="3"/>
  </w:num>
  <w:num w:numId="9">
    <w:abstractNumId w:val="0"/>
  </w:num>
  <w:num w:numId="10">
    <w:abstractNumId w:val="18"/>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0"/>
  </w:num>
  <w:num w:numId="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7"/>
  </w:num>
  <w:num w:numId="17">
    <w:abstractNumId w:val="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8"/>
  </w:num>
  <w:num w:numId="22">
    <w:abstractNumId w:val="22"/>
  </w:num>
  <w:num w:numId="23">
    <w:abstractNumId w:val="23"/>
  </w:num>
  <w:num w:numId="24">
    <w:abstractNumId w:val="13"/>
  </w:num>
  <w:num w:numId="25">
    <w:abstractNumId w:val="19"/>
  </w:num>
  <w:num w:numId="26">
    <w:abstractNumId w:val="1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839"/>
    <w:rsid w:val="00054839"/>
    <w:rsid w:val="00061F50"/>
    <w:rsid w:val="000713D3"/>
    <w:rsid w:val="00074014"/>
    <w:rsid w:val="00081E8E"/>
    <w:rsid w:val="000A6318"/>
    <w:rsid w:val="000D1502"/>
    <w:rsid w:val="00123D58"/>
    <w:rsid w:val="00137D3D"/>
    <w:rsid w:val="00140D08"/>
    <w:rsid w:val="00147437"/>
    <w:rsid w:val="00157A49"/>
    <w:rsid w:val="00171445"/>
    <w:rsid w:val="001721D8"/>
    <w:rsid w:val="0018357E"/>
    <w:rsid w:val="001864A9"/>
    <w:rsid w:val="001A125B"/>
    <w:rsid w:val="001A7AF0"/>
    <w:rsid w:val="001C1481"/>
    <w:rsid w:val="001C21F9"/>
    <w:rsid w:val="001E779F"/>
    <w:rsid w:val="0021214A"/>
    <w:rsid w:val="00212622"/>
    <w:rsid w:val="002275AE"/>
    <w:rsid w:val="002509E9"/>
    <w:rsid w:val="00274F3E"/>
    <w:rsid w:val="00276F3A"/>
    <w:rsid w:val="00286CBE"/>
    <w:rsid w:val="00291397"/>
    <w:rsid w:val="002A5C1E"/>
    <w:rsid w:val="002C7C67"/>
    <w:rsid w:val="002D390F"/>
    <w:rsid w:val="002D738C"/>
    <w:rsid w:val="002E2F9E"/>
    <w:rsid w:val="003152DA"/>
    <w:rsid w:val="003240F1"/>
    <w:rsid w:val="0033053B"/>
    <w:rsid w:val="00360067"/>
    <w:rsid w:val="00361733"/>
    <w:rsid w:val="0036343A"/>
    <w:rsid w:val="00372195"/>
    <w:rsid w:val="0037373E"/>
    <w:rsid w:val="00375713"/>
    <w:rsid w:val="00382054"/>
    <w:rsid w:val="00385C69"/>
    <w:rsid w:val="003911FC"/>
    <w:rsid w:val="003B17F6"/>
    <w:rsid w:val="003B6839"/>
    <w:rsid w:val="003D3B27"/>
    <w:rsid w:val="003F533B"/>
    <w:rsid w:val="00447A5F"/>
    <w:rsid w:val="00456B5A"/>
    <w:rsid w:val="004664D3"/>
    <w:rsid w:val="00492602"/>
    <w:rsid w:val="0049423D"/>
    <w:rsid w:val="004A3BAA"/>
    <w:rsid w:val="004A7395"/>
    <w:rsid w:val="004C1DAD"/>
    <w:rsid w:val="004D1BC7"/>
    <w:rsid w:val="004D79B2"/>
    <w:rsid w:val="004F5612"/>
    <w:rsid w:val="005052D9"/>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D723D"/>
    <w:rsid w:val="005F2371"/>
    <w:rsid w:val="00623469"/>
    <w:rsid w:val="00634C49"/>
    <w:rsid w:val="00637A67"/>
    <w:rsid w:val="00650095"/>
    <w:rsid w:val="00651CA7"/>
    <w:rsid w:val="00657D21"/>
    <w:rsid w:val="006615EC"/>
    <w:rsid w:val="00673F96"/>
    <w:rsid w:val="00674418"/>
    <w:rsid w:val="00674428"/>
    <w:rsid w:val="00686C26"/>
    <w:rsid w:val="00690023"/>
    <w:rsid w:val="00696F48"/>
    <w:rsid w:val="0069772F"/>
    <w:rsid w:val="006A7D28"/>
    <w:rsid w:val="006D3B5F"/>
    <w:rsid w:val="006E0C20"/>
    <w:rsid w:val="006E22A3"/>
    <w:rsid w:val="006F35F9"/>
    <w:rsid w:val="00707004"/>
    <w:rsid w:val="007319D7"/>
    <w:rsid w:val="00731FAF"/>
    <w:rsid w:val="007426BF"/>
    <w:rsid w:val="00760FDF"/>
    <w:rsid w:val="007757E7"/>
    <w:rsid w:val="00781D3B"/>
    <w:rsid w:val="00783114"/>
    <w:rsid w:val="007A038A"/>
    <w:rsid w:val="007A41F5"/>
    <w:rsid w:val="007B2F2D"/>
    <w:rsid w:val="007B4429"/>
    <w:rsid w:val="007B7425"/>
    <w:rsid w:val="007D61CE"/>
    <w:rsid w:val="007F5417"/>
    <w:rsid w:val="00804116"/>
    <w:rsid w:val="00812480"/>
    <w:rsid w:val="00821937"/>
    <w:rsid w:val="008340D0"/>
    <w:rsid w:val="008403CA"/>
    <w:rsid w:val="008474A5"/>
    <w:rsid w:val="0085395A"/>
    <w:rsid w:val="00853F8E"/>
    <w:rsid w:val="0086142C"/>
    <w:rsid w:val="00870F52"/>
    <w:rsid w:val="00872E7F"/>
    <w:rsid w:val="00880FA9"/>
    <w:rsid w:val="008930F1"/>
    <w:rsid w:val="00893F45"/>
    <w:rsid w:val="008C5414"/>
    <w:rsid w:val="008E4B33"/>
    <w:rsid w:val="008F0130"/>
    <w:rsid w:val="008F2E4C"/>
    <w:rsid w:val="00905C46"/>
    <w:rsid w:val="00906EEC"/>
    <w:rsid w:val="009166DF"/>
    <w:rsid w:val="009204C7"/>
    <w:rsid w:val="00922030"/>
    <w:rsid w:val="009365C7"/>
    <w:rsid w:val="00941258"/>
    <w:rsid w:val="00942245"/>
    <w:rsid w:val="00956812"/>
    <w:rsid w:val="0095770E"/>
    <w:rsid w:val="009725E5"/>
    <w:rsid w:val="00974CFD"/>
    <w:rsid w:val="00981567"/>
    <w:rsid w:val="009A55F6"/>
    <w:rsid w:val="009C3981"/>
    <w:rsid w:val="009D1341"/>
    <w:rsid w:val="009D6D73"/>
    <w:rsid w:val="009D79C6"/>
    <w:rsid w:val="009F0440"/>
    <w:rsid w:val="009F0526"/>
    <w:rsid w:val="009F342F"/>
    <w:rsid w:val="00A01DE3"/>
    <w:rsid w:val="00A06542"/>
    <w:rsid w:val="00A11371"/>
    <w:rsid w:val="00A120E1"/>
    <w:rsid w:val="00A31FAA"/>
    <w:rsid w:val="00A343A9"/>
    <w:rsid w:val="00A5239C"/>
    <w:rsid w:val="00A571F6"/>
    <w:rsid w:val="00A650DC"/>
    <w:rsid w:val="00A6764A"/>
    <w:rsid w:val="00A84255"/>
    <w:rsid w:val="00AC1AC7"/>
    <w:rsid w:val="00AD18B8"/>
    <w:rsid w:val="00AD33D5"/>
    <w:rsid w:val="00AE21FC"/>
    <w:rsid w:val="00B01BAA"/>
    <w:rsid w:val="00B07BD7"/>
    <w:rsid w:val="00B13AA5"/>
    <w:rsid w:val="00B3099B"/>
    <w:rsid w:val="00B33581"/>
    <w:rsid w:val="00B3430B"/>
    <w:rsid w:val="00B40A71"/>
    <w:rsid w:val="00B503C7"/>
    <w:rsid w:val="00B54AB5"/>
    <w:rsid w:val="00B645C9"/>
    <w:rsid w:val="00B86F04"/>
    <w:rsid w:val="00B92C96"/>
    <w:rsid w:val="00BA64D7"/>
    <w:rsid w:val="00BA68F0"/>
    <w:rsid w:val="00BD08CA"/>
    <w:rsid w:val="00BF0DF4"/>
    <w:rsid w:val="00C00CF2"/>
    <w:rsid w:val="00C15672"/>
    <w:rsid w:val="00C21680"/>
    <w:rsid w:val="00C31421"/>
    <w:rsid w:val="00C33753"/>
    <w:rsid w:val="00C35B94"/>
    <w:rsid w:val="00C82FA4"/>
    <w:rsid w:val="00CA0669"/>
    <w:rsid w:val="00CA1E7C"/>
    <w:rsid w:val="00CB0030"/>
    <w:rsid w:val="00CB7521"/>
    <w:rsid w:val="00CC57AC"/>
    <w:rsid w:val="00CC776C"/>
    <w:rsid w:val="00CD6D68"/>
    <w:rsid w:val="00CE360C"/>
    <w:rsid w:val="00CF2057"/>
    <w:rsid w:val="00D0584B"/>
    <w:rsid w:val="00D2695E"/>
    <w:rsid w:val="00D327DC"/>
    <w:rsid w:val="00D450C8"/>
    <w:rsid w:val="00D521FA"/>
    <w:rsid w:val="00D66801"/>
    <w:rsid w:val="00D81121"/>
    <w:rsid w:val="00D939D0"/>
    <w:rsid w:val="00DA6A55"/>
    <w:rsid w:val="00E02811"/>
    <w:rsid w:val="00E06F7D"/>
    <w:rsid w:val="00E24139"/>
    <w:rsid w:val="00E3616D"/>
    <w:rsid w:val="00E50862"/>
    <w:rsid w:val="00E60ABB"/>
    <w:rsid w:val="00E62D91"/>
    <w:rsid w:val="00E66913"/>
    <w:rsid w:val="00E67611"/>
    <w:rsid w:val="00E67713"/>
    <w:rsid w:val="00E72DFF"/>
    <w:rsid w:val="00E73190"/>
    <w:rsid w:val="00E92E47"/>
    <w:rsid w:val="00E9576D"/>
    <w:rsid w:val="00EB7A39"/>
    <w:rsid w:val="00EC08AC"/>
    <w:rsid w:val="00EC1948"/>
    <w:rsid w:val="00ED4639"/>
    <w:rsid w:val="00EE54D2"/>
    <w:rsid w:val="00EF29A2"/>
    <w:rsid w:val="00EF7C8A"/>
    <w:rsid w:val="00F25E7F"/>
    <w:rsid w:val="00F274DE"/>
    <w:rsid w:val="00F6038A"/>
    <w:rsid w:val="00F643E6"/>
    <w:rsid w:val="00F76D69"/>
    <w:rsid w:val="00F9012C"/>
    <w:rsid w:val="00F9097E"/>
    <w:rsid w:val="00F93C6C"/>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AC885-9D5D-4020-AB30-5BEEC6E5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2018-10-17T16:59:00Z</dcterms:created>
  <dcterms:modified xsi:type="dcterms:W3CDTF">2018-10-17T16:59:00Z</dcterms:modified>
</cp:coreProperties>
</file>