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36" w:rsidRPr="006B38EA" w:rsidRDefault="00893E36" w:rsidP="00893E36">
      <w:pPr>
        <w:pStyle w:val="Noparagraphstyle"/>
        <w:rPr>
          <w:rFonts w:ascii="Arial Narrow" w:hAnsi="Arial Narrow"/>
          <w:b/>
          <w:color w:val="FF0000"/>
          <w:sz w:val="20"/>
          <w:szCs w:val="20"/>
        </w:rPr>
      </w:pPr>
      <w:r w:rsidRPr="006B38EA">
        <w:rPr>
          <w:rFonts w:ascii="Arial Narrow" w:hAnsi="Arial Narrow"/>
          <w:b/>
          <w:color w:val="FF0000"/>
          <w:sz w:val="20"/>
          <w:szCs w:val="20"/>
        </w:rPr>
        <w:t>Number 136, November 15, 2019</w:t>
      </w:r>
    </w:p>
    <w:p w:rsidR="00893E36" w:rsidRDefault="00893E36" w:rsidP="00893E36">
      <w:pPr>
        <w:tabs>
          <w:tab w:val="left" w:pos="10530"/>
        </w:tabs>
        <w:ind w:right="720"/>
        <w:rPr>
          <w:rFonts w:ascii="Arial" w:hAnsi="Arial" w:cs="Arial"/>
          <w:color w:val="000000"/>
          <w:sz w:val="21"/>
          <w:szCs w:val="21"/>
        </w:rPr>
      </w:pPr>
      <w:r>
        <w:rPr>
          <w:b/>
          <w:noProof/>
        </w:rPr>
        <w:drawing>
          <wp:inline distT="0" distB="0" distL="0" distR="0" wp14:anchorId="14B688B1" wp14:editId="39A6B509">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p>
    <w:p w:rsidR="00893E36" w:rsidRDefault="00893E36" w:rsidP="00893E36">
      <w:pPr>
        <w:tabs>
          <w:tab w:val="left" w:pos="10530"/>
        </w:tabs>
        <w:ind w:right="720"/>
        <w:rPr>
          <w:rFonts w:ascii="Arial" w:hAnsi="Arial" w:cs="Arial"/>
          <w:color w:val="000000"/>
          <w:sz w:val="21"/>
          <w:szCs w:val="21"/>
        </w:rPr>
      </w:pPr>
    </w:p>
    <w:p w:rsidR="00893E36" w:rsidRPr="00F2232B" w:rsidRDefault="00893E36" w:rsidP="009046E2">
      <w:pPr>
        <w:rPr>
          <w:rFonts w:ascii="Arial" w:hAnsi="Arial" w:cs="Arial"/>
          <w:b/>
        </w:rPr>
      </w:pPr>
      <w:r w:rsidRPr="00F2232B">
        <w:rPr>
          <w:rFonts w:ascii="Arial" w:hAnsi="Arial" w:cs="Arial"/>
          <w:b/>
        </w:rPr>
        <w:t>MHDL Update</w:t>
      </w:r>
    </w:p>
    <w:p w:rsidR="00893E36" w:rsidRPr="00F2232B" w:rsidRDefault="00893E36" w:rsidP="009046E2">
      <w:pPr>
        <w:rPr>
          <w:sz w:val="22"/>
          <w:szCs w:val="22"/>
        </w:rPr>
      </w:pPr>
    </w:p>
    <w:p w:rsidR="00893E36" w:rsidRPr="00F2232B" w:rsidRDefault="00893E36" w:rsidP="009046E2">
      <w:pPr>
        <w:rPr>
          <w:rFonts w:ascii="Arial" w:hAnsi="Arial" w:cs="Arial"/>
          <w:sz w:val="22"/>
          <w:szCs w:val="22"/>
        </w:rPr>
      </w:pPr>
      <w:r w:rsidRPr="00F2232B">
        <w:rPr>
          <w:rFonts w:ascii="Arial" w:hAnsi="Arial" w:cs="Arial"/>
          <w:sz w:val="22"/>
          <w:szCs w:val="22"/>
        </w:rPr>
        <w:t>Below are certain updates to the MassHealth Drug List (MHDL). See the MHDL for a complete listing of updates.</w:t>
      </w:r>
    </w:p>
    <w:p w:rsidR="00893E36" w:rsidRDefault="00893E36" w:rsidP="009046E2">
      <w:pPr>
        <w:tabs>
          <w:tab w:val="left" w:pos="10530"/>
        </w:tabs>
        <w:ind w:right="720"/>
        <w:rPr>
          <w:rFonts w:ascii="Arial" w:hAnsi="Arial" w:cs="Arial"/>
          <w:color w:val="000000"/>
          <w:sz w:val="21"/>
          <w:szCs w:val="21"/>
        </w:rPr>
      </w:pPr>
    </w:p>
    <w:p w:rsidR="00893E36" w:rsidRPr="00F2232B" w:rsidRDefault="00893E36" w:rsidP="009046E2">
      <w:pPr>
        <w:pStyle w:val="Default"/>
        <w:rPr>
          <w:rFonts w:ascii="Arial" w:hAnsi="Arial" w:cs="Arial"/>
          <w:b/>
          <w:color w:val="auto"/>
          <w:sz w:val="22"/>
          <w:szCs w:val="22"/>
        </w:rPr>
      </w:pPr>
      <w:r w:rsidRPr="008B2FB8">
        <w:rPr>
          <w:rFonts w:ascii="Arial" w:hAnsi="Arial" w:cs="Arial"/>
          <w:b/>
          <w:color w:val="auto"/>
        </w:rPr>
        <w:t>Additions</w:t>
      </w:r>
    </w:p>
    <w:p w:rsidR="00893E36" w:rsidRPr="00F2232B" w:rsidRDefault="00893E36" w:rsidP="009046E2">
      <w:pPr>
        <w:pStyle w:val="Default"/>
        <w:rPr>
          <w:rFonts w:ascii="Arial" w:hAnsi="Arial" w:cs="Arial"/>
          <w:color w:val="auto"/>
          <w:sz w:val="22"/>
          <w:szCs w:val="22"/>
        </w:rPr>
      </w:pPr>
      <w:r w:rsidRPr="00F2232B">
        <w:rPr>
          <w:rFonts w:ascii="Arial" w:hAnsi="Arial" w:cs="Arial"/>
          <w:color w:val="auto"/>
          <w:sz w:val="22"/>
          <w:szCs w:val="22"/>
        </w:rPr>
        <w:t xml:space="preserve">Effective November 8, 2019, the following newly marketed drug has been added to the MassHealth Drug List. </w:t>
      </w:r>
    </w:p>
    <w:p w:rsidR="00893E36" w:rsidRPr="00F2232B" w:rsidRDefault="00893E36" w:rsidP="009046E2">
      <w:pPr>
        <w:pStyle w:val="Default"/>
        <w:numPr>
          <w:ilvl w:val="0"/>
          <w:numId w:val="1"/>
        </w:numPr>
        <w:rPr>
          <w:rFonts w:ascii="Arial" w:hAnsi="Arial" w:cs="Arial"/>
          <w:color w:val="auto"/>
          <w:sz w:val="22"/>
          <w:szCs w:val="22"/>
        </w:rPr>
      </w:pPr>
      <w:r w:rsidRPr="00F2232B">
        <w:rPr>
          <w:rFonts w:ascii="Arial" w:hAnsi="Arial" w:cs="Arial"/>
          <w:color w:val="auto"/>
          <w:sz w:val="22"/>
          <w:szCs w:val="22"/>
        </w:rPr>
        <w:t xml:space="preserve">Zolgensma (onasemnogene abeparvovec-xioi) CO – </w:t>
      </w:r>
      <w:r w:rsidRPr="00F2232B">
        <w:rPr>
          <w:rFonts w:ascii="Arial" w:hAnsi="Arial" w:cs="Arial"/>
          <w:b/>
          <w:color w:val="auto"/>
          <w:sz w:val="22"/>
          <w:szCs w:val="22"/>
        </w:rPr>
        <w:t>PA</w:t>
      </w:r>
      <w:r w:rsidRPr="00F2232B">
        <w:rPr>
          <w:rFonts w:ascii="Arial" w:hAnsi="Arial" w:cs="Arial"/>
          <w:color w:val="auto"/>
          <w:sz w:val="22"/>
          <w:szCs w:val="22"/>
        </w:rPr>
        <w:t xml:space="preserve"> </w:t>
      </w:r>
    </w:p>
    <w:p w:rsidR="00893E36" w:rsidRPr="00F2232B" w:rsidRDefault="00893E36" w:rsidP="009046E2">
      <w:pPr>
        <w:pStyle w:val="Default"/>
        <w:ind w:left="360"/>
        <w:rPr>
          <w:rFonts w:ascii="Arial" w:hAnsi="Arial" w:cs="Arial"/>
          <w:color w:val="auto"/>
          <w:sz w:val="22"/>
          <w:szCs w:val="22"/>
        </w:rPr>
      </w:pPr>
    </w:p>
    <w:p w:rsidR="00893E36" w:rsidRPr="008B2FB8" w:rsidRDefault="00893E36" w:rsidP="009046E2">
      <w:pPr>
        <w:pStyle w:val="Default"/>
        <w:rPr>
          <w:rFonts w:ascii="Arial" w:hAnsi="Arial" w:cs="Arial"/>
          <w:color w:val="auto"/>
          <w:sz w:val="22"/>
          <w:szCs w:val="21"/>
        </w:rPr>
      </w:pPr>
      <w:r w:rsidRPr="008B2FB8">
        <w:rPr>
          <w:rFonts w:ascii="Arial" w:hAnsi="Arial" w:cs="Arial"/>
          <w:color w:val="auto"/>
          <w:sz w:val="22"/>
          <w:szCs w:val="21"/>
        </w:rPr>
        <w:t xml:space="preserve">Effective November 25, 2019, the following newly marketed drugs have been added to the MassHealth Drug List.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Abilify Mycite (aripiprazole tablet with sensor)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Adhansia XR (methylphenidate extended-release)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Apadaz (benzhydrocodone/acetaminophen)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Evekeo ODT (amphetamine sulfate orally disintegrating tablet)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bookmarkStart w:id="0" w:name="_Hlk527542860"/>
      <w:r w:rsidRPr="008B2FB8">
        <w:rPr>
          <w:rFonts w:ascii="Arial" w:hAnsi="Arial" w:cs="Arial"/>
          <w:color w:val="auto"/>
          <w:sz w:val="22"/>
          <w:szCs w:val="22"/>
        </w:rPr>
        <w:t xml:space="preserve">Inbrija (levodopa) – </w:t>
      </w:r>
      <w:r w:rsidRPr="008B2FB8">
        <w:rPr>
          <w:rFonts w:ascii="Arial" w:hAnsi="Arial" w:cs="Arial"/>
          <w:b/>
          <w:color w:val="auto"/>
          <w:sz w:val="22"/>
          <w:szCs w:val="22"/>
        </w:rPr>
        <w:t>PA</w:t>
      </w:r>
      <w:r w:rsidRPr="008B2FB8">
        <w:rPr>
          <w:rFonts w:ascii="Arial" w:hAnsi="Arial" w:cs="Arial"/>
          <w:color w:val="auto"/>
          <w:sz w:val="22"/>
          <w:szCs w:val="22"/>
        </w:rPr>
        <w:t xml:space="preserve"> </w:t>
      </w:r>
    </w:p>
    <w:bookmarkEnd w:id="0"/>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Jornay PM (methylphenidate extended-release)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Katerzia (amlodipine suspension)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Krintafel (tafenoquine)</w:t>
      </w:r>
    </w:p>
    <w:p w:rsidR="00893E36" w:rsidRPr="00F2232B" w:rsidRDefault="00893E36" w:rsidP="009046E2">
      <w:pPr>
        <w:pStyle w:val="Default"/>
        <w:numPr>
          <w:ilvl w:val="0"/>
          <w:numId w:val="1"/>
        </w:numPr>
        <w:rPr>
          <w:rFonts w:ascii="Arial" w:hAnsi="Arial" w:cs="Arial"/>
          <w:color w:val="auto"/>
          <w:sz w:val="22"/>
          <w:szCs w:val="22"/>
        </w:rPr>
      </w:pPr>
      <w:r w:rsidRPr="00F2232B">
        <w:rPr>
          <w:rFonts w:ascii="Arial" w:hAnsi="Arial" w:cs="Arial"/>
          <w:color w:val="auto"/>
          <w:sz w:val="22"/>
          <w:szCs w:val="22"/>
        </w:rPr>
        <w:t xml:space="preserve">Minolira (minocycline extended-release 105 mg, 135 mg tablet) – </w:t>
      </w:r>
      <w:r w:rsidRPr="00F2232B">
        <w:rPr>
          <w:rFonts w:ascii="Arial" w:hAnsi="Arial" w:cs="Arial"/>
          <w:b/>
          <w:color w:val="auto"/>
          <w:sz w:val="22"/>
          <w:szCs w:val="22"/>
        </w:rPr>
        <w:t>PA</w:t>
      </w:r>
      <w:r w:rsidRPr="00F2232B">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Polivy (polatuzumab vedotin-piiq)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Prograf (tacrolimus granules)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Qmiiz (meloxicam orally disintegrating tablet)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Rozlytrek (entrectinib)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Sunosi (solriamfetol)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Triluron (hyaluronate) –</w:t>
      </w:r>
      <w:r w:rsidRPr="008B2FB8">
        <w:rPr>
          <w:rFonts w:ascii="Arial" w:hAnsi="Arial" w:cs="Arial"/>
          <w:b/>
          <w:color w:val="auto"/>
          <w:sz w:val="22"/>
          <w:szCs w:val="22"/>
        </w:rPr>
        <w:t xml:space="preserve"> PA </w:t>
      </w:r>
    </w:p>
    <w:p w:rsidR="00893E36" w:rsidRPr="008B2FB8" w:rsidRDefault="00893E36" w:rsidP="009046E2">
      <w:pPr>
        <w:pStyle w:val="Default"/>
        <w:numPr>
          <w:ilvl w:val="0"/>
          <w:numId w:val="1"/>
        </w:numPr>
        <w:rPr>
          <w:rFonts w:ascii="Arial" w:hAnsi="Arial" w:cs="Arial"/>
          <w:color w:val="auto"/>
          <w:sz w:val="22"/>
          <w:szCs w:val="22"/>
        </w:rPr>
      </w:pPr>
      <w:r w:rsidRPr="008B2FB8">
        <w:rPr>
          <w:rFonts w:ascii="Arial" w:hAnsi="Arial" w:cs="Arial"/>
          <w:color w:val="auto"/>
          <w:sz w:val="22"/>
          <w:szCs w:val="22"/>
        </w:rPr>
        <w:t xml:space="preserve">Vyndamax (tafamidis) – </w:t>
      </w:r>
      <w:r w:rsidRPr="008B2FB8">
        <w:rPr>
          <w:rFonts w:ascii="Arial" w:hAnsi="Arial" w:cs="Arial"/>
          <w:b/>
          <w:color w:val="auto"/>
          <w:sz w:val="22"/>
          <w:szCs w:val="22"/>
        </w:rPr>
        <w:t>PA</w:t>
      </w:r>
      <w:r w:rsidRPr="008B2FB8">
        <w:rPr>
          <w:rFonts w:ascii="Arial" w:hAnsi="Arial" w:cs="Arial"/>
          <w:color w:val="auto"/>
          <w:sz w:val="22"/>
          <w:szCs w:val="22"/>
        </w:rPr>
        <w:t xml:space="preserve"> </w:t>
      </w:r>
    </w:p>
    <w:p w:rsidR="00893E36" w:rsidRDefault="00893E36" w:rsidP="009046E2">
      <w:pPr>
        <w:tabs>
          <w:tab w:val="left" w:pos="10530"/>
        </w:tabs>
        <w:ind w:right="720"/>
        <w:rPr>
          <w:rFonts w:ascii="Arial" w:hAnsi="Arial" w:cs="Arial"/>
          <w:color w:val="000000"/>
          <w:sz w:val="21"/>
          <w:szCs w:val="21"/>
        </w:rPr>
      </w:pPr>
    </w:p>
    <w:p w:rsidR="00893E36" w:rsidRPr="008B2FB8" w:rsidRDefault="00893E36" w:rsidP="009046E2">
      <w:pPr>
        <w:pStyle w:val="Default"/>
        <w:tabs>
          <w:tab w:val="left" w:pos="90"/>
        </w:tabs>
        <w:ind w:left="360" w:hanging="360"/>
        <w:rPr>
          <w:rFonts w:ascii="Arial" w:hAnsi="Arial" w:cs="Arial"/>
          <w:b/>
          <w:bCs/>
          <w:color w:val="auto"/>
        </w:rPr>
      </w:pPr>
      <w:r w:rsidRPr="008B2FB8">
        <w:rPr>
          <w:rFonts w:ascii="Arial" w:hAnsi="Arial" w:cs="Arial"/>
          <w:b/>
          <w:bCs/>
          <w:color w:val="auto"/>
        </w:rPr>
        <w:t>Change in Prior-Authorization Status</w:t>
      </w:r>
    </w:p>
    <w:p w:rsidR="00893E36" w:rsidRPr="008B2FB8" w:rsidRDefault="00893E36" w:rsidP="009046E2">
      <w:pPr>
        <w:pStyle w:val="Default"/>
        <w:tabs>
          <w:tab w:val="left" w:pos="90"/>
        </w:tabs>
        <w:ind w:left="360" w:hanging="360"/>
        <w:rPr>
          <w:color w:val="auto"/>
        </w:rPr>
      </w:pPr>
    </w:p>
    <w:p w:rsidR="00893E36" w:rsidRPr="008B2FB8" w:rsidRDefault="00893E36" w:rsidP="00995CDA">
      <w:pPr>
        <w:pStyle w:val="Default"/>
        <w:numPr>
          <w:ilvl w:val="0"/>
          <w:numId w:val="2"/>
        </w:numPr>
        <w:ind w:left="360"/>
        <w:rPr>
          <w:rFonts w:ascii="Arial" w:hAnsi="Arial" w:cs="Arial"/>
          <w:color w:val="auto"/>
          <w:sz w:val="22"/>
          <w:szCs w:val="22"/>
        </w:rPr>
      </w:pPr>
      <w:r w:rsidRPr="008B2FB8">
        <w:rPr>
          <w:rFonts w:ascii="Arial" w:hAnsi="Arial" w:cs="Arial"/>
          <w:color w:val="auto"/>
          <w:sz w:val="22"/>
          <w:szCs w:val="22"/>
        </w:rPr>
        <w:t xml:space="preserve">Effective </w:t>
      </w:r>
      <w:r w:rsidRPr="00F2232B">
        <w:rPr>
          <w:rFonts w:ascii="Arial" w:hAnsi="Arial" w:cs="Arial"/>
          <w:bCs/>
          <w:color w:val="auto"/>
          <w:sz w:val="22"/>
          <w:szCs w:val="22"/>
        </w:rPr>
        <w:t>November 25</w:t>
      </w:r>
      <w:r w:rsidRPr="008B2FB8">
        <w:rPr>
          <w:rFonts w:ascii="Arial" w:hAnsi="Arial" w:cs="Arial"/>
          <w:color w:val="auto"/>
          <w:sz w:val="22"/>
          <w:szCs w:val="22"/>
        </w:rPr>
        <w:t xml:space="preserve">, 2019, benzodiazepine agents will require prior authorization </w:t>
      </w:r>
      <w:r>
        <w:rPr>
          <w:rFonts w:ascii="Arial" w:hAnsi="Arial" w:cs="Arial"/>
          <w:color w:val="auto"/>
          <w:sz w:val="22"/>
          <w:szCs w:val="22"/>
        </w:rPr>
        <w:t xml:space="preserve">(PA) </w:t>
      </w:r>
      <w:r w:rsidRPr="008B2FB8">
        <w:rPr>
          <w:rFonts w:ascii="Arial" w:hAnsi="Arial" w:cs="Arial"/>
          <w:color w:val="auto"/>
          <w:sz w:val="22"/>
          <w:szCs w:val="22"/>
        </w:rPr>
        <w:t xml:space="preserve">for polypharmacy with an opioid agent (overlapping pharmacy claims for one or more benzodiazepines </w:t>
      </w:r>
      <w:r w:rsidR="00113AED">
        <w:rPr>
          <w:rFonts w:ascii="Arial" w:hAnsi="Arial" w:cs="Arial"/>
          <w:color w:val="auto"/>
          <w:sz w:val="22"/>
          <w:szCs w:val="22"/>
        </w:rPr>
        <w:t>(</w:t>
      </w:r>
      <w:r w:rsidRPr="008B2FB8">
        <w:rPr>
          <w:rFonts w:ascii="Arial" w:hAnsi="Arial" w:cs="Arial"/>
          <w:color w:val="auto"/>
          <w:sz w:val="22"/>
          <w:szCs w:val="22"/>
        </w:rPr>
        <w:t>excludes clobazam and rectal diazepam</w:t>
      </w:r>
      <w:r w:rsidR="00113AED">
        <w:rPr>
          <w:rFonts w:ascii="Arial" w:hAnsi="Arial" w:cs="Arial"/>
          <w:color w:val="auto"/>
          <w:sz w:val="22"/>
          <w:szCs w:val="22"/>
        </w:rPr>
        <w:t>)</w:t>
      </w:r>
      <w:r w:rsidRPr="008B2FB8">
        <w:rPr>
          <w:rFonts w:ascii="Arial" w:hAnsi="Arial" w:cs="Arial"/>
          <w:color w:val="auto"/>
          <w:sz w:val="22"/>
          <w:szCs w:val="22"/>
        </w:rPr>
        <w:t xml:space="preserve"> with one or more opioids for at least 60 days within a 90-day period). For additional information, please see the Concomitant Opioid and Benzodiazepine Initiative documents found at </w:t>
      </w:r>
      <w:hyperlink r:id="rId9" w:history="1">
        <w:r w:rsidRPr="00113AED">
          <w:rPr>
            <w:rStyle w:val="Hyperlink"/>
            <w:rFonts w:ascii="Arial" w:hAnsi="Arial" w:cs="Arial"/>
            <w:sz w:val="22"/>
            <w:szCs w:val="22"/>
          </w:rPr>
          <w:t>www.mass.gov/druglist</w:t>
        </w:r>
      </w:hyperlink>
      <w:r w:rsidRPr="008B2FB8">
        <w:rPr>
          <w:rFonts w:ascii="Arial" w:hAnsi="Arial" w:cs="Arial"/>
          <w:color w:val="auto"/>
          <w:sz w:val="22"/>
          <w:szCs w:val="22"/>
        </w:rPr>
        <w:t>.</w:t>
      </w:r>
    </w:p>
    <w:p w:rsidR="00893E36" w:rsidRDefault="00893E36" w:rsidP="00893E36">
      <w:pPr>
        <w:tabs>
          <w:tab w:val="left" w:pos="10530"/>
        </w:tabs>
        <w:ind w:right="720"/>
        <w:rPr>
          <w:rFonts w:ascii="Arial" w:hAnsi="Arial" w:cs="Arial"/>
          <w:color w:val="000000"/>
          <w:sz w:val="21"/>
          <w:szCs w:val="21"/>
        </w:rPr>
        <w:sectPr w:rsidR="00893E36" w:rsidSect="00F2232B">
          <w:footerReference w:type="default" r:id="rId10"/>
          <w:pgSz w:w="12240" w:h="15840" w:code="1"/>
          <w:pgMar w:top="360" w:right="907" w:bottom="446" w:left="907" w:header="0" w:footer="288" w:gutter="0"/>
          <w:cols w:space="720"/>
          <w:docGrid w:linePitch="360"/>
        </w:sectPr>
      </w:pPr>
    </w:p>
    <w:p w:rsidR="00893E36" w:rsidRPr="00995CDA" w:rsidRDefault="008308F4" w:rsidP="006F2176">
      <w:pPr>
        <w:pStyle w:val="Default"/>
        <w:tabs>
          <w:tab w:val="left" w:pos="180"/>
        </w:tabs>
        <w:ind w:left="-180" w:hanging="360"/>
        <w:rPr>
          <w:rFonts w:ascii="Arial" w:hAnsi="Arial" w:cs="Arial"/>
          <w:bCs/>
          <w:color w:val="auto"/>
          <w:sz w:val="22"/>
          <w:szCs w:val="22"/>
        </w:rPr>
      </w:pPr>
      <w:r w:rsidRPr="005B16D3">
        <w:rPr>
          <w:rFonts w:ascii="Arial" w:hAnsi="Arial" w:cs="Arial"/>
          <w:bCs/>
          <w:color w:val="auto"/>
          <w:sz w:val="22"/>
          <w:szCs w:val="22"/>
        </w:rPr>
        <w:lastRenderedPageBreak/>
        <w:t>b</w:t>
      </w:r>
      <w:r w:rsidRPr="00956886">
        <w:rPr>
          <w:rFonts w:ascii="Arial" w:hAnsi="Arial" w:cs="Arial"/>
          <w:bCs/>
          <w:color w:val="auto"/>
        </w:rPr>
        <w:t>.</w:t>
      </w:r>
      <w:r w:rsidR="00540896">
        <w:rPr>
          <w:rFonts w:ascii="Arial" w:hAnsi="Arial" w:cs="Arial"/>
          <w:bCs/>
          <w:color w:val="auto"/>
        </w:rPr>
        <w:t xml:space="preserve"> </w:t>
      </w:r>
      <w:r w:rsidR="00995CDA">
        <w:rPr>
          <w:rFonts w:ascii="Arial" w:hAnsi="Arial" w:cs="Arial"/>
          <w:bCs/>
          <w:color w:val="auto"/>
        </w:rPr>
        <w:t xml:space="preserve"> </w:t>
      </w:r>
      <w:r w:rsidR="00893E36" w:rsidRPr="00995CDA">
        <w:rPr>
          <w:rFonts w:ascii="Arial" w:hAnsi="Arial" w:cs="Arial"/>
          <w:bCs/>
          <w:color w:val="auto"/>
          <w:sz w:val="22"/>
          <w:szCs w:val="22"/>
        </w:rPr>
        <w:t>Effective November 25, 2019, the following proton pump inhibitor agents will no longer</w:t>
      </w:r>
      <w:r w:rsidR="00995CDA" w:rsidRPr="00995CDA">
        <w:rPr>
          <w:rFonts w:ascii="Arial" w:hAnsi="Arial" w:cs="Arial"/>
          <w:bCs/>
          <w:color w:val="auto"/>
          <w:sz w:val="22"/>
          <w:szCs w:val="22"/>
        </w:rPr>
        <w:t xml:space="preserve"> </w:t>
      </w:r>
      <w:r w:rsidR="00893E36" w:rsidRPr="00995CDA">
        <w:rPr>
          <w:rFonts w:ascii="Arial" w:hAnsi="Arial" w:cs="Arial"/>
          <w:bCs/>
          <w:color w:val="auto"/>
          <w:sz w:val="22"/>
          <w:szCs w:val="22"/>
        </w:rPr>
        <w:t xml:space="preserve">require PA when used within newly established quantity limits. </w:t>
      </w:r>
    </w:p>
    <w:p w:rsidR="00893E36" w:rsidRPr="00995CDA" w:rsidRDefault="00893E36" w:rsidP="006F2176">
      <w:pPr>
        <w:pStyle w:val="Default"/>
        <w:numPr>
          <w:ilvl w:val="2"/>
          <w:numId w:val="2"/>
        </w:numPr>
        <w:tabs>
          <w:tab w:val="left" w:pos="90"/>
        </w:tabs>
        <w:ind w:hanging="2520"/>
        <w:rPr>
          <w:rFonts w:ascii="Arial" w:hAnsi="Arial" w:cs="Arial"/>
          <w:bCs/>
          <w:color w:val="auto"/>
          <w:sz w:val="22"/>
          <w:szCs w:val="22"/>
        </w:rPr>
      </w:pPr>
      <w:r w:rsidRPr="00995CDA">
        <w:rPr>
          <w:rFonts w:ascii="Arial" w:hAnsi="Arial" w:cs="Arial"/>
          <w:bCs/>
          <w:color w:val="auto"/>
          <w:sz w:val="22"/>
          <w:szCs w:val="22"/>
        </w:rPr>
        <w:t>Aciphex # (rabeprazole delayed-release tablet) – PA &gt; 30 units/month</w:t>
      </w:r>
    </w:p>
    <w:p w:rsidR="00893E36" w:rsidRPr="00995CDA" w:rsidRDefault="00893E36" w:rsidP="00DC67A0">
      <w:pPr>
        <w:pStyle w:val="Default"/>
        <w:numPr>
          <w:ilvl w:val="2"/>
          <w:numId w:val="2"/>
        </w:numPr>
        <w:tabs>
          <w:tab w:val="left" w:pos="90"/>
        </w:tabs>
        <w:ind w:hanging="2520"/>
        <w:rPr>
          <w:rFonts w:ascii="Arial" w:hAnsi="Arial" w:cs="Arial"/>
          <w:bCs/>
          <w:color w:val="auto"/>
          <w:sz w:val="22"/>
          <w:szCs w:val="22"/>
        </w:rPr>
      </w:pPr>
      <w:r w:rsidRPr="00995CDA">
        <w:rPr>
          <w:rFonts w:ascii="Arial" w:hAnsi="Arial" w:cs="Arial"/>
          <w:bCs/>
          <w:color w:val="auto"/>
          <w:sz w:val="22"/>
          <w:szCs w:val="22"/>
        </w:rPr>
        <w:t>Dexilant (dexlansoprazole) BP – PA &gt; 30 units/month</w:t>
      </w:r>
    </w:p>
    <w:p w:rsidR="00893E36" w:rsidRPr="00995CDA" w:rsidRDefault="00893E36" w:rsidP="005B16D3">
      <w:pPr>
        <w:pStyle w:val="Default"/>
        <w:numPr>
          <w:ilvl w:val="0"/>
          <w:numId w:val="7"/>
        </w:numPr>
        <w:tabs>
          <w:tab w:val="left" w:pos="90"/>
        </w:tabs>
        <w:ind w:left="90" w:hanging="270"/>
        <w:rPr>
          <w:rFonts w:ascii="Arial" w:hAnsi="Arial" w:cs="Arial"/>
          <w:bCs/>
          <w:color w:val="auto"/>
          <w:sz w:val="22"/>
          <w:szCs w:val="22"/>
        </w:rPr>
      </w:pPr>
      <w:r w:rsidRPr="00995CDA">
        <w:rPr>
          <w:rFonts w:ascii="Arial" w:hAnsi="Arial" w:cs="Arial"/>
          <w:bCs/>
          <w:color w:val="auto"/>
          <w:sz w:val="22"/>
          <w:szCs w:val="22"/>
        </w:rPr>
        <w:t>Nexium # (esomeprazole magnesium capsule) – PA &gt; 30 units/month</w:t>
      </w:r>
    </w:p>
    <w:p w:rsidR="00893E36" w:rsidRPr="00995CDA" w:rsidRDefault="00893E36" w:rsidP="005B16D3">
      <w:pPr>
        <w:ind w:left="-180" w:hanging="360"/>
        <w:rPr>
          <w:rFonts w:ascii="Arial" w:hAnsi="Arial" w:cs="Arial"/>
          <w:sz w:val="22"/>
          <w:szCs w:val="22"/>
        </w:rPr>
      </w:pPr>
      <w:r w:rsidRPr="00995CDA">
        <w:rPr>
          <w:rFonts w:ascii="Arial" w:hAnsi="Arial" w:cs="Arial"/>
          <w:sz w:val="22"/>
          <w:szCs w:val="22"/>
        </w:rPr>
        <w:t>c.</w:t>
      </w:r>
      <w:r w:rsidRPr="00995CDA">
        <w:rPr>
          <w:rFonts w:ascii="Arial" w:hAnsi="Arial" w:cs="Arial"/>
          <w:sz w:val="22"/>
          <w:szCs w:val="22"/>
        </w:rPr>
        <w:tab/>
        <w:t xml:space="preserve">Effective November 25, 2019, the following proton pump inhibitor agent will no longer require PA over age limits when used within newly established quantity limits. </w:t>
      </w:r>
    </w:p>
    <w:p w:rsidR="00893E36" w:rsidRPr="00DC67A0" w:rsidRDefault="00893E36" w:rsidP="005B16D3">
      <w:pPr>
        <w:pStyle w:val="ListParagraph"/>
        <w:numPr>
          <w:ilvl w:val="0"/>
          <w:numId w:val="7"/>
        </w:numPr>
        <w:ind w:left="90" w:hanging="270"/>
        <w:rPr>
          <w:rFonts w:ascii="Arial" w:hAnsi="Arial" w:cs="Arial"/>
          <w:sz w:val="22"/>
          <w:szCs w:val="22"/>
        </w:rPr>
      </w:pPr>
      <w:r w:rsidRPr="00DC67A0">
        <w:rPr>
          <w:rFonts w:ascii="Arial" w:hAnsi="Arial" w:cs="Arial"/>
          <w:sz w:val="22"/>
          <w:szCs w:val="22"/>
        </w:rPr>
        <w:t>Prevacid # (lansoprazole capsule) – PA &gt; 30 units/month</w:t>
      </w:r>
    </w:p>
    <w:p w:rsidR="00893E36" w:rsidRPr="00995CDA" w:rsidRDefault="005B16D3" w:rsidP="005B16D3">
      <w:pPr>
        <w:ind w:left="-180" w:hanging="360"/>
        <w:rPr>
          <w:rFonts w:ascii="Arial" w:hAnsi="Arial" w:cs="Arial"/>
          <w:sz w:val="22"/>
          <w:szCs w:val="22"/>
        </w:rPr>
      </w:pPr>
      <w:r>
        <w:rPr>
          <w:rFonts w:ascii="Arial" w:hAnsi="Arial" w:cs="Arial"/>
          <w:sz w:val="22"/>
          <w:szCs w:val="22"/>
        </w:rPr>
        <w:t xml:space="preserve">d.   </w:t>
      </w:r>
      <w:r w:rsidR="00893E36" w:rsidRPr="00995CDA">
        <w:rPr>
          <w:rFonts w:ascii="Arial" w:hAnsi="Arial" w:cs="Arial"/>
          <w:sz w:val="22"/>
          <w:szCs w:val="22"/>
        </w:rPr>
        <w:t xml:space="preserve">Effective November 25, 2019, the following proton pump inhibitor agent will no longer require PA when used within updated quantity limits. </w:t>
      </w:r>
    </w:p>
    <w:p w:rsidR="00893E36" w:rsidRPr="00DC67A0" w:rsidRDefault="00893E36" w:rsidP="00F963A6">
      <w:pPr>
        <w:pStyle w:val="ListParagraph"/>
        <w:numPr>
          <w:ilvl w:val="0"/>
          <w:numId w:val="7"/>
        </w:numPr>
        <w:tabs>
          <w:tab w:val="left" w:pos="90"/>
        </w:tabs>
        <w:ind w:hanging="900"/>
        <w:rPr>
          <w:rFonts w:ascii="Arial" w:hAnsi="Arial" w:cs="Arial"/>
          <w:sz w:val="22"/>
          <w:szCs w:val="22"/>
        </w:rPr>
      </w:pPr>
      <w:r w:rsidRPr="00DC67A0">
        <w:rPr>
          <w:rFonts w:ascii="Arial" w:hAnsi="Arial" w:cs="Arial"/>
          <w:sz w:val="22"/>
          <w:szCs w:val="22"/>
        </w:rPr>
        <w:t>Protonix # (pantoprazole 20 mg tablet) – PA &gt; 120 units/month</w:t>
      </w:r>
    </w:p>
    <w:p w:rsidR="00893E36" w:rsidRPr="00DC67A0" w:rsidRDefault="00893E36" w:rsidP="005B16D3">
      <w:pPr>
        <w:pStyle w:val="ListParagraph"/>
        <w:numPr>
          <w:ilvl w:val="0"/>
          <w:numId w:val="7"/>
        </w:numPr>
        <w:ind w:left="90" w:hanging="270"/>
        <w:jc w:val="both"/>
        <w:rPr>
          <w:rFonts w:ascii="Arial" w:hAnsi="Arial" w:cs="Arial"/>
          <w:sz w:val="22"/>
          <w:szCs w:val="22"/>
        </w:rPr>
      </w:pPr>
      <w:r w:rsidRPr="00DC67A0">
        <w:rPr>
          <w:rFonts w:ascii="Arial" w:hAnsi="Arial" w:cs="Arial"/>
          <w:sz w:val="22"/>
          <w:szCs w:val="22"/>
        </w:rPr>
        <w:t>Protonix # (pantoprazole 40 mg tablet) – PA &gt; 120 units/month</w:t>
      </w:r>
    </w:p>
    <w:p w:rsidR="00893E36" w:rsidRPr="009046E2" w:rsidRDefault="00893E36" w:rsidP="00DE1CBC">
      <w:pPr>
        <w:ind w:left="-180" w:hanging="360"/>
        <w:rPr>
          <w:rFonts w:ascii="Arial" w:hAnsi="Arial" w:cs="Arial"/>
          <w:sz w:val="22"/>
          <w:szCs w:val="22"/>
        </w:rPr>
      </w:pPr>
      <w:r w:rsidRPr="009046E2">
        <w:rPr>
          <w:rFonts w:ascii="Arial" w:hAnsi="Arial" w:cs="Arial"/>
          <w:sz w:val="22"/>
          <w:szCs w:val="22"/>
        </w:rPr>
        <w:t>e.</w:t>
      </w:r>
      <w:r w:rsidRPr="009046E2">
        <w:rPr>
          <w:rFonts w:ascii="Arial" w:hAnsi="Arial" w:cs="Arial"/>
          <w:sz w:val="22"/>
          <w:szCs w:val="22"/>
        </w:rPr>
        <w:tab/>
        <w:t>Effective November 25, 2019, the following influenza treatment and prophylaxis agents will no longer require PA when used within newly established quantity limits.</w:t>
      </w:r>
    </w:p>
    <w:p w:rsidR="00893E36" w:rsidRPr="00DC67A0" w:rsidRDefault="00893E36" w:rsidP="00F963A6">
      <w:pPr>
        <w:pStyle w:val="ListParagraph"/>
        <w:numPr>
          <w:ilvl w:val="0"/>
          <w:numId w:val="8"/>
        </w:numPr>
        <w:ind w:left="90" w:hanging="270"/>
        <w:rPr>
          <w:rFonts w:ascii="Arial" w:hAnsi="Arial" w:cs="Arial"/>
          <w:sz w:val="22"/>
          <w:szCs w:val="22"/>
        </w:rPr>
      </w:pPr>
      <w:r w:rsidRPr="00DC67A0">
        <w:rPr>
          <w:rFonts w:ascii="Arial" w:hAnsi="Arial" w:cs="Arial"/>
          <w:sz w:val="22"/>
          <w:szCs w:val="22"/>
        </w:rPr>
        <w:t>Relenza (zanamivir) – PA &lt; 5 years and PA &gt; 20 inhalations/claim and PA &gt; 40 inhalations/365 days</w:t>
      </w:r>
    </w:p>
    <w:p w:rsidR="00893E36" w:rsidRPr="00DC67A0" w:rsidRDefault="00893E36" w:rsidP="00F963A6">
      <w:pPr>
        <w:pStyle w:val="ListParagraph"/>
        <w:numPr>
          <w:ilvl w:val="0"/>
          <w:numId w:val="8"/>
        </w:numPr>
        <w:ind w:left="90" w:hanging="270"/>
        <w:rPr>
          <w:rFonts w:ascii="Arial" w:hAnsi="Arial" w:cs="Arial"/>
          <w:sz w:val="22"/>
          <w:szCs w:val="22"/>
        </w:rPr>
      </w:pPr>
      <w:r w:rsidRPr="00DC67A0">
        <w:rPr>
          <w:rFonts w:ascii="Arial" w:hAnsi="Arial" w:cs="Arial"/>
          <w:sz w:val="22"/>
          <w:szCs w:val="22"/>
        </w:rPr>
        <w:t>Tamiflu # (oseltamivir 30 mg) – PA &gt; 20 units/claim and PA &gt; 40 units/365 days</w:t>
      </w:r>
    </w:p>
    <w:p w:rsidR="00893E36" w:rsidRPr="00DC67A0" w:rsidRDefault="00893E36" w:rsidP="00F963A6">
      <w:pPr>
        <w:pStyle w:val="ListParagraph"/>
        <w:numPr>
          <w:ilvl w:val="0"/>
          <w:numId w:val="8"/>
        </w:numPr>
        <w:tabs>
          <w:tab w:val="left" w:pos="90"/>
        </w:tabs>
        <w:ind w:left="180"/>
        <w:rPr>
          <w:rFonts w:ascii="Arial" w:hAnsi="Arial" w:cs="Arial"/>
          <w:sz w:val="22"/>
          <w:szCs w:val="22"/>
        </w:rPr>
      </w:pPr>
      <w:r w:rsidRPr="00DC67A0">
        <w:rPr>
          <w:rFonts w:ascii="Arial" w:hAnsi="Arial" w:cs="Arial"/>
          <w:sz w:val="22"/>
          <w:szCs w:val="22"/>
        </w:rPr>
        <w:t>Tamiflu # (oseltamivir 45 mg and 75 mg) – PA &gt; 10 units/claim and PA &gt; 20 units/365 days</w:t>
      </w:r>
    </w:p>
    <w:p w:rsidR="00893E36" w:rsidRPr="00DC67A0" w:rsidRDefault="00893E36" w:rsidP="00F963A6">
      <w:pPr>
        <w:pStyle w:val="ListParagraph"/>
        <w:numPr>
          <w:ilvl w:val="0"/>
          <w:numId w:val="8"/>
        </w:numPr>
        <w:ind w:left="90" w:hanging="270"/>
        <w:rPr>
          <w:rFonts w:ascii="Arial" w:hAnsi="Arial" w:cs="Arial"/>
          <w:sz w:val="22"/>
          <w:szCs w:val="22"/>
        </w:rPr>
      </w:pPr>
      <w:r w:rsidRPr="00DC67A0">
        <w:rPr>
          <w:rFonts w:ascii="Arial" w:hAnsi="Arial" w:cs="Arial"/>
          <w:sz w:val="22"/>
          <w:szCs w:val="22"/>
        </w:rPr>
        <w:t xml:space="preserve">Tamiflu # (oseltamivir suspension) – PA &gt; 180 mL/claim and PA &gt; 360 mL/365 days </w:t>
      </w:r>
    </w:p>
    <w:p w:rsidR="00A24B94" w:rsidRPr="009046E2" w:rsidRDefault="00A24B94" w:rsidP="00893E36">
      <w:pPr>
        <w:rPr>
          <w:rFonts w:ascii="Arial" w:hAnsi="Arial" w:cs="Arial"/>
          <w:sz w:val="22"/>
          <w:szCs w:val="22"/>
        </w:rPr>
      </w:pPr>
    </w:p>
    <w:p w:rsidR="006A0597" w:rsidRPr="008B2FB8" w:rsidRDefault="006A0597" w:rsidP="005B16D3">
      <w:pPr>
        <w:autoSpaceDE w:val="0"/>
        <w:autoSpaceDN w:val="0"/>
        <w:adjustRightInd w:val="0"/>
        <w:spacing w:line="276" w:lineRule="auto"/>
        <w:ind w:hanging="540"/>
        <w:rPr>
          <w:rFonts w:ascii="Arial" w:hAnsi="Arial" w:cs="Arial"/>
          <w:b/>
        </w:rPr>
      </w:pPr>
      <w:r w:rsidRPr="008B2FB8">
        <w:rPr>
          <w:rFonts w:ascii="Arial" w:hAnsi="Arial" w:cs="Arial"/>
          <w:b/>
        </w:rPr>
        <w:t>Updated MassHealth Brand Name Preferred Over Generic Drug List</w:t>
      </w:r>
    </w:p>
    <w:p w:rsidR="006A0597" w:rsidRPr="008B2FB8" w:rsidRDefault="006A0597" w:rsidP="006A0597">
      <w:pPr>
        <w:autoSpaceDE w:val="0"/>
        <w:autoSpaceDN w:val="0"/>
        <w:adjustRightInd w:val="0"/>
        <w:spacing w:line="276" w:lineRule="auto"/>
        <w:rPr>
          <w:rFonts w:ascii="Arial" w:hAnsi="Arial" w:cs="Arial"/>
          <w:sz w:val="22"/>
          <w:szCs w:val="22"/>
          <w:lang w:val="fr-FR"/>
        </w:rPr>
      </w:pPr>
    </w:p>
    <w:p w:rsidR="006A0597" w:rsidRPr="008B2FB8" w:rsidRDefault="006A0597" w:rsidP="00AE7FFD">
      <w:pPr>
        <w:pStyle w:val="Default"/>
        <w:numPr>
          <w:ilvl w:val="0"/>
          <w:numId w:val="4"/>
        </w:numPr>
        <w:spacing w:line="276" w:lineRule="auto"/>
        <w:ind w:left="-180"/>
        <w:rPr>
          <w:rFonts w:ascii="Arial" w:hAnsi="Arial" w:cs="Arial"/>
          <w:color w:val="auto"/>
          <w:sz w:val="22"/>
          <w:szCs w:val="21"/>
        </w:rPr>
      </w:pPr>
      <w:r w:rsidRPr="008B2FB8">
        <w:rPr>
          <w:rFonts w:ascii="Arial" w:hAnsi="Arial" w:cs="Arial"/>
          <w:color w:val="auto"/>
          <w:sz w:val="22"/>
          <w:szCs w:val="21"/>
        </w:rPr>
        <w:t xml:space="preserve">Effective November 25, 2019, the following agent will be added to the MassHealth Brand Name Preferred Over Generic Drug List. </w:t>
      </w:r>
    </w:p>
    <w:p w:rsidR="006A0597" w:rsidRPr="008B2FB8" w:rsidRDefault="006A0597" w:rsidP="00F963A6">
      <w:pPr>
        <w:pStyle w:val="Default"/>
        <w:numPr>
          <w:ilvl w:val="0"/>
          <w:numId w:val="3"/>
        </w:numPr>
        <w:tabs>
          <w:tab w:val="left" w:pos="90"/>
        </w:tabs>
        <w:spacing w:line="276" w:lineRule="auto"/>
        <w:ind w:left="180"/>
        <w:rPr>
          <w:rFonts w:ascii="Arial" w:hAnsi="Arial" w:cs="Arial"/>
          <w:color w:val="auto"/>
          <w:sz w:val="22"/>
          <w:szCs w:val="22"/>
        </w:rPr>
      </w:pPr>
      <w:r w:rsidRPr="008B2FB8">
        <w:rPr>
          <w:rFonts w:ascii="Arial" w:hAnsi="Arial" w:cs="Arial"/>
          <w:color w:val="auto"/>
          <w:sz w:val="22"/>
          <w:szCs w:val="22"/>
        </w:rPr>
        <w:t>Dexilant (dexlansoprazole)</w:t>
      </w:r>
      <w:r w:rsidRPr="008B2FB8">
        <w:rPr>
          <w:rFonts w:ascii="Arial" w:hAnsi="Arial" w:cs="Arial"/>
          <w:color w:val="auto"/>
          <w:sz w:val="22"/>
          <w:szCs w:val="22"/>
          <w:vertAlign w:val="superscript"/>
        </w:rPr>
        <w:t xml:space="preserve"> BP</w:t>
      </w:r>
      <w:r w:rsidRPr="008B2FB8">
        <w:rPr>
          <w:rFonts w:ascii="Arial" w:hAnsi="Arial" w:cs="Arial"/>
          <w:color w:val="auto"/>
          <w:sz w:val="22"/>
          <w:szCs w:val="22"/>
        </w:rPr>
        <w:t xml:space="preserve"> – </w:t>
      </w:r>
      <w:r w:rsidRPr="008B2FB8">
        <w:rPr>
          <w:rFonts w:ascii="Arial" w:hAnsi="Arial" w:cs="Arial"/>
          <w:b/>
          <w:color w:val="auto"/>
          <w:sz w:val="22"/>
          <w:szCs w:val="22"/>
        </w:rPr>
        <w:t>PA &gt; 30 units/month</w:t>
      </w:r>
    </w:p>
    <w:p w:rsidR="006A0597" w:rsidRPr="008B2FB8" w:rsidRDefault="006A0597" w:rsidP="00AE7FFD">
      <w:pPr>
        <w:pStyle w:val="Default"/>
        <w:numPr>
          <w:ilvl w:val="0"/>
          <w:numId w:val="4"/>
        </w:numPr>
        <w:spacing w:line="276" w:lineRule="auto"/>
        <w:ind w:left="-90" w:hanging="450"/>
        <w:rPr>
          <w:rFonts w:ascii="Arial" w:hAnsi="Arial" w:cs="Arial"/>
          <w:color w:val="auto"/>
          <w:sz w:val="22"/>
          <w:szCs w:val="21"/>
        </w:rPr>
      </w:pPr>
      <w:bookmarkStart w:id="1" w:name="_Hlk14249184"/>
      <w:r w:rsidRPr="008B2FB8">
        <w:rPr>
          <w:rFonts w:ascii="Arial" w:hAnsi="Arial" w:cs="Arial"/>
          <w:color w:val="auto"/>
          <w:sz w:val="22"/>
          <w:szCs w:val="21"/>
        </w:rPr>
        <w:t xml:space="preserve">Effective November 25, 2019, the following agent will be removed from the MassHealth Brand Name Preferred Over Generic Drug List. </w:t>
      </w:r>
    </w:p>
    <w:bookmarkEnd w:id="1"/>
    <w:p w:rsidR="006A0597" w:rsidRDefault="006A0597" w:rsidP="00F963A6">
      <w:pPr>
        <w:pStyle w:val="Default"/>
        <w:numPr>
          <w:ilvl w:val="0"/>
          <w:numId w:val="5"/>
        </w:numPr>
        <w:spacing w:line="276" w:lineRule="auto"/>
        <w:ind w:left="90" w:hanging="270"/>
        <w:rPr>
          <w:rFonts w:ascii="Arial" w:hAnsi="Arial" w:cs="Arial"/>
          <w:color w:val="auto"/>
          <w:sz w:val="22"/>
          <w:szCs w:val="22"/>
        </w:rPr>
      </w:pPr>
      <w:r w:rsidRPr="008B2FB8">
        <w:rPr>
          <w:rFonts w:ascii="Arial" w:hAnsi="Arial" w:cs="Arial"/>
          <w:color w:val="auto"/>
          <w:sz w:val="22"/>
          <w:szCs w:val="22"/>
        </w:rPr>
        <w:t>Voltaren Gel # (diclofenac 1% gel)</w:t>
      </w:r>
    </w:p>
    <w:p w:rsidR="00995CDA" w:rsidRDefault="00995CDA" w:rsidP="006A0597">
      <w:pPr>
        <w:pStyle w:val="Default"/>
        <w:spacing w:line="276" w:lineRule="auto"/>
        <w:rPr>
          <w:rFonts w:ascii="Arial" w:hAnsi="Arial" w:cs="Arial"/>
          <w:color w:val="auto"/>
          <w:sz w:val="22"/>
          <w:szCs w:val="22"/>
        </w:rPr>
      </w:pPr>
    </w:p>
    <w:p w:rsidR="006A0597" w:rsidRDefault="006A0597" w:rsidP="005B16D3">
      <w:pPr>
        <w:pStyle w:val="Default"/>
        <w:spacing w:line="276" w:lineRule="auto"/>
        <w:ind w:left="-360" w:hanging="180"/>
        <w:rPr>
          <w:rFonts w:ascii="Arial" w:hAnsi="Arial" w:cs="Arial"/>
          <w:b/>
          <w:bCs/>
          <w:color w:val="auto"/>
        </w:rPr>
      </w:pPr>
      <w:r w:rsidRPr="008B2FB8">
        <w:rPr>
          <w:rFonts w:ascii="Arial" w:hAnsi="Arial" w:cs="Arial"/>
          <w:b/>
          <w:bCs/>
          <w:color w:val="auto"/>
        </w:rPr>
        <w:t>Abbreviations, Acronyms, and Symbols</w:t>
      </w:r>
      <w:r>
        <w:rPr>
          <w:rFonts w:ascii="Arial" w:hAnsi="Arial" w:cs="Arial"/>
          <w:b/>
          <w:bCs/>
          <w:color w:val="auto"/>
        </w:rPr>
        <w:t xml:space="preserve"> </w:t>
      </w:r>
    </w:p>
    <w:p w:rsidR="006A0597" w:rsidRDefault="006A0597" w:rsidP="006A0597">
      <w:pPr>
        <w:pStyle w:val="Default"/>
        <w:spacing w:line="276" w:lineRule="auto"/>
        <w:rPr>
          <w:rFonts w:ascii="Arial" w:hAnsi="Arial" w:cs="Arial"/>
          <w:b/>
          <w:bCs/>
          <w:color w:val="auto"/>
        </w:rPr>
      </w:pPr>
    </w:p>
    <w:p w:rsidR="006A0597" w:rsidRPr="008B2FB8" w:rsidRDefault="006A0597" w:rsidP="00F963A6">
      <w:pPr>
        <w:pStyle w:val="Default"/>
        <w:ind w:left="-540"/>
        <w:rPr>
          <w:rFonts w:ascii="Arial" w:hAnsi="Arial" w:cs="Arial"/>
          <w:color w:val="auto"/>
          <w:sz w:val="22"/>
          <w:szCs w:val="22"/>
        </w:rPr>
      </w:pPr>
      <w:r w:rsidRPr="005B16D3">
        <w:rPr>
          <w:rFonts w:ascii="Arial" w:hAnsi="Arial" w:cs="Arial"/>
          <w:b/>
          <w:bCs/>
          <w:color w:val="auto"/>
          <w:sz w:val="22"/>
          <w:szCs w:val="22"/>
        </w:rPr>
        <w:t xml:space="preserve"># </w:t>
      </w:r>
      <w:r w:rsidRPr="005B16D3">
        <w:rPr>
          <w:rFonts w:ascii="Arial" w:hAnsi="Arial" w:cs="Arial"/>
          <w:color w:val="auto"/>
          <w:sz w:val="22"/>
          <w:szCs w:val="22"/>
        </w:rPr>
        <w:t>This designates a brand-name drug with FDA “A”-rated generic equivalents. Prior authorization is</w:t>
      </w:r>
      <w:r w:rsidRPr="008B2FB8">
        <w:rPr>
          <w:rFonts w:ascii="Arial" w:hAnsi="Arial" w:cs="Arial"/>
          <w:color w:val="auto"/>
          <w:sz w:val="22"/>
          <w:szCs w:val="22"/>
        </w:rPr>
        <w:t xml:space="preserve"> required for the brand, unless a particular form of that drug (for example, tablet, capsule, or liquid) does not have an FDA “A”-rated generic equivalent. </w:t>
      </w:r>
    </w:p>
    <w:p w:rsidR="006A0597" w:rsidRPr="008B2FB8" w:rsidRDefault="006A0597" w:rsidP="00F963A6">
      <w:pPr>
        <w:pStyle w:val="Default"/>
        <w:ind w:left="-540"/>
        <w:rPr>
          <w:rFonts w:ascii="Arial" w:hAnsi="Arial" w:cs="Arial"/>
          <w:color w:val="auto"/>
          <w:sz w:val="22"/>
          <w:szCs w:val="22"/>
        </w:rPr>
      </w:pPr>
      <w:r w:rsidRPr="008B2FB8">
        <w:rPr>
          <w:rFonts w:ascii="Arial" w:hAnsi="Arial" w:cs="Arial"/>
          <w:b/>
          <w:bCs/>
          <w:color w:val="auto"/>
          <w:sz w:val="22"/>
          <w:szCs w:val="22"/>
        </w:rPr>
        <w:t xml:space="preserve">PA </w:t>
      </w:r>
      <w:r w:rsidRPr="008B2FB8">
        <w:rPr>
          <w:rFonts w:ascii="Arial" w:hAnsi="Arial" w:cs="Arial"/>
          <w:color w:val="auto"/>
          <w:sz w:val="22"/>
          <w:szCs w:val="22"/>
        </w:rPr>
        <w:t xml:space="preserve">Prior authorization is required. The prescriber must obtain prior authorization for the drug in order for the pharmacy to receive payment. Note: Prior authorization applies to both the brand-name and the FDA “A”-rated generic equivalent of listed product. </w:t>
      </w:r>
    </w:p>
    <w:p w:rsidR="006A0597" w:rsidRPr="00F2232B" w:rsidRDefault="006A0597" w:rsidP="00F963A6">
      <w:pPr>
        <w:ind w:left="-540" w:right="547"/>
        <w:rPr>
          <w:rFonts w:ascii="Arial" w:hAnsi="Arial" w:cs="Arial"/>
          <w:sz w:val="22"/>
          <w:szCs w:val="22"/>
        </w:rPr>
      </w:pPr>
      <w:r w:rsidRPr="00753C96">
        <w:rPr>
          <w:rFonts w:ascii="Arial" w:hAnsi="Arial" w:cs="Arial"/>
          <w:b/>
          <w:sz w:val="22"/>
          <w:szCs w:val="22"/>
        </w:rPr>
        <w:t>BP</w:t>
      </w:r>
      <w:r w:rsidRPr="00F2232B">
        <w:rPr>
          <w:rFonts w:ascii="Arial" w:hAnsi="Arial" w:cs="Arial"/>
          <w:sz w:val="22"/>
          <w:szCs w:val="22"/>
        </w:rPr>
        <w:t xml:space="preserve"> Brand Preferred over generic equivalents. In general, MassHealth</w:t>
      </w:r>
      <w:r w:rsidRPr="00F2232B">
        <w:rPr>
          <w:rFonts w:cs="Arial"/>
        </w:rPr>
        <w:t xml:space="preserve"> </w:t>
      </w:r>
      <w:r w:rsidRPr="00F2232B">
        <w:rPr>
          <w:rFonts w:ascii="Arial" w:hAnsi="Arial" w:cs="Arial"/>
          <w:sz w:val="22"/>
          <w:szCs w:val="22"/>
        </w:rPr>
        <w:t>requires a trial of the preferred drug or</w:t>
      </w:r>
      <w:r w:rsidRPr="00F2232B">
        <w:rPr>
          <w:rFonts w:cs="Arial"/>
        </w:rPr>
        <w:t xml:space="preserve"> </w:t>
      </w:r>
      <w:r w:rsidRPr="00F2232B">
        <w:rPr>
          <w:rFonts w:ascii="Arial" w:hAnsi="Arial" w:cs="Arial"/>
          <w:sz w:val="22"/>
          <w:szCs w:val="22"/>
        </w:rPr>
        <w:t>clinical rationale for prescribing the non-preferred drug generic equivalent.</w:t>
      </w:r>
    </w:p>
    <w:p w:rsidR="00F963A6" w:rsidRPr="00F2232B" w:rsidRDefault="006A0597" w:rsidP="00F963A6">
      <w:pPr>
        <w:ind w:left="-547" w:right="547"/>
        <w:rPr>
          <w:rFonts w:ascii="Arial" w:hAnsi="Arial" w:cs="Arial"/>
          <w:sz w:val="22"/>
          <w:szCs w:val="22"/>
        </w:rPr>
      </w:pPr>
      <w:r w:rsidRPr="00753C96">
        <w:rPr>
          <w:rFonts w:ascii="Arial" w:hAnsi="Arial" w:cs="Arial"/>
          <w:b/>
          <w:sz w:val="22"/>
          <w:szCs w:val="22"/>
        </w:rPr>
        <w:t>PD</w:t>
      </w:r>
      <w:r w:rsidRPr="00F2232B">
        <w:rPr>
          <w:rFonts w:ascii="Arial" w:hAnsi="Arial" w:cs="Arial"/>
          <w:sz w:val="22"/>
          <w:szCs w:val="22"/>
        </w:rPr>
        <w:t xml:space="preserve"> Preferred Drug. In general, MassHealth requires a trial of the preferred drug or clinical rationale for prescribing a non-preferred drug within a therapeutic class.</w:t>
      </w:r>
    </w:p>
    <w:p w:rsidR="006A0597" w:rsidRPr="006A0597" w:rsidRDefault="006A0597" w:rsidP="00F963A6">
      <w:pPr>
        <w:pStyle w:val="Default"/>
        <w:ind w:left="-547"/>
        <w:rPr>
          <w:rFonts w:ascii="Arial" w:hAnsi="Arial" w:cs="Arial"/>
          <w:bCs/>
          <w:color w:val="auto"/>
        </w:rPr>
      </w:pPr>
      <w:r w:rsidRPr="00753C96">
        <w:rPr>
          <w:rFonts w:ascii="Arial" w:hAnsi="Arial" w:cs="Arial"/>
          <w:b/>
          <w:color w:val="auto"/>
          <w:sz w:val="22"/>
          <w:szCs w:val="22"/>
        </w:rPr>
        <w:t>CO</w:t>
      </w:r>
      <w:r w:rsidRPr="006A0597">
        <w:rPr>
          <w:rFonts w:ascii="Arial" w:hAnsi="Arial" w:cs="Arial"/>
          <w:color w:val="auto"/>
          <w:sz w:val="22"/>
          <w:szCs w:val="22"/>
        </w:rPr>
        <w:t xml:space="preserve"> Carve-Out. This agent is listed on the Acute Hospital Carve-Out Drugs List and is subject to additional monitoring</w:t>
      </w:r>
      <w:r w:rsidR="008D62C0">
        <w:rPr>
          <w:rFonts w:ascii="Arial" w:hAnsi="Arial" w:cs="Arial"/>
          <w:color w:val="auto"/>
          <w:sz w:val="22"/>
          <w:szCs w:val="22"/>
        </w:rPr>
        <w:t>.</w:t>
      </w:r>
      <w:bookmarkStart w:id="2" w:name="_GoBack"/>
      <w:bookmarkEnd w:id="2"/>
    </w:p>
    <w:p w:rsidR="00113AED" w:rsidRDefault="00113AED">
      <w:pPr>
        <w:spacing w:after="200" w:line="276" w:lineRule="auto"/>
        <w:rPr>
          <w:rFonts w:ascii="Arial" w:hAnsi="Arial" w:cs="Arial"/>
          <w:b/>
        </w:rPr>
      </w:pPr>
      <w:r>
        <w:rPr>
          <w:rFonts w:ascii="Arial" w:hAnsi="Arial" w:cs="Arial"/>
          <w:b/>
        </w:rPr>
        <w:br w:type="page"/>
      </w:r>
    </w:p>
    <w:p w:rsidR="006A0597" w:rsidRPr="00F2232B" w:rsidRDefault="006A0597" w:rsidP="001C3A0E">
      <w:pPr>
        <w:spacing w:after="120"/>
        <w:ind w:left="-360" w:right="547"/>
        <w:rPr>
          <w:rFonts w:ascii="Arial" w:hAnsi="Arial" w:cs="Arial"/>
          <w:b/>
        </w:rPr>
      </w:pPr>
      <w:r w:rsidRPr="00F2232B">
        <w:rPr>
          <w:rFonts w:ascii="Arial" w:hAnsi="Arial" w:cs="Arial"/>
          <w:b/>
        </w:rPr>
        <w:lastRenderedPageBreak/>
        <w:t>MassHealth Concomitant Opioid and Benzodiazepine Initiative</w:t>
      </w:r>
    </w:p>
    <w:p w:rsidR="006A0597" w:rsidRPr="00F2232B" w:rsidRDefault="006A0597" w:rsidP="00A61168">
      <w:pPr>
        <w:spacing w:after="120"/>
        <w:ind w:left="-360" w:right="547"/>
        <w:rPr>
          <w:rFonts w:ascii="Arial" w:hAnsi="Arial" w:cs="Arial"/>
          <w:b/>
          <w:sz w:val="22"/>
          <w:szCs w:val="22"/>
        </w:rPr>
      </w:pPr>
      <w:r w:rsidRPr="00F2232B">
        <w:rPr>
          <w:rFonts w:ascii="Arial" w:hAnsi="Arial" w:cs="Arial"/>
          <w:b/>
          <w:sz w:val="22"/>
          <w:szCs w:val="22"/>
        </w:rPr>
        <w:t>Background</w:t>
      </w:r>
    </w:p>
    <w:p w:rsidR="006A0597" w:rsidRPr="00F2232B" w:rsidRDefault="006A0597" w:rsidP="00A61168">
      <w:pPr>
        <w:pStyle w:val="BodyText"/>
        <w:spacing w:line="232" w:lineRule="auto"/>
        <w:ind w:left="-360" w:right="517"/>
        <w:rPr>
          <w:rFonts w:ascii="Arial" w:hAnsi="Arial" w:cs="Arial"/>
          <w:sz w:val="22"/>
          <w:szCs w:val="22"/>
        </w:rPr>
      </w:pPr>
      <w:r w:rsidRPr="00F2232B">
        <w:rPr>
          <w:rFonts w:ascii="Arial" w:hAnsi="Arial" w:cs="Arial"/>
          <w:sz w:val="22"/>
          <w:szCs w:val="22"/>
        </w:rPr>
        <w:t xml:space="preserve">The MassHealth Concomitant Opioid and Benzodiazepine Initiative (COBI) proactively requires </w:t>
      </w:r>
      <w:r>
        <w:rPr>
          <w:rFonts w:ascii="Arial" w:hAnsi="Arial" w:cs="Arial"/>
          <w:sz w:val="22"/>
          <w:szCs w:val="22"/>
        </w:rPr>
        <w:t>PA</w:t>
      </w:r>
      <w:r w:rsidRPr="00F2232B">
        <w:rPr>
          <w:rFonts w:ascii="Arial" w:hAnsi="Arial" w:cs="Arial"/>
          <w:sz w:val="22"/>
          <w:szCs w:val="22"/>
        </w:rPr>
        <w:t xml:space="preserve"> for members using opioid and benzodiazepine medications concomitantly. This is due, in part, to the growing data supporting the significant risk associated with the concomitant use of these medications. As part of this initiative and effective with the November 2019 MassHealth Drug List update, </w:t>
      </w:r>
      <w:r>
        <w:rPr>
          <w:rFonts w:ascii="Arial" w:hAnsi="Arial" w:cs="Arial"/>
          <w:sz w:val="22"/>
          <w:szCs w:val="22"/>
        </w:rPr>
        <w:t>PA</w:t>
      </w:r>
      <w:r w:rsidRPr="00F2232B">
        <w:rPr>
          <w:rFonts w:ascii="Arial" w:hAnsi="Arial" w:cs="Arial"/>
          <w:sz w:val="22"/>
          <w:szCs w:val="22"/>
        </w:rPr>
        <w:t xml:space="preserve"> will be required in situations where members fill opioid and benzodiazepine medications for at least 60 days within a 90-day period.</w:t>
      </w:r>
    </w:p>
    <w:p w:rsidR="006A0597" w:rsidRPr="00345D7C" w:rsidRDefault="006A0597" w:rsidP="00A61168">
      <w:pPr>
        <w:pStyle w:val="BodyText"/>
        <w:spacing w:before="95" w:line="232" w:lineRule="auto"/>
        <w:ind w:left="-360" w:right="517"/>
        <w:rPr>
          <w:rFonts w:ascii="Arial" w:hAnsi="Arial" w:cs="Arial"/>
          <w:sz w:val="22"/>
          <w:szCs w:val="22"/>
        </w:rPr>
      </w:pPr>
      <w:r w:rsidRPr="00F2232B">
        <w:rPr>
          <w:rFonts w:ascii="Arial" w:hAnsi="Arial" w:cs="Arial"/>
          <w:sz w:val="22"/>
          <w:szCs w:val="22"/>
        </w:rPr>
        <w:t xml:space="preserve">The reference table below lists the opioid and benzodiazepine medications included in the Concomitant Opioid and Benzodiazepine Initiative. Further information on the </w:t>
      </w:r>
      <w:r>
        <w:rPr>
          <w:rFonts w:ascii="Arial" w:hAnsi="Arial" w:cs="Arial"/>
          <w:sz w:val="22"/>
          <w:szCs w:val="22"/>
        </w:rPr>
        <w:t>PA</w:t>
      </w:r>
      <w:r w:rsidRPr="00F2232B">
        <w:rPr>
          <w:rFonts w:ascii="Arial" w:hAnsi="Arial" w:cs="Arial"/>
          <w:sz w:val="22"/>
          <w:szCs w:val="22"/>
        </w:rPr>
        <w:t xml:space="preserve"> requirements, including approval criteria, can be found within the MassHealth Drug List at </w:t>
      </w:r>
      <w:hyperlink r:id="rId11">
        <w:r w:rsidRPr="00345D7C">
          <w:rPr>
            <w:rFonts w:ascii="Arial" w:hAnsi="Arial" w:cs="Arial"/>
            <w:sz w:val="22"/>
            <w:szCs w:val="22"/>
            <w:u w:val="single"/>
          </w:rPr>
          <w:t>www.mass.gov/druglist</w:t>
        </w:r>
      </w:hyperlink>
      <w:r w:rsidRPr="00345D7C">
        <w:rPr>
          <w:rFonts w:ascii="Arial" w:hAnsi="Arial" w:cs="Arial"/>
          <w:sz w:val="22"/>
          <w:szCs w:val="22"/>
        </w:rPr>
        <w:t xml:space="preserve">. </w:t>
      </w:r>
    </w:p>
    <w:tbl>
      <w:tblPr>
        <w:tblpPr w:leftFromText="180" w:rightFromText="180" w:vertAnchor="text" w:horzAnchor="margin" w:tblpX="-252" w:tblpY="125"/>
        <w:tblW w:w="1107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958"/>
        <w:gridCol w:w="5119"/>
      </w:tblGrid>
      <w:tr w:rsidR="006A0597" w:rsidRPr="00F2232B" w:rsidTr="00A61168">
        <w:trPr>
          <w:trHeight w:val="405"/>
          <w:tblHeader/>
        </w:trPr>
        <w:tc>
          <w:tcPr>
            <w:tcW w:w="11077" w:type="dxa"/>
            <w:gridSpan w:val="2"/>
            <w:tcBorders>
              <w:top w:val="single" w:sz="18" w:space="0" w:color="808080"/>
              <w:left w:val="single" w:sz="18" w:space="0" w:color="808080"/>
              <w:bottom w:val="nil"/>
              <w:right w:val="single" w:sz="18" w:space="0" w:color="808080"/>
            </w:tcBorders>
            <w:shd w:val="clear" w:color="auto" w:fill="auto"/>
            <w:vAlign w:val="center"/>
          </w:tcPr>
          <w:p w:rsidR="006A0597" w:rsidRPr="00F2232B" w:rsidRDefault="006A0597" w:rsidP="00A61168">
            <w:pPr>
              <w:pStyle w:val="Heading1"/>
              <w:ind w:left="-360" w:right="-149"/>
              <w:rPr>
                <w:rFonts w:ascii="Arial" w:eastAsia="Calibri" w:hAnsi="Arial" w:cs="Arial"/>
                <w:szCs w:val="22"/>
                <w:vertAlign w:val="superscript"/>
              </w:rPr>
            </w:pPr>
            <w:r w:rsidRPr="00F2232B">
              <w:rPr>
                <w:rFonts w:ascii="Arial" w:eastAsia="Calibri" w:hAnsi="Arial" w:cs="Arial"/>
                <w:szCs w:val="22"/>
              </w:rPr>
              <w:t>Concomitant Opioid and Benzodiazepine Initiative Medication List</w:t>
            </w:r>
            <w:r w:rsidRPr="00F2232B">
              <w:rPr>
                <w:rFonts w:ascii="Arial" w:eastAsia="Calibri" w:hAnsi="Arial" w:cs="Arial"/>
                <w:szCs w:val="22"/>
                <w:vertAlign w:val="superscript"/>
              </w:rPr>
              <w:t>1</w:t>
            </w:r>
          </w:p>
        </w:tc>
      </w:tr>
      <w:tr w:rsidR="006A0597" w:rsidRPr="00F2232B" w:rsidTr="00A61168">
        <w:trPr>
          <w:trHeight w:val="288"/>
          <w:tblHeader/>
        </w:trPr>
        <w:tc>
          <w:tcPr>
            <w:tcW w:w="5958" w:type="dxa"/>
            <w:tcBorders>
              <w:top w:val="single" w:sz="18" w:space="0" w:color="808080"/>
              <w:left w:val="single" w:sz="18" w:space="0" w:color="808080"/>
              <w:bottom w:val="nil"/>
              <w:right w:val="single" w:sz="18" w:space="0" w:color="808080"/>
            </w:tcBorders>
            <w:shd w:val="clear" w:color="auto" w:fill="auto"/>
          </w:tcPr>
          <w:p w:rsidR="006A0597" w:rsidRPr="00F2232B" w:rsidRDefault="006A0597" w:rsidP="00A61168">
            <w:pPr>
              <w:pStyle w:val="Heading1"/>
              <w:ind w:left="-360"/>
              <w:rPr>
                <w:rFonts w:ascii="Arial" w:eastAsia="Calibri" w:hAnsi="Arial" w:cs="Arial"/>
                <w:szCs w:val="22"/>
              </w:rPr>
            </w:pPr>
            <w:r w:rsidRPr="00F2232B">
              <w:rPr>
                <w:rFonts w:ascii="Arial" w:eastAsia="Calibri" w:hAnsi="Arial" w:cs="Arial"/>
                <w:szCs w:val="22"/>
              </w:rPr>
              <w:t>Benzodiazepines</w:t>
            </w:r>
          </w:p>
        </w:tc>
        <w:tc>
          <w:tcPr>
            <w:tcW w:w="5119" w:type="dxa"/>
            <w:tcBorders>
              <w:top w:val="single" w:sz="18" w:space="0" w:color="808080"/>
              <w:left w:val="single" w:sz="18" w:space="0" w:color="808080"/>
              <w:bottom w:val="nil"/>
              <w:right w:val="single" w:sz="18" w:space="0" w:color="808080"/>
            </w:tcBorders>
            <w:shd w:val="clear" w:color="auto" w:fill="auto"/>
          </w:tcPr>
          <w:p w:rsidR="006A0597" w:rsidRPr="00F2232B" w:rsidRDefault="006A0597" w:rsidP="00A61168">
            <w:pPr>
              <w:pStyle w:val="Heading1"/>
              <w:ind w:left="-360"/>
              <w:rPr>
                <w:rFonts w:ascii="Arial" w:eastAsia="Calibri" w:hAnsi="Arial" w:cs="Arial"/>
                <w:szCs w:val="22"/>
              </w:rPr>
            </w:pPr>
            <w:r w:rsidRPr="00F2232B">
              <w:rPr>
                <w:rFonts w:ascii="Arial" w:eastAsia="Calibri" w:hAnsi="Arial" w:cs="Arial"/>
                <w:szCs w:val="22"/>
              </w:rPr>
              <w:t>Opioids</w:t>
            </w:r>
          </w:p>
        </w:tc>
      </w:tr>
      <w:tr w:rsidR="006A0597" w:rsidRPr="00F2232B" w:rsidTr="00A61168">
        <w:trPr>
          <w:trHeight w:val="288"/>
          <w:tblHeader/>
        </w:trPr>
        <w:tc>
          <w:tcPr>
            <w:tcW w:w="5958" w:type="dxa"/>
            <w:tcBorders>
              <w:top w:val="single" w:sz="18" w:space="0" w:color="808080"/>
              <w:left w:val="single" w:sz="18" w:space="0" w:color="808080"/>
              <w:bottom w:val="nil"/>
              <w:right w:val="single" w:sz="18" w:space="0" w:color="808080"/>
            </w:tcBorders>
            <w:shd w:val="clear" w:color="auto" w:fill="auto"/>
          </w:tcPr>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alprazolam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chlordiazepoxide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chlordiazepoxide/clidinium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clonazepam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clorazepate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diazepam</w:t>
            </w:r>
            <w:r w:rsidRPr="00F2232B">
              <w:rPr>
                <w:rFonts w:ascii="Arial" w:eastAsia="Calibri" w:hAnsi="Arial" w:cs="Arial"/>
                <w:vertAlign w:val="superscript"/>
              </w:rPr>
              <w:t>2</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estazolam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flurazepam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lorazepam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midazolam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oxazepam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quazepam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temazepam</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triazolam</w:t>
            </w:r>
          </w:p>
          <w:p w:rsidR="006A0597" w:rsidRPr="00F2232B" w:rsidRDefault="006A0597" w:rsidP="00A61168">
            <w:pPr>
              <w:pStyle w:val="Heading1"/>
              <w:ind w:left="-360"/>
              <w:rPr>
                <w:rFonts w:ascii="Arial" w:eastAsia="Calibri" w:hAnsi="Arial" w:cs="Arial"/>
                <w:b w:val="0"/>
                <w:sz w:val="22"/>
                <w:szCs w:val="22"/>
              </w:rPr>
            </w:pPr>
          </w:p>
        </w:tc>
        <w:tc>
          <w:tcPr>
            <w:tcW w:w="5119" w:type="dxa"/>
            <w:tcBorders>
              <w:top w:val="single" w:sz="18" w:space="0" w:color="808080"/>
              <w:left w:val="single" w:sz="18" w:space="0" w:color="808080"/>
              <w:bottom w:val="nil"/>
              <w:right w:val="single" w:sz="18" w:space="0" w:color="808080"/>
            </w:tcBorders>
            <w:shd w:val="clear" w:color="auto" w:fill="auto"/>
          </w:tcPr>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buprenorphine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butorphanol</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codeine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dihydrocodeine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fentanyl</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hydrocodone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hydromorphone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levorphanol</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meperidine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methadone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morphine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oxycodone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oxymorphone</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opioid powders</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tapentadol</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tramadol</w:t>
            </w:r>
          </w:p>
          <w:p w:rsidR="006A0597" w:rsidRPr="00F2232B" w:rsidRDefault="006A0597" w:rsidP="00A61168">
            <w:pPr>
              <w:pStyle w:val="NoSpacing"/>
              <w:ind w:left="-360"/>
              <w:jc w:val="center"/>
              <w:rPr>
                <w:rFonts w:ascii="Arial" w:eastAsia="Calibri" w:hAnsi="Arial" w:cs="Arial"/>
              </w:rPr>
            </w:pPr>
            <w:r w:rsidRPr="00F2232B">
              <w:rPr>
                <w:rFonts w:ascii="Arial" w:eastAsia="Calibri" w:hAnsi="Arial" w:cs="Arial"/>
              </w:rPr>
              <w:t>ziconotide</w:t>
            </w:r>
          </w:p>
        </w:tc>
      </w:tr>
      <w:tr w:rsidR="006A0597" w:rsidRPr="00F2232B" w:rsidTr="00A61168">
        <w:trPr>
          <w:trHeight w:val="288"/>
        </w:trPr>
        <w:tc>
          <w:tcPr>
            <w:tcW w:w="5958" w:type="dxa"/>
            <w:tcBorders>
              <w:top w:val="nil"/>
              <w:left w:val="single" w:sz="18" w:space="0" w:color="808080"/>
              <w:bottom w:val="single" w:sz="18" w:space="0" w:color="808080"/>
              <w:right w:val="single" w:sz="18" w:space="0" w:color="808080"/>
            </w:tcBorders>
            <w:shd w:val="clear" w:color="auto" w:fill="auto"/>
          </w:tcPr>
          <w:p w:rsidR="006A0597" w:rsidRPr="00F2232B" w:rsidRDefault="006A0597" w:rsidP="00A61168">
            <w:pPr>
              <w:spacing w:before="55"/>
              <w:jc w:val="center"/>
              <w:rPr>
                <w:rFonts w:eastAsia="Calibri" w:cs="Arial"/>
                <w:sz w:val="20"/>
                <w:szCs w:val="20"/>
              </w:rPr>
            </w:pPr>
          </w:p>
        </w:tc>
        <w:tc>
          <w:tcPr>
            <w:tcW w:w="5119" w:type="dxa"/>
            <w:tcBorders>
              <w:left w:val="single" w:sz="18" w:space="0" w:color="808080"/>
              <w:bottom w:val="single" w:sz="18" w:space="0" w:color="808080"/>
            </w:tcBorders>
            <w:shd w:val="clear" w:color="auto" w:fill="auto"/>
          </w:tcPr>
          <w:p w:rsidR="006A0597" w:rsidRPr="00F2232B" w:rsidRDefault="006A0597" w:rsidP="00A61168">
            <w:pPr>
              <w:spacing w:before="55"/>
              <w:rPr>
                <w:rFonts w:eastAsia="Calibri" w:cs="Arial"/>
                <w:sz w:val="20"/>
                <w:szCs w:val="20"/>
              </w:rPr>
            </w:pPr>
          </w:p>
        </w:tc>
      </w:tr>
    </w:tbl>
    <w:p w:rsidR="00753C96" w:rsidRDefault="006A0597" w:rsidP="00753C96">
      <w:pPr>
        <w:ind w:left="-360"/>
        <w:outlineLvl w:val="2"/>
        <w:rPr>
          <w:rFonts w:ascii="Arial" w:hAnsi="Arial" w:cs="Arial"/>
          <w:bCs/>
          <w:sz w:val="18"/>
          <w:szCs w:val="18"/>
        </w:rPr>
      </w:pPr>
      <w:r w:rsidRPr="008B2FB8">
        <w:rPr>
          <w:rFonts w:ascii="Arial" w:hAnsi="Arial" w:cs="Arial"/>
          <w:bCs/>
          <w:sz w:val="18"/>
          <w:szCs w:val="18"/>
          <w:vertAlign w:val="superscript"/>
        </w:rPr>
        <w:t>1</w:t>
      </w:r>
      <w:r w:rsidRPr="008B2FB8">
        <w:rPr>
          <w:rFonts w:ascii="Arial" w:hAnsi="Arial" w:cs="Arial"/>
          <w:bCs/>
          <w:sz w:val="18"/>
          <w:szCs w:val="18"/>
        </w:rPr>
        <w:t>Injectable benzodiazepine formulations are excluded from the Concomitant Opioid and Benzodiazepine</w:t>
      </w:r>
      <w:r w:rsidR="00753C96">
        <w:rPr>
          <w:rFonts w:ascii="Arial" w:hAnsi="Arial" w:cs="Arial"/>
          <w:bCs/>
          <w:sz w:val="18"/>
          <w:szCs w:val="18"/>
        </w:rPr>
        <w:t xml:space="preserve"> </w:t>
      </w:r>
      <w:r w:rsidRPr="008B2FB8">
        <w:rPr>
          <w:rFonts w:ascii="Arial" w:hAnsi="Arial" w:cs="Arial"/>
          <w:bCs/>
          <w:sz w:val="18"/>
          <w:szCs w:val="18"/>
        </w:rPr>
        <w:t xml:space="preserve">Initiative </w:t>
      </w:r>
      <w:r w:rsidR="00753C96">
        <w:rPr>
          <w:rFonts w:ascii="Arial" w:hAnsi="Arial" w:cs="Arial"/>
          <w:bCs/>
          <w:sz w:val="18"/>
          <w:szCs w:val="18"/>
        </w:rPr>
        <w:t xml:space="preserve"> </w:t>
      </w:r>
    </w:p>
    <w:p w:rsidR="006A0597" w:rsidRPr="008B2FB8" w:rsidRDefault="00753C96" w:rsidP="00753C96">
      <w:pPr>
        <w:ind w:left="-360"/>
        <w:outlineLvl w:val="2"/>
        <w:rPr>
          <w:rFonts w:ascii="Arial" w:hAnsi="Arial" w:cs="Arial"/>
          <w:bCs/>
          <w:sz w:val="18"/>
          <w:szCs w:val="18"/>
        </w:rPr>
      </w:pPr>
      <w:r>
        <w:rPr>
          <w:rFonts w:ascii="Arial" w:hAnsi="Arial" w:cs="Arial"/>
          <w:bCs/>
          <w:sz w:val="18"/>
          <w:szCs w:val="18"/>
        </w:rPr>
        <w:t xml:space="preserve">  r</w:t>
      </w:r>
      <w:r w:rsidR="006A0597" w:rsidRPr="008B2FB8">
        <w:rPr>
          <w:rFonts w:ascii="Arial" w:hAnsi="Arial" w:cs="Arial"/>
          <w:bCs/>
          <w:sz w:val="18"/>
          <w:szCs w:val="18"/>
        </w:rPr>
        <w:t>equirements.</w:t>
      </w:r>
    </w:p>
    <w:p w:rsidR="006A0597" w:rsidRPr="008B2FB8" w:rsidRDefault="006A0597" w:rsidP="00753C96">
      <w:pPr>
        <w:ind w:left="-360"/>
        <w:outlineLvl w:val="2"/>
        <w:rPr>
          <w:rFonts w:ascii="Arial" w:hAnsi="Arial" w:cs="Arial"/>
          <w:bCs/>
          <w:sz w:val="18"/>
          <w:szCs w:val="18"/>
        </w:rPr>
      </w:pPr>
      <w:r w:rsidRPr="008B2FB8">
        <w:rPr>
          <w:rFonts w:ascii="Arial" w:hAnsi="Arial" w:cs="Arial"/>
          <w:bCs/>
          <w:sz w:val="18"/>
          <w:szCs w:val="18"/>
          <w:vertAlign w:val="superscript"/>
        </w:rPr>
        <w:t>2</w:t>
      </w:r>
      <w:r w:rsidRPr="008B2FB8">
        <w:rPr>
          <w:rFonts w:ascii="Arial" w:hAnsi="Arial" w:cs="Arial"/>
          <w:bCs/>
          <w:sz w:val="18"/>
          <w:szCs w:val="18"/>
        </w:rPr>
        <w:t>Rectal diazepam formulations are excluded from the Concomitant Opioid and Benzodiazepine Initiative requirements.</w:t>
      </w:r>
    </w:p>
    <w:p w:rsidR="006A0597" w:rsidRDefault="006A0597">
      <w:pPr>
        <w:spacing w:after="200" w:line="276" w:lineRule="auto"/>
        <w:rPr>
          <w:rFonts w:ascii="Arial" w:hAnsi="Arial" w:cs="Arial"/>
          <w:sz w:val="22"/>
          <w:szCs w:val="22"/>
        </w:rPr>
      </w:pPr>
      <w:r>
        <w:rPr>
          <w:rFonts w:ascii="Arial" w:hAnsi="Arial" w:cs="Arial"/>
          <w:sz w:val="22"/>
          <w:szCs w:val="22"/>
        </w:rPr>
        <w:br w:type="page"/>
      </w:r>
    </w:p>
    <w:p w:rsidR="006A0597" w:rsidRPr="00995CDA" w:rsidRDefault="006A0597" w:rsidP="00A61168">
      <w:pPr>
        <w:pStyle w:val="Heading1"/>
        <w:spacing w:after="240"/>
        <w:ind w:left="-360" w:right="30"/>
        <w:jc w:val="left"/>
        <w:rPr>
          <w:rFonts w:ascii="Arial" w:hAnsi="Arial" w:cs="Arial"/>
          <w:sz w:val="24"/>
        </w:rPr>
      </w:pPr>
      <w:r w:rsidRPr="00995CDA">
        <w:rPr>
          <w:rFonts w:ascii="Arial" w:hAnsi="Arial" w:cs="Arial"/>
          <w:sz w:val="24"/>
        </w:rPr>
        <w:lastRenderedPageBreak/>
        <w:t>Q&amp;A ABOUT THE MASSHEALTH CONCOMITANT OPIOID AND BENZODIAZEPINE INITIATIVE</w:t>
      </w:r>
    </w:p>
    <w:p w:rsidR="006A0597" w:rsidRPr="008B2FB8" w:rsidRDefault="006A0597" w:rsidP="00A61168">
      <w:pPr>
        <w:ind w:left="-360"/>
        <w:outlineLvl w:val="2"/>
        <w:rPr>
          <w:rFonts w:ascii="Arial" w:hAnsi="Arial" w:cs="Arial"/>
          <w:b/>
          <w:bCs/>
          <w:sz w:val="22"/>
          <w:szCs w:val="22"/>
        </w:rPr>
      </w:pPr>
      <w:r w:rsidRPr="008B2FB8">
        <w:rPr>
          <w:rFonts w:ascii="Arial" w:hAnsi="Arial" w:cs="Arial"/>
          <w:b/>
          <w:bCs/>
          <w:sz w:val="22"/>
          <w:szCs w:val="22"/>
        </w:rPr>
        <w:t>What is the goal of this initiative?</w:t>
      </w:r>
    </w:p>
    <w:p w:rsidR="006A0597" w:rsidRDefault="006A0597" w:rsidP="00A61168">
      <w:pPr>
        <w:pStyle w:val="ListParagraph"/>
        <w:ind w:left="-360"/>
        <w:contextualSpacing/>
        <w:outlineLvl w:val="2"/>
        <w:rPr>
          <w:rFonts w:ascii="Arial" w:hAnsi="Arial" w:cs="Arial"/>
          <w:bCs/>
          <w:sz w:val="22"/>
          <w:szCs w:val="22"/>
        </w:rPr>
      </w:pPr>
      <w:r w:rsidRPr="008B2FB8">
        <w:rPr>
          <w:rFonts w:ascii="Arial" w:hAnsi="Arial" w:cs="Arial"/>
          <w:bCs/>
          <w:sz w:val="22"/>
          <w:szCs w:val="22"/>
        </w:rPr>
        <w:t xml:space="preserve">The MassHealth Concomitant Opioid and Benzodiazepine Initiative focuses on safe prescribing practices for regimens incorporating both opioid and benzodiazepine medications in MassHealth members, excluding MassHealth Managed-Care Organizations (MCO) members. The initiative includes </w:t>
      </w:r>
      <w:r>
        <w:rPr>
          <w:rFonts w:ascii="Arial" w:hAnsi="Arial" w:cs="Arial"/>
          <w:bCs/>
          <w:sz w:val="22"/>
          <w:szCs w:val="22"/>
        </w:rPr>
        <w:t>PA</w:t>
      </w:r>
      <w:r w:rsidRPr="008B2FB8">
        <w:rPr>
          <w:rFonts w:ascii="Arial" w:hAnsi="Arial" w:cs="Arial"/>
          <w:bCs/>
          <w:sz w:val="22"/>
          <w:szCs w:val="22"/>
        </w:rPr>
        <w:t xml:space="preserve"> requirements for both opioids and benzodiazepines when used concomitantly. </w:t>
      </w:r>
    </w:p>
    <w:p w:rsidR="000C02CD" w:rsidRPr="008B2FB8" w:rsidRDefault="000C02CD" w:rsidP="00A61168">
      <w:pPr>
        <w:pStyle w:val="ListParagraph"/>
        <w:ind w:left="-360"/>
        <w:contextualSpacing/>
        <w:outlineLvl w:val="2"/>
        <w:rPr>
          <w:rFonts w:ascii="Arial" w:hAnsi="Arial" w:cs="Arial"/>
          <w:b/>
          <w:bCs/>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What types of medications will be affected by this initiative?</w:t>
      </w:r>
    </w:p>
    <w:p w:rsidR="006A0597" w:rsidRDefault="006A0597" w:rsidP="00A61168">
      <w:pPr>
        <w:pStyle w:val="ListParagraph"/>
        <w:ind w:left="-360"/>
        <w:contextualSpacing/>
        <w:rPr>
          <w:rFonts w:ascii="Arial" w:hAnsi="Arial" w:cs="Arial"/>
          <w:bCs/>
          <w:sz w:val="22"/>
          <w:szCs w:val="22"/>
        </w:rPr>
      </w:pPr>
      <w:r w:rsidRPr="00F2232B">
        <w:rPr>
          <w:rFonts w:ascii="Arial" w:hAnsi="Arial" w:cs="Arial"/>
          <w:sz w:val="22"/>
          <w:szCs w:val="22"/>
        </w:rPr>
        <w:t>This initiative targets both opioid and benzodiazepine medications</w:t>
      </w:r>
      <w:r>
        <w:rPr>
          <w:rFonts w:ascii="Arial" w:hAnsi="Arial" w:cs="Arial"/>
          <w:sz w:val="22"/>
          <w:szCs w:val="22"/>
        </w:rPr>
        <w:t>;</w:t>
      </w:r>
      <w:r w:rsidRPr="00F2232B">
        <w:rPr>
          <w:rFonts w:ascii="Arial" w:hAnsi="Arial" w:cs="Arial"/>
          <w:sz w:val="22"/>
          <w:szCs w:val="22"/>
        </w:rPr>
        <w:t xml:space="preserve"> however</w:t>
      </w:r>
      <w:r>
        <w:rPr>
          <w:rFonts w:ascii="Arial" w:hAnsi="Arial" w:cs="Arial"/>
          <w:sz w:val="22"/>
          <w:szCs w:val="22"/>
        </w:rPr>
        <w:t>,</w:t>
      </w:r>
      <w:r w:rsidRPr="00F2232B">
        <w:rPr>
          <w:rFonts w:ascii="Arial" w:hAnsi="Arial" w:cs="Arial"/>
          <w:sz w:val="22"/>
          <w:szCs w:val="22"/>
        </w:rPr>
        <w:t xml:space="preserve"> only claims for the benzodiazepine agent will be rejecting. A comprehensive medication list and additional information about the MassHealth </w:t>
      </w:r>
      <w:r w:rsidRPr="008B2FB8">
        <w:rPr>
          <w:rFonts w:ascii="Arial" w:hAnsi="Arial" w:cs="Arial"/>
          <w:bCs/>
          <w:sz w:val="22"/>
          <w:szCs w:val="22"/>
        </w:rPr>
        <w:t xml:space="preserve">Concomitant Opioid and Benzodiazepine Initiative, including </w:t>
      </w:r>
      <w:r>
        <w:rPr>
          <w:rFonts w:ascii="Arial" w:hAnsi="Arial" w:cs="Arial"/>
          <w:bCs/>
          <w:sz w:val="22"/>
          <w:szCs w:val="22"/>
        </w:rPr>
        <w:t>PA</w:t>
      </w:r>
      <w:r w:rsidRPr="008B2FB8">
        <w:rPr>
          <w:rFonts w:ascii="Arial" w:hAnsi="Arial" w:cs="Arial"/>
          <w:bCs/>
          <w:sz w:val="22"/>
          <w:szCs w:val="22"/>
        </w:rPr>
        <w:t xml:space="preserve"> requirements, are available on the MassHealth Drug List webpage at </w:t>
      </w:r>
      <w:hyperlink r:id="rId12" w:history="1">
        <w:r w:rsidRPr="008B2FB8">
          <w:rPr>
            <w:rStyle w:val="Hyperlink"/>
            <w:rFonts w:ascii="Arial" w:hAnsi="Arial" w:cs="Arial"/>
            <w:bCs/>
            <w:sz w:val="22"/>
            <w:szCs w:val="22"/>
          </w:rPr>
          <w:t>www.mass.gov/druglist</w:t>
        </w:r>
      </w:hyperlink>
      <w:r w:rsidRPr="008B2FB8">
        <w:rPr>
          <w:rFonts w:ascii="Arial" w:hAnsi="Arial" w:cs="Arial"/>
          <w:bCs/>
          <w:sz w:val="22"/>
          <w:szCs w:val="22"/>
        </w:rPr>
        <w:t>.</w:t>
      </w:r>
    </w:p>
    <w:p w:rsidR="000C02CD" w:rsidRPr="00F2232B" w:rsidRDefault="000C02CD" w:rsidP="00A61168">
      <w:pPr>
        <w:pStyle w:val="ListParagraph"/>
        <w:ind w:left="-360"/>
        <w:contextualSpacing/>
        <w:rPr>
          <w:rFonts w:ascii="Arial" w:hAnsi="Arial" w:cs="Arial"/>
          <w:sz w:val="22"/>
          <w:szCs w:val="22"/>
        </w:rPr>
      </w:pPr>
    </w:p>
    <w:p w:rsidR="000C02CD" w:rsidRDefault="006A0597" w:rsidP="00A61168">
      <w:pPr>
        <w:pStyle w:val="Heading3"/>
        <w:spacing w:before="0"/>
        <w:ind w:left="-360"/>
        <w:rPr>
          <w:rStyle w:val="Strong"/>
          <w:rFonts w:ascii="Arial" w:hAnsi="Arial" w:cs="Arial"/>
          <w:b/>
          <w:color w:val="auto"/>
          <w:sz w:val="22"/>
          <w:szCs w:val="22"/>
        </w:rPr>
      </w:pPr>
      <w:r w:rsidRPr="000C02CD">
        <w:rPr>
          <w:rStyle w:val="Strong"/>
          <w:rFonts w:ascii="Arial" w:hAnsi="Arial" w:cs="Arial"/>
          <w:b/>
          <w:color w:val="auto"/>
          <w:sz w:val="22"/>
          <w:szCs w:val="22"/>
        </w:rPr>
        <w:t>Who will be affected by the MassHealth Concomitant Opioid and Benzodiazepine Initiative?</w:t>
      </w:r>
    </w:p>
    <w:p w:rsidR="006A0597" w:rsidRDefault="006A0597" w:rsidP="00A61168">
      <w:pPr>
        <w:pStyle w:val="Heading3"/>
        <w:spacing w:before="0"/>
        <w:ind w:left="-360"/>
        <w:rPr>
          <w:rFonts w:ascii="Arial" w:hAnsi="Arial" w:cs="Arial"/>
          <w:b w:val="0"/>
          <w:color w:val="auto"/>
          <w:sz w:val="22"/>
          <w:szCs w:val="22"/>
        </w:rPr>
      </w:pPr>
      <w:r w:rsidRPr="008B2FB8">
        <w:rPr>
          <w:rFonts w:ascii="Arial" w:hAnsi="Arial" w:cs="Arial"/>
          <w:b w:val="0"/>
          <w:color w:val="auto"/>
          <w:sz w:val="22"/>
          <w:szCs w:val="22"/>
        </w:rPr>
        <w:t>MassHealth members will be affected by this initiative. Currently, this initiative does not include MassHealth MCO members.</w:t>
      </w:r>
    </w:p>
    <w:p w:rsidR="000C02CD" w:rsidRPr="000C02CD" w:rsidRDefault="000C02CD" w:rsidP="00A61168">
      <w:pPr>
        <w:ind w:left="-360"/>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When will the PA requirements for the MassHealth Concomitant Opioid and Benzodiazepine Initiative take effect?</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Polypharmacy within the same medication class currently exists</w:t>
      </w:r>
      <w:r>
        <w:rPr>
          <w:rFonts w:ascii="Arial" w:hAnsi="Arial" w:cs="Arial"/>
          <w:sz w:val="22"/>
          <w:szCs w:val="22"/>
        </w:rPr>
        <w:t>,</w:t>
      </w:r>
      <w:r w:rsidRPr="00F2232B">
        <w:rPr>
          <w:rFonts w:ascii="Arial" w:hAnsi="Arial" w:cs="Arial"/>
          <w:sz w:val="22"/>
          <w:szCs w:val="22"/>
        </w:rPr>
        <w:t xml:space="preserve"> and information can be found on the MassHealth Drug List website. The anticipated start date for this initiative will be November 25, 2019. </w:t>
      </w:r>
    </w:p>
    <w:p w:rsidR="000C02CD" w:rsidRPr="00F2232B" w:rsidRDefault="000C02CD" w:rsidP="00A61168">
      <w:pPr>
        <w:pStyle w:val="ListParagraph"/>
        <w:ind w:left="-360"/>
        <w:contextualSpacing/>
        <w:rPr>
          <w:rFonts w:ascii="Arial" w:hAnsi="Arial" w:cs="Arial"/>
          <w:sz w:val="22"/>
          <w:szCs w:val="22"/>
        </w:rPr>
      </w:pPr>
    </w:p>
    <w:p w:rsidR="000C02CD" w:rsidRPr="000C02CD" w:rsidRDefault="006A0597" w:rsidP="00A61168">
      <w:pPr>
        <w:pStyle w:val="Heading3"/>
        <w:spacing w:before="0"/>
        <w:ind w:left="-360"/>
      </w:pPr>
      <w:r w:rsidRPr="000C02CD">
        <w:rPr>
          <w:rStyle w:val="Strong"/>
          <w:rFonts w:ascii="Arial" w:hAnsi="Arial" w:cs="Arial"/>
          <w:b/>
          <w:color w:val="auto"/>
          <w:sz w:val="22"/>
          <w:szCs w:val="22"/>
        </w:rPr>
        <w:t>Will prescriptions written before the start of this initiative be grandfathered?</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No. While the initiative will take effect on November 25, 2019, this will be a prospective initiative, with claims for concomitant opioid and benzodiazepine medications rejecting as early as January 2020. The pharmacy will be notified immediately </w:t>
      </w:r>
      <w:r>
        <w:rPr>
          <w:rFonts w:ascii="Arial" w:hAnsi="Arial" w:cs="Arial"/>
          <w:sz w:val="22"/>
          <w:szCs w:val="22"/>
        </w:rPr>
        <w:t>about</w:t>
      </w:r>
      <w:r w:rsidRPr="00F2232B">
        <w:rPr>
          <w:rFonts w:ascii="Arial" w:hAnsi="Arial" w:cs="Arial"/>
          <w:sz w:val="22"/>
          <w:szCs w:val="22"/>
        </w:rPr>
        <w:t xml:space="preserve"> the need for </w:t>
      </w:r>
      <w:r>
        <w:rPr>
          <w:rFonts w:ascii="Arial" w:hAnsi="Arial" w:cs="Arial"/>
          <w:sz w:val="22"/>
          <w:szCs w:val="22"/>
        </w:rPr>
        <w:t>PA</w:t>
      </w:r>
      <w:r w:rsidRPr="00F2232B">
        <w:rPr>
          <w:rFonts w:ascii="Arial" w:hAnsi="Arial" w:cs="Arial"/>
          <w:sz w:val="22"/>
          <w:szCs w:val="22"/>
        </w:rPr>
        <w:t xml:space="preserve"> as well as the availability of emergency supplies if required.</w:t>
      </w:r>
    </w:p>
    <w:p w:rsidR="000C02CD" w:rsidRPr="00F2232B" w:rsidRDefault="000C02CD" w:rsidP="00A61168">
      <w:pPr>
        <w:pStyle w:val="ListParagraph"/>
        <w:ind w:left="-360"/>
        <w:contextualSpacing/>
        <w:rPr>
          <w:rFonts w:ascii="Arial" w:hAnsi="Arial" w:cs="Arial"/>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How will prescribers know what information needs to be submitted for a PA?</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The </w:t>
      </w:r>
      <w:r w:rsidRPr="008B2FB8">
        <w:rPr>
          <w:rFonts w:ascii="Arial" w:hAnsi="Arial" w:cs="Arial"/>
          <w:i/>
          <w:sz w:val="22"/>
          <w:szCs w:val="22"/>
        </w:rPr>
        <w:t>Benzodiazepines and Other Antianxiety Agents Prior Authorization</w:t>
      </w:r>
      <w:r w:rsidRPr="00F2232B">
        <w:rPr>
          <w:rFonts w:ascii="Arial" w:hAnsi="Arial" w:cs="Arial"/>
          <w:sz w:val="22"/>
          <w:szCs w:val="22"/>
        </w:rPr>
        <w:t xml:space="preserve"> form has been updated with additional information about the MassHealth Concomitant Opioid and Benzodiazepine Initiative. </w:t>
      </w:r>
      <w:r>
        <w:rPr>
          <w:rFonts w:ascii="Arial" w:hAnsi="Arial" w:cs="Arial"/>
          <w:sz w:val="22"/>
          <w:szCs w:val="22"/>
        </w:rPr>
        <w:t xml:space="preserve">PA </w:t>
      </w:r>
      <w:r w:rsidRPr="00F2232B">
        <w:rPr>
          <w:rFonts w:ascii="Arial" w:hAnsi="Arial" w:cs="Arial"/>
          <w:sz w:val="22"/>
          <w:szCs w:val="22"/>
        </w:rPr>
        <w:t xml:space="preserve">requirements are available on the MassHealth Drug List webpage at </w:t>
      </w:r>
      <w:hyperlink r:id="rId13" w:history="1">
        <w:r w:rsidRPr="008B2FB8">
          <w:rPr>
            <w:rStyle w:val="Hyperlink"/>
            <w:rFonts w:ascii="Arial" w:hAnsi="Arial" w:cs="Arial"/>
            <w:sz w:val="22"/>
            <w:szCs w:val="22"/>
          </w:rPr>
          <w:t>www.mass.gov/druglist</w:t>
        </w:r>
      </w:hyperlink>
      <w:r w:rsidRPr="00F2232B">
        <w:rPr>
          <w:rFonts w:ascii="Arial" w:hAnsi="Arial" w:cs="Arial"/>
          <w:sz w:val="22"/>
          <w:szCs w:val="22"/>
        </w:rPr>
        <w:t xml:space="preserve">. </w:t>
      </w:r>
    </w:p>
    <w:p w:rsidR="000C02CD" w:rsidRPr="00F2232B" w:rsidRDefault="000C02CD" w:rsidP="00A61168">
      <w:pPr>
        <w:pStyle w:val="ListParagraph"/>
        <w:ind w:left="-360"/>
        <w:contextualSpacing/>
        <w:rPr>
          <w:rFonts w:ascii="Arial" w:hAnsi="Arial" w:cs="Arial"/>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Is there a specific PA form for the MassHealth Concomitant Opioid and Benzodiazepine Initiative?</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No. The </w:t>
      </w:r>
      <w:r w:rsidRPr="008B2FB8">
        <w:rPr>
          <w:rFonts w:ascii="Arial" w:hAnsi="Arial" w:cs="Arial"/>
          <w:i/>
          <w:sz w:val="22"/>
          <w:szCs w:val="22"/>
        </w:rPr>
        <w:t>Benzodiazepines and Other Antianxiety Agents Prior Authorization</w:t>
      </w:r>
      <w:r w:rsidRPr="00F2232B">
        <w:rPr>
          <w:rFonts w:ascii="Arial" w:hAnsi="Arial" w:cs="Arial"/>
          <w:sz w:val="22"/>
          <w:szCs w:val="22"/>
        </w:rPr>
        <w:t xml:space="preserve"> form is available on the MassHealth Drug List webpage at </w:t>
      </w:r>
      <w:hyperlink r:id="rId14" w:history="1">
        <w:r w:rsidRPr="008B2FB8">
          <w:rPr>
            <w:rStyle w:val="Hyperlink"/>
            <w:rFonts w:ascii="Arial" w:hAnsi="Arial" w:cs="Arial"/>
            <w:sz w:val="22"/>
            <w:szCs w:val="22"/>
          </w:rPr>
          <w:t>www.mass.gov/druglist</w:t>
        </w:r>
      </w:hyperlink>
      <w:r w:rsidRPr="00F2232B">
        <w:rPr>
          <w:rFonts w:ascii="Arial" w:hAnsi="Arial" w:cs="Arial"/>
          <w:sz w:val="22"/>
          <w:szCs w:val="22"/>
        </w:rPr>
        <w:t xml:space="preserve">. </w:t>
      </w:r>
    </w:p>
    <w:p w:rsidR="000C02CD" w:rsidRPr="00F2232B" w:rsidRDefault="000C02CD" w:rsidP="00A61168">
      <w:pPr>
        <w:pStyle w:val="ListParagraph"/>
        <w:ind w:left="-360"/>
        <w:contextualSpacing/>
        <w:rPr>
          <w:rFonts w:ascii="Arial" w:hAnsi="Arial" w:cs="Arial"/>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Will a PA request need to be submitted for each opioid and benzodiazepine medication?</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No. Questions addressed in the </w:t>
      </w:r>
      <w:r w:rsidRPr="008B2FB8">
        <w:rPr>
          <w:rFonts w:ascii="Arial" w:hAnsi="Arial" w:cs="Arial"/>
          <w:i/>
          <w:sz w:val="22"/>
          <w:szCs w:val="22"/>
        </w:rPr>
        <w:t>Benzodiazepines and Other Antianxiety Agents Prior Authorization</w:t>
      </w:r>
      <w:r w:rsidRPr="00F2232B">
        <w:rPr>
          <w:rFonts w:ascii="Arial" w:hAnsi="Arial" w:cs="Arial"/>
          <w:sz w:val="22"/>
          <w:szCs w:val="22"/>
        </w:rPr>
        <w:t xml:space="preserve"> form will allow documentation of the full Opioid and Benzodiazepine regimen, to include name, dose, frequency</w:t>
      </w:r>
      <w:r>
        <w:rPr>
          <w:rFonts w:ascii="Arial" w:hAnsi="Arial" w:cs="Arial"/>
          <w:sz w:val="22"/>
          <w:szCs w:val="22"/>
        </w:rPr>
        <w:t>,</w:t>
      </w:r>
      <w:r w:rsidRPr="00F2232B">
        <w:rPr>
          <w:rFonts w:ascii="Arial" w:hAnsi="Arial" w:cs="Arial"/>
          <w:sz w:val="22"/>
          <w:szCs w:val="22"/>
        </w:rPr>
        <w:t xml:space="preserve"> and indication. Additionally, questions regarding clinical rationale and tapering of agents will also be included.</w:t>
      </w:r>
    </w:p>
    <w:p w:rsidR="00A61168" w:rsidRDefault="00A61168" w:rsidP="00A61168">
      <w:pPr>
        <w:pStyle w:val="ListParagraph"/>
        <w:ind w:left="-360"/>
        <w:contextualSpacing/>
        <w:rPr>
          <w:rFonts w:ascii="Arial" w:hAnsi="Arial" w:cs="Arial"/>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lastRenderedPageBreak/>
        <w:t>Are any resources available to aid prescribers in determining which members will be affected by this initiative?</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The MassHealth Drug Utilization Review (DUR) Program can provide prescribers with a list of members </w:t>
      </w:r>
      <w:r>
        <w:rPr>
          <w:rFonts w:ascii="Arial" w:hAnsi="Arial" w:cs="Arial"/>
          <w:sz w:val="22"/>
          <w:szCs w:val="22"/>
        </w:rPr>
        <w:t xml:space="preserve">(a) </w:t>
      </w:r>
      <w:r w:rsidRPr="00F2232B">
        <w:rPr>
          <w:rFonts w:ascii="Arial" w:hAnsi="Arial" w:cs="Arial"/>
          <w:sz w:val="22"/>
          <w:szCs w:val="22"/>
        </w:rPr>
        <w:t xml:space="preserve">for whom the prescriber has provided treatment and (b) </w:t>
      </w:r>
      <w:r>
        <w:rPr>
          <w:rFonts w:ascii="Arial" w:hAnsi="Arial" w:cs="Arial"/>
          <w:sz w:val="22"/>
          <w:szCs w:val="22"/>
        </w:rPr>
        <w:t xml:space="preserve">who </w:t>
      </w:r>
      <w:r w:rsidRPr="00F2232B">
        <w:rPr>
          <w:rFonts w:ascii="Arial" w:hAnsi="Arial" w:cs="Arial"/>
          <w:sz w:val="22"/>
          <w:szCs w:val="22"/>
        </w:rPr>
        <w:t>may be affected by this initiative. Prescribers may request this list by contacting the DUR program at (800) 745-7318.</w:t>
      </w:r>
    </w:p>
    <w:p w:rsidR="000C02CD" w:rsidRPr="00F2232B" w:rsidRDefault="000C02CD" w:rsidP="00A61168">
      <w:pPr>
        <w:pStyle w:val="ListParagraph"/>
        <w:ind w:left="-360"/>
        <w:contextualSpacing/>
        <w:rPr>
          <w:rFonts w:ascii="Arial" w:hAnsi="Arial" w:cs="Arial"/>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Are there any prescriber restrictions for PA requests for this initiative?</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All prescribers may submit </w:t>
      </w:r>
      <w:r>
        <w:rPr>
          <w:rFonts w:ascii="Arial" w:hAnsi="Arial" w:cs="Arial"/>
          <w:sz w:val="22"/>
          <w:szCs w:val="22"/>
        </w:rPr>
        <w:t xml:space="preserve">PA </w:t>
      </w:r>
      <w:r w:rsidRPr="00F2232B">
        <w:rPr>
          <w:rFonts w:ascii="Arial" w:hAnsi="Arial" w:cs="Arial"/>
          <w:sz w:val="22"/>
          <w:szCs w:val="22"/>
        </w:rPr>
        <w:t>requests on behalf of the member.</w:t>
      </w:r>
    </w:p>
    <w:p w:rsidR="000C02CD" w:rsidRPr="00F2232B" w:rsidRDefault="000C02CD" w:rsidP="00A61168">
      <w:pPr>
        <w:pStyle w:val="ListParagraph"/>
        <w:ind w:left="-360"/>
        <w:contextualSpacing/>
        <w:rPr>
          <w:rFonts w:ascii="Arial" w:hAnsi="Arial" w:cs="Arial"/>
          <w:sz w:val="22"/>
          <w:szCs w:val="22"/>
        </w:rPr>
      </w:pPr>
    </w:p>
    <w:p w:rsidR="000C02CD" w:rsidRPr="000C02CD" w:rsidRDefault="006A0597" w:rsidP="00A61168">
      <w:pPr>
        <w:pStyle w:val="Heading3"/>
        <w:spacing w:before="0"/>
        <w:ind w:left="-360"/>
      </w:pPr>
      <w:r w:rsidRPr="000C02CD">
        <w:rPr>
          <w:rStyle w:val="Strong"/>
          <w:rFonts w:ascii="Arial" w:hAnsi="Arial" w:cs="Arial"/>
          <w:b/>
          <w:color w:val="auto"/>
          <w:sz w:val="22"/>
          <w:szCs w:val="22"/>
        </w:rPr>
        <w:t>Will a PA request be required when a medication changes in the opioid and benzodiazepine regimen?</w:t>
      </w:r>
    </w:p>
    <w:p w:rsidR="006A0597" w:rsidRDefault="006A0597" w:rsidP="00A61168">
      <w:pPr>
        <w:pStyle w:val="ListParagraph"/>
        <w:ind w:left="-360"/>
        <w:contextualSpacing/>
        <w:rPr>
          <w:rFonts w:ascii="Arial" w:hAnsi="Arial" w:cs="Arial"/>
          <w:sz w:val="22"/>
          <w:szCs w:val="22"/>
        </w:rPr>
      </w:pPr>
      <w:r>
        <w:rPr>
          <w:rFonts w:ascii="Arial" w:hAnsi="Arial" w:cs="Arial"/>
          <w:sz w:val="22"/>
          <w:szCs w:val="22"/>
        </w:rPr>
        <w:t>PA</w:t>
      </w:r>
      <w:r w:rsidRPr="00F2232B">
        <w:rPr>
          <w:rFonts w:ascii="Arial" w:hAnsi="Arial" w:cs="Arial"/>
          <w:sz w:val="22"/>
          <w:szCs w:val="22"/>
        </w:rPr>
        <w:t xml:space="preserve"> may be required for members with a change in therapy. Dose changes may require resubmission of </w:t>
      </w:r>
      <w:r>
        <w:rPr>
          <w:rFonts w:ascii="Arial" w:hAnsi="Arial" w:cs="Arial"/>
          <w:sz w:val="22"/>
          <w:szCs w:val="22"/>
        </w:rPr>
        <w:t xml:space="preserve">PA </w:t>
      </w:r>
      <w:r w:rsidRPr="00F2232B">
        <w:rPr>
          <w:rFonts w:ascii="Arial" w:hAnsi="Arial" w:cs="Arial"/>
          <w:sz w:val="22"/>
          <w:szCs w:val="22"/>
        </w:rPr>
        <w:t>in members who also fall under the high dose opioid criteria</w:t>
      </w:r>
      <w:r>
        <w:rPr>
          <w:rFonts w:ascii="Arial" w:hAnsi="Arial" w:cs="Arial"/>
          <w:sz w:val="22"/>
          <w:szCs w:val="22"/>
        </w:rPr>
        <w:t xml:space="preserve"> or </w:t>
      </w:r>
      <w:r w:rsidRPr="00F2232B">
        <w:rPr>
          <w:rFonts w:ascii="Arial" w:hAnsi="Arial" w:cs="Arial"/>
          <w:sz w:val="22"/>
          <w:szCs w:val="22"/>
        </w:rPr>
        <w:t>benzodiazepine polypharmacy criteria</w:t>
      </w:r>
      <w:r>
        <w:rPr>
          <w:rFonts w:ascii="Arial" w:hAnsi="Arial" w:cs="Arial"/>
          <w:sz w:val="22"/>
          <w:szCs w:val="22"/>
        </w:rPr>
        <w:t>,</w:t>
      </w:r>
      <w:r w:rsidRPr="00F2232B">
        <w:rPr>
          <w:rFonts w:ascii="Arial" w:hAnsi="Arial" w:cs="Arial"/>
          <w:sz w:val="22"/>
          <w:szCs w:val="22"/>
        </w:rPr>
        <w:t xml:space="preserve"> or in situations where the medication itself requires </w:t>
      </w:r>
      <w:r>
        <w:rPr>
          <w:rFonts w:ascii="Arial" w:hAnsi="Arial" w:cs="Arial"/>
          <w:sz w:val="22"/>
          <w:szCs w:val="22"/>
        </w:rPr>
        <w:t>PA</w:t>
      </w:r>
      <w:r w:rsidRPr="00F2232B">
        <w:rPr>
          <w:rFonts w:ascii="Arial" w:hAnsi="Arial" w:cs="Arial"/>
          <w:sz w:val="22"/>
          <w:szCs w:val="22"/>
        </w:rPr>
        <w:t>. Prescribers who need to cross</w:t>
      </w:r>
      <w:r>
        <w:rPr>
          <w:rFonts w:ascii="Arial" w:hAnsi="Arial" w:cs="Arial"/>
          <w:sz w:val="22"/>
          <w:szCs w:val="22"/>
        </w:rPr>
        <w:t>-</w:t>
      </w:r>
      <w:r w:rsidRPr="00F2232B">
        <w:rPr>
          <w:rFonts w:ascii="Arial" w:hAnsi="Arial" w:cs="Arial"/>
          <w:sz w:val="22"/>
          <w:szCs w:val="22"/>
        </w:rPr>
        <w:t xml:space="preserve">taper or titrate medications should clearly document the plan so that DUR can facilitate those changes. Prescribers are encouraged to submit </w:t>
      </w:r>
      <w:r>
        <w:rPr>
          <w:rFonts w:ascii="Arial" w:hAnsi="Arial" w:cs="Arial"/>
          <w:sz w:val="22"/>
          <w:szCs w:val="22"/>
        </w:rPr>
        <w:t>PA</w:t>
      </w:r>
      <w:r w:rsidRPr="00F2232B">
        <w:rPr>
          <w:rFonts w:ascii="Arial" w:hAnsi="Arial" w:cs="Arial"/>
          <w:sz w:val="22"/>
          <w:szCs w:val="22"/>
        </w:rPr>
        <w:t xml:space="preserve"> requests </w:t>
      </w:r>
      <w:r>
        <w:rPr>
          <w:rFonts w:ascii="Arial" w:hAnsi="Arial" w:cs="Arial"/>
          <w:sz w:val="22"/>
          <w:szCs w:val="22"/>
        </w:rPr>
        <w:t>before</w:t>
      </w:r>
      <w:r w:rsidRPr="00F2232B">
        <w:rPr>
          <w:rFonts w:ascii="Arial" w:hAnsi="Arial" w:cs="Arial"/>
          <w:sz w:val="22"/>
          <w:szCs w:val="22"/>
        </w:rPr>
        <w:t xml:space="preserve"> implementing medication changes to avoid disruption in therapy.  </w:t>
      </w:r>
    </w:p>
    <w:p w:rsidR="000C02CD" w:rsidRPr="00F2232B" w:rsidRDefault="000C02CD" w:rsidP="00A61168">
      <w:pPr>
        <w:pStyle w:val="ListParagraph"/>
        <w:ind w:left="-360"/>
        <w:contextualSpacing/>
        <w:rPr>
          <w:rFonts w:ascii="Arial" w:hAnsi="Arial" w:cs="Arial"/>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If there is more than one prescriber involved in the medication regimen, which prescriber would be responsible for submitting the PA request on behalf of the member?</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Coordination of care between prescribers is strongly encouraged to ensure safe and effective prescribing practices. Any prescriber involved in the member’s care may submit the </w:t>
      </w:r>
      <w:r>
        <w:rPr>
          <w:rFonts w:ascii="Arial" w:hAnsi="Arial" w:cs="Arial"/>
          <w:sz w:val="22"/>
          <w:szCs w:val="22"/>
        </w:rPr>
        <w:t>PA</w:t>
      </w:r>
      <w:r w:rsidRPr="00F2232B">
        <w:rPr>
          <w:rFonts w:ascii="Arial" w:hAnsi="Arial" w:cs="Arial"/>
          <w:sz w:val="22"/>
          <w:szCs w:val="22"/>
        </w:rPr>
        <w:t xml:space="preserve"> request. The prescriber who submits the </w:t>
      </w:r>
      <w:r>
        <w:rPr>
          <w:rFonts w:ascii="Arial" w:hAnsi="Arial" w:cs="Arial"/>
          <w:sz w:val="22"/>
          <w:szCs w:val="22"/>
        </w:rPr>
        <w:t>PA</w:t>
      </w:r>
      <w:r w:rsidRPr="00F2232B">
        <w:rPr>
          <w:rFonts w:ascii="Arial" w:hAnsi="Arial" w:cs="Arial"/>
          <w:sz w:val="22"/>
          <w:szCs w:val="22"/>
        </w:rPr>
        <w:t xml:space="preserve"> request is encouraged to coordinate with all other prescribers for the member and clearly document the diagnoses and corresponding treatment plan, including all current medications, on the </w:t>
      </w:r>
      <w:r>
        <w:rPr>
          <w:rFonts w:ascii="Arial" w:hAnsi="Arial" w:cs="Arial"/>
          <w:sz w:val="22"/>
          <w:szCs w:val="22"/>
        </w:rPr>
        <w:t>PA</w:t>
      </w:r>
      <w:r w:rsidRPr="00F2232B">
        <w:rPr>
          <w:rFonts w:ascii="Arial" w:hAnsi="Arial" w:cs="Arial"/>
          <w:sz w:val="22"/>
          <w:szCs w:val="22"/>
        </w:rPr>
        <w:t xml:space="preserve"> request.</w:t>
      </w:r>
    </w:p>
    <w:p w:rsidR="000C02CD" w:rsidRPr="00F2232B" w:rsidRDefault="000C02CD" w:rsidP="00A61168">
      <w:pPr>
        <w:pStyle w:val="ListParagraph"/>
        <w:ind w:left="-360"/>
        <w:contextualSpacing/>
        <w:rPr>
          <w:rFonts w:ascii="Arial" w:hAnsi="Arial" w:cs="Arial"/>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Will member care be disrupted if the PA request has not been submitted or processed before the prescription is filled?</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Emergency supplies of medications will be available to avoid disruption in therapy. The prescriber, member, and/or member’s caregiver may request an emergency supply of medication at the member’s pharmacy. Emergency supplies of medications are available for any clinically appropriate duration of therapy, up to 30 days. There is no limit to the number of subsequent emergency supplies of medications, if such supplies are medically necessary.</w:t>
      </w:r>
    </w:p>
    <w:p w:rsidR="000C02CD" w:rsidRPr="00F2232B" w:rsidRDefault="000C02CD" w:rsidP="00A61168">
      <w:pPr>
        <w:pStyle w:val="ListParagraph"/>
        <w:ind w:left="-360"/>
        <w:contextualSpacing/>
        <w:rPr>
          <w:rFonts w:ascii="Arial" w:hAnsi="Arial" w:cs="Arial"/>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What is the approval duration for PA requests submitted under the MassHealth Concomitant Opioid and Benzodiazepine Initiative?</w:t>
      </w:r>
    </w:p>
    <w:p w:rsidR="006A0597"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The duration of a </w:t>
      </w:r>
      <w:r>
        <w:rPr>
          <w:rFonts w:ascii="Arial" w:hAnsi="Arial" w:cs="Arial"/>
          <w:sz w:val="22"/>
          <w:szCs w:val="22"/>
        </w:rPr>
        <w:t>PA</w:t>
      </w:r>
      <w:r w:rsidRPr="00F2232B">
        <w:rPr>
          <w:rFonts w:ascii="Arial" w:hAnsi="Arial" w:cs="Arial"/>
          <w:sz w:val="22"/>
          <w:szCs w:val="22"/>
        </w:rPr>
        <w:t xml:space="preserve"> approval and of a recertification may be up to 12 months, depending on the clinical situation.</w:t>
      </w:r>
    </w:p>
    <w:p w:rsidR="000C02CD" w:rsidRPr="000C02CD" w:rsidRDefault="000C02CD" w:rsidP="00A61168">
      <w:pPr>
        <w:pStyle w:val="ListParagraph"/>
        <w:ind w:left="-360"/>
        <w:contextualSpacing/>
        <w:rPr>
          <w:rFonts w:ascii="Arial" w:hAnsi="Arial" w:cs="Arial"/>
          <w:b/>
          <w:sz w:val="22"/>
          <w:szCs w:val="22"/>
        </w:rPr>
      </w:pPr>
    </w:p>
    <w:p w:rsidR="006A0597" w:rsidRPr="000C02CD" w:rsidRDefault="006A0597" w:rsidP="00A61168">
      <w:pPr>
        <w:pStyle w:val="Heading3"/>
        <w:spacing w:before="0"/>
        <w:ind w:left="-360"/>
        <w:rPr>
          <w:rFonts w:ascii="Arial" w:hAnsi="Arial" w:cs="Arial"/>
          <w:b w:val="0"/>
          <w:color w:val="auto"/>
          <w:sz w:val="22"/>
          <w:szCs w:val="22"/>
        </w:rPr>
      </w:pPr>
      <w:r w:rsidRPr="000C02CD">
        <w:rPr>
          <w:rStyle w:val="Strong"/>
          <w:rFonts w:ascii="Arial" w:hAnsi="Arial" w:cs="Arial"/>
          <w:b/>
          <w:color w:val="auto"/>
          <w:sz w:val="22"/>
          <w:szCs w:val="22"/>
        </w:rPr>
        <w:t>What is a provisional PA approval?</w:t>
      </w:r>
    </w:p>
    <w:p w:rsidR="000F3108" w:rsidRDefault="006A0597" w:rsidP="00A61168">
      <w:pPr>
        <w:pStyle w:val="ListParagraph"/>
        <w:ind w:left="-360"/>
        <w:contextualSpacing/>
        <w:rPr>
          <w:rFonts w:ascii="Arial" w:hAnsi="Arial" w:cs="Arial"/>
          <w:sz w:val="22"/>
          <w:szCs w:val="22"/>
        </w:rPr>
      </w:pPr>
      <w:r w:rsidRPr="00F2232B">
        <w:rPr>
          <w:rFonts w:ascii="Arial" w:hAnsi="Arial" w:cs="Arial"/>
          <w:sz w:val="22"/>
          <w:szCs w:val="22"/>
        </w:rPr>
        <w:t xml:space="preserve">A </w:t>
      </w:r>
      <w:r>
        <w:rPr>
          <w:rFonts w:ascii="Arial" w:hAnsi="Arial" w:cs="Arial"/>
          <w:sz w:val="22"/>
          <w:szCs w:val="22"/>
        </w:rPr>
        <w:t>PA</w:t>
      </w:r>
      <w:r w:rsidRPr="00F2232B">
        <w:rPr>
          <w:rFonts w:ascii="Arial" w:hAnsi="Arial" w:cs="Arial"/>
          <w:sz w:val="22"/>
          <w:szCs w:val="22"/>
        </w:rPr>
        <w:t xml:space="preserve"> request may be approved provisionally for a duration of up to </w:t>
      </w:r>
      <w:r>
        <w:rPr>
          <w:rFonts w:ascii="Arial" w:hAnsi="Arial" w:cs="Arial"/>
          <w:sz w:val="22"/>
          <w:szCs w:val="22"/>
        </w:rPr>
        <w:t>six</w:t>
      </w:r>
      <w:r w:rsidRPr="00F2232B">
        <w:rPr>
          <w:rFonts w:ascii="Arial" w:hAnsi="Arial" w:cs="Arial"/>
          <w:sz w:val="22"/>
          <w:szCs w:val="22"/>
        </w:rPr>
        <w:t xml:space="preserve"> months depending on the clinical situation. </w:t>
      </w:r>
      <w:r>
        <w:rPr>
          <w:rFonts w:ascii="Arial" w:hAnsi="Arial" w:cs="Arial"/>
          <w:sz w:val="22"/>
          <w:szCs w:val="22"/>
        </w:rPr>
        <w:t>PA</w:t>
      </w:r>
      <w:r w:rsidRPr="00F2232B">
        <w:rPr>
          <w:rFonts w:ascii="Arial" w:hAnsi="Arial" w:cs="Arial"/>
          <w:sz w:val="22"/>
          <w:szCs w:val="22"/>
        </w:rPr>
        <w:t xml:space="preserve"> requests may be approved provisionally to avoid disruption in therapy when clinical documentation is required from a prescriber or during a documented taper plan. In circumstances where additional clinical documentation is required, prescribers will be notified via fax and/or telephone.</w:t>
      </w:r>
    </w:p>
    <w:p w:rsidR="000F3108" w:rsidRDefault="000F3108" w:rsidP="00A61168">
      <w:pPr>
        <w:spacing w:after="200" w:line="276" w:lineRule="auto"/>
        <w:ind w:left="-360"/>
        <w:rPr>
          <w:rFonts w:ascii="Arial" w:hAnsi="Arial" w:cs="Arial"/>
          <w:sz w:val="22"/>
          <w:szCs w:val="22"/>
        </w:rPr>
      </w:pPr>
      <w:r>
        <w:rPr>
          <w:rFonts w:ascii="Arial" w:hAnsi="Arial" w:cs="Arial"/>
          <w:sz w:val="22"/>
          <w:szCs w:val="22"/>
        </w:rPr>
        <w:br w:type="page"/>
      </w:r>
    </w:p>
    <w:p w:rsidR="006A0597" w:rsidRPr="000C02CD" w:rsidRDefault="006A0597" w:rsidP="00A61168">
      <w:pPr>
        <w:pStyle w:val="Heading3"/>
        <w:spacing w:before="0"/>
        <w:ind w:left="180" w:hanging="540"/>
        <w:rPr>
          <w:rFonts w:ascii="Arial" w:hAnsi="Arial" w:cs="Arial"/>
          <w:b w:val="0"/>
          <w:color w:val="auto"/>
          <w:sz w:val="22"/>
          <w:szCs w:val="22"/>
        </w:rPr>
      </w:pPr>
      <w:r w:rsidRPr="000C02CD">
        <w:rPr>
          <w:rStyle w:val="Strong"/>
          <w:rFonts w:ascii="Arial" w:hAnsi="Arial" w:cs="Arial"/>
          <w:b/>
          <w:color w:val="auto"/>
          <w:sz w:val="22"/>
          <w:szCs w:val="22"/>
        </w:rPr>
        <w:lastRenderedPageBreak/>
        <w:t>Who can answer additional questions?</w:t>
      </w:r>
    </w:p>
    <w:p w:rsidR="006A0597" w:rsidRPr="00F2232B" w:rsidRDefault="006A0597" w:rsidP="00A61168">
      <w:pPr>
        <w:pStyle w:val="ListParagraph"/>
        <w:ind w:left="180" w:hanging="540"/>
        <w:contextualSpacing/>
        <w:rPr>
          <w:rFonts w:ascii="Arial" w:hAnsi="Arial" w:cs="Arial"/>
          <w:i/>
          <w:sz w:val="22"/>
          <w:szCs w:val="22"/>
        </w:rPr>
      </w:pPr>
      <w:r w:rsidRPr="00F2232B">
        <w:rPr>
          <w:rFonts w:ascii="Arial" w:hAnsi="Arial" w:cs="Arial"/>
          <w:i/>
          <w:sz w:val="22"/>
          <w:szCs w:val="22"/>
        </w:rPr>
        <w:t>For Pharmacists and Prescribers</w:t>
      </w:r>
    </w:p>
    <w:p w:rsidR="000953E4" w:rsidRDefault="006A0597" w:rsidP="00A61168">
      <w:pPr>
        <w:pStyle w:val="ListParagraph"/>
        <w:ind w:left="-360"/>
        <w:rPr>
          <w:rFonts w:ascii="Arial" w:hAnsi="Arial" w:cs="Arial"/>
          <w:sz w:val="22"/>
          <w:szCs w:val="22"/>
        </w:rPr>
      </w:pPr>
      <w:r w:rsidRPr="00F2232B">
        <w:rPr>
          <w:rFonts w:ascii="Arial" w:hAnsi="Arial" w:cs="Arial"/>
          <w:sz w:val="22"/>
          <w:szCs w:val="22"/>
        </w:rPr>
        <w:t xml:space="preserve">If you have questions about a specific patient or claim affected by the MassHealth Concomitant Opioid and Benzodiazepine Initiative, please contact the Drug Utilization Review Program at </w:t>
      </w:r>
    </w:p>
    <w:p w:rsidR="006A0597" w:rsidRPr="00F2232B" w:rsidRDefault="006A0597" w:rsidP="00A61168">
      <w:pPr>
        <w:pStyle w:val="ListParagraph"/>
        <w:ind w:left="-360"/>
        <w:rPr>
          <w:rFonts w:ascii="Arial" w:hAnsi="Arial" w:cs="Arial"/>
          <w:sz w:val="22"/>
          <w:szCs w:val="22"/>
        </w:rPr>
      </w:pPr>
      <w:r w:rsidRPr="00F2232B">
        <w:rPr>
          <w:rFonts w:ascii="Arial" w:hAnsi="Arial" w:cs="Arial"/>
          <w:sz w:val="22"/>
          <w:szCs w:val="22"/>
        </w:rPr>
        <w:t>(800) 745-7318.</w:t>
      </w:r>
    </w:p>
    <w:p w:rsidR="006A0597" w:rsidRPr="00F2232B" w:rsidRDefault="006A0597" w:rsidP="00A61168">
      <w:pPr>
        <w:pStyle w:val="ListParagraph"/>
        <w:ind w:left="180" w:hanging="540"/>
        <w:contextualSpacing/>
        <w:rPr>
          <w:rFonts w:ascii="Arial" w:hAnsi="Arial" w:cs="Arial"/>
          <w:i/>
          <w:sz w:val="22"/>
          <w:szCs w:val="22"/>
        </w:rPr>
      </w:pPr>
      <w:r w:rsidRPr="00F2232B">
        <w:rPr>
          <w:rFonts w:ascii="Arial" w:hAnsi="Arial" w:cs="Arial"/>
          <w:i/>
          <w:sz w:val="22"/>
          <w:szCs w:val="22"/>
        </w:rPr>
        <w:t>For MassHealth Members</w:t>
      </w:r>
    </w:p>
    <w:p w:rsidR="006A0597" w:rsidRPr="00F2232B" w:rsidRDefault="006A0597" w:rsidP="00A61168">
      <w:pPr>
        <w:pStyle w:val="ListParagraph"/>
        <w:ind w:left="-360"/>
        <w:contextualSpacing/>
        <w:rPr>
          <w:rFonts w:ascii="Arial" w:hAnsi="Arial" w:cs="Arial"/>
          <w:sz w:val="22"/>
          <w:szCs w:val="22"/>
        </w:rPr>
      </w:pPr>
      <w:r w:rsidRPr="00F2232B">
        <w:rPr>
          <w:rFonts w:ascii="Arial" w:hAnsi="Arial" w:cs="Arial"/>
          <w:sz w:val="22"/>
          <w:szCs w:val="22"/>
        </w:rPr>
        <w:t>If you have questions about the MassHealth Concomitant Opioid and Benzodiazepine Initiative, please call MassHealth Customer Service at (800) 841-2900 (TTY: (800) 497-4648).</w:t>
      </w:r>
    </w:p>
    <w:p w:rsidR="006A0597" w:rsidRPr="008B2FB8" w:rsidRDefault="006A0597" w:rsidP="00A61168">
      <w:pPr>
        <w:pStyle w:val="Default"/>
        <w:ind w:hanging="540"/>
        <w:rPr>
          <w:rFonts w:ascii="Arial" w:hAnsi="Arial" w:cs="Arial"/>
          <w:color w:val="auto"/>
          <w:sz w:val="22"/>
          <w:szCs w:val="22"/>
        </w:rPr>
      </w:pPr>
    </w:p>
    <w:p w:rsidR="006A0597" w:rsidRPr="00F2232B" w:rsidRDefault="006A0597" w:rsidP="00A61168">
      <w:pPr>
        <w:tabs>
          <w:tab w:val="left" w:pos="1606"/>
        </w:tabs>
        <w:ind w:hanging="540"/>
        <w:rPr>
          <w:rFonts w:ascii="Arial" w:hAnsi="Arial" w:cs="Arial"/>
        </w:rPr>
      </w:pPr>
    </w:p>
    <w:p w:rsidR="006A0597" w:rsidRPr="00F2232B" w:rsidRDefault="006A0597" w:rsidP="00A61168">
      <w:pPr>
        <w:tabs>
          <w:tab w:val="left" w:pos="1606"/>
        </w:tabs>
        <w:ind w:hanging="540"/>
      </w:pPr>
    </w:p>
    <w:p w:rsidR="006A0597" w:rsidRPr="008B2FB8" w:rsidRDefault="006A0597" w:rsidP="006A0597">
      <w:pPr>
        <w:pStyle w:val="Default"/>
        <w:spacing w:line="276" w:lineRule="auto"/>
        <w:ind w:left="1080"/>
        <w:rPr>
          <w:rFonts w:ascii="Arial" w:hAnsi="Arial" w:cs="Arial"/>
          <w:color w:val="auto"/>
          <w:sz w:val="22"/>
          <w:szCs w:val="22"/>
        </w:rPr>
      </w:pPr>
    </w:p>
    <w:sectPr w:rsidR="006A0597" w:rsidRPr="008B2FB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E36" w:rsidRDefault="00893E36" w:rsidP="00893E36">
      <w:r>
        <w:separator/>
      </w:r>
    </w:p>
  </w:endnote>
  <w:endnote w:type="continuationSeparator" w:id="0">
    <w:p w:rsidR="00893E36" w:rsidRDefault="00893E36" w:rsidP="0089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345D7C"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BE" w:rsidRPr="005C7622" w:rsidRDefault="003661BE" w:rsidP="003661BE">
    <w:pPr>
      <w:tabs>
        <w:tab w:val="left" w:pos="-90"/>
      </w:tabs>
      <w:autoSpaceDE w:val="0"/>
      <w:autoSpaceDN w:val="0"/>
      <w:adjustRightInd w:val="0"/>
      <w:jc w:val="center"/>
      <w:textAlignment w:val="baseline"/>
      <w:rPr>
        <w:rFonts w:ascii="Arial" w:hAnsi="Arial" w:cs="Arial"/>
        <w:iCs/>
        <w:sz w:val="18"/>
        <w:szCs w:val="18"/>
      </w:rPr>
    </w:pPr>
    <w:r w:rsidRPr="005C7622">
      <w:rPr>
        <w:rFonts w:ascii="Arial" w:hAnsi="Arial" w:cs="Arial"/>
        <w:iCs/>
        <w:sz w:val="18"/>
        <w:szCs w:val="18"/>
      </w:rPr>
      <w:t xml:space="preserve">If you have questions or comments, or want to be removed from this fax distribution, </w:t>
    </w:r>
  </w:p>
  <w:p w:rsidR="003661BE" w:rsidRPr="00E24139" w:rsidRDefault="003661BE" w:rsidP="003661BE">
    <w:pPr>
      <w:tabs>
        <w:tab w:val="left" w:pos="-90"/>
      </w:tabs>
      <w:autoSpaceDE w:val="0"/>
      <w:autoSpaceDN w:val="0"/>
      <w:adjustRightInd w:val="0"/>
      <w:jc w:val="center"/>
      <w:textAlignment w:val="baseline"/>
    </w:pPr>
    <w:r w:rsidRPr="005C7622">
      <w:rPr>
        <w:rFonts w:ascii="Arial" w:hAnsi="Arial" w:cs="Arial"/>
        <w:iCs/>
        <w:sz w:val="18"/>
        <w:szCs w:val="18"/>
      </w:rPr>
      <w:t>please contact Josel Fernandes at (617) 423-9842.</w:t>
    </w:r>
  </w:p>
  <w:p w:rsidR="000F3108" w:rsidRDefault="000F3108" w:rsidP="006D3B5F">
    <w:pPr>
      <w:pStyle w:val="Footer"/>
      <w:pBdr>
        <w:top w:val="single" w:sz="18" w:space="1" w:color="auto"/>
      </w:pBdr>
      <w:tabs>
        <w:tab w:val="clear" w:pos="4680"/>
        <w:tab w:val="clear" w:pos="9360"/>
        <w:tab w:val="left" w:pos="3840"/>
      </w:tabs>
      <w:spacing w:before="1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E36" w:rsidRDefault="00893E36" w:rsidP="00893E36">
      <w:r>
        <w:separator/>
      </w:r>
    </w:p>
  </w:footnote>
  <w:footnote w:type="continuationSeparator" w:id="0">
    <w:p w:rsidR="00893E36" w:rsidRDefault="00893E36" w:rsidP="00893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F4" w:rsidRDefault="008308F4" w:rsidP="00A61168">
    <w:pPr>
      <w:pStyle w:val="Default"/>
      <w:pBdr>
        <w:bottom w:val="single" w:sz="18" w:space="1" w:color="auto"/>
      </w:pBdr>
      <w:tabs>
        <w:tab w:val="left" w:pos="7920"/>
        <w:tab w:val="left" w:pos="9300"/>
        <w:tab w:val="right" w:pos="10440"/>
      </w:tabs>
      <w:spacing w:after="240"/>
      <w:ind w:left="-360"/>
      <w:rPr>
        <w:color w:val="FF0000"/>
        <w:sz w:val="18"/>
        <w:szCs w:val="18"/>
      </w:rPr>
    </w:pPr>
    <w:r>
      <w:rPr>
        <w:sz w:val="18"/>
        <w:szCs w:val="18"/>
      </w:rPr>
      <w:t xml:space="preserve">Pharmacy Facts, Number </w:t>
    </w:r>
    <w:r>
      <w:rPr>
        <w:color w:val="FF0000"/>
        <w:sz w:val="18"/>
        <w:szCs w:val="18"/>
      </w:rPr>
      <w:t>136</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sidR="00905B04">
      <w:rPr>
        <w:noProof/>
        <w:color w:val="auto"/>
        <w:sz w:val="18"/>
        <w:szCs w:val="18"/>
      </w:rPr>
      <w:t>5</w:t>
    </w:r>
    <w:r w:rsidRPr="00EC1948">
      <w:rPr>
        <w:noProof/>
        <w:color w:val="auto"/>
        <w:sz w:val="18"/>
        <w:szCs w:val="18"/>
      </w:rPr>
      <w:fldChar w:fldCharType="end"/>
    </w:r>
    <w:r w:rsidRPr="00EC1948">
      <w:rPr>
        <w:noProof/>
        <w:color w:val="auto"/>
        <w:sz w:val="18"/>
        <w:szCs w:val="18"/>
      </w:rPr>
      <w:t xml:space="preserve"> of </w:t>
    </w:r>
    <w:r w:rsidR="00995CDA">
      <w:rPr>
        <w:noProof/>
        <w:color w:val="auto"/>
        <w:sz w:val="18"/>
        <w:szCs w:val="1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819ED"/>
    <w:multiLevelType w:val="hybridMultilevel"/>
    <w:tmpl w:val="6A1E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8255C"/>
    <w:multiLevelType w:val="hybridMultilevel"/>
    <w:tmpl w:val="72DA9B56"/>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F16A17"/>
    <w:multiLevelType w:val="hybridMultilevel"/>
    <w:tmpl w:val="686C8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73F00AA1"/>
    <w:multiLevelType w:val="hybridMultilevel"/>
    <w:tmpl w:val="D95A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21177"/>
    <w:multiLevelType w:val="hybridMultilevel"/>
    <w:tmpl w:val="85D4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36"/>
    <w:rsid w:val="000953E4"/>
    <w:rsid w:val="000C02CD"/>
    <w:rsid w:val="000F3108"/>
    <w:rsid w:val="00113AED"/>
    <w:rsid w:val="001C3A0E"/>
    <w:rsid w:val="00292B6F"/>
    <w:rsid w:val="00345D7C"/>
    <w:rsid w:val="003661BE"/>
    <w:rsid w:val="0042573A"/>
    <w:rsid w:val="00433E9C"/>
    <w:rsid w:val="00540896"/>
    <w:rsid w:val="005B16D3"/>
    <w:rsid w:val="006A0597"/>
    <w:rsid w:val="006B38EA"/>
    <w:rsid w:val="006E556C"/>
    <w:rsid w:val="006E69FF"/>
    <w:rsid w:val="006F2176"/>
    <w:rsid w:val="00753C96"/>
    <w:rsid w:val="007B45B7"/>
    <w:rsid w:val="008308F4"/>
    <w:rsid w:val="00893E36"/>
    <w:rsid w:val="008D62C0"/>
    <w:rsid w:val="008E0CD8"/>
    <w:rsid w:val="009046E2"/>
    <w:rsid w:val="00905B04"/>
    <w:rsid w:val="00956886"/>
    <w:rsid w:val="00995CDA"/>
    <w:rsid w:val="00A24B94"/>
    <w:rsid w:val="00A61168"/>
    <w:rsid w:val="00AE7FFD"/>
    <w:rsid w:val="00C41371"/>
    <w:rsid w:val="00D31272"/>
    <w:rsid w:val="00DC5766"/>
    <w:rsid w:val="00DC67A0"/>
    <w:rsid w:val="00DE1CBC"/>
    <w:rsid w:val="00ED1D6D"/>
    <w:rsid w:val="00F9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36"/>
    <w:pPr>
      <w:spacing w:after="0" w:line="240" w:lineRule="auto"/>
    </w:pPr>
    <w:rPr>
      <w:rFonts w:eastAsia="Times New Roman"/>
      <w:sz w:val="24"/>
      <w:szCs w:val="24"/>
    </w:rPr>
  </w:style>
  <w:style w:type="paragraph" w:styleId="Heading1">
    <w:name w:val="heading 1"/>
    <w:basedOn w:val="Normal"/>
    <w:next w:val="Normal"/>
    <w:link w:val="Heading1Char"/>
    <w:qFormat/>
    <w:rsid w:val="006A0597"/>
    <w:pPr>
      <w:keepNext/>
      <w:jc w:val="center"/>
      <w:outlineLvl w:val="0"/>
    </w:pPr>
    <w:rPr>
      <w:rFonts w:ascii="Tahoma" w:hAnsi="Tahoma" w:cs="Tahoma"/>
      <w:b/>
      <w:bCs/>
      <w:sz w:val="32"/>
    </w:rPr>
  </w:style>
  <w:style w:type="paragraph" w:styleId="Heading3">
    <w:name w:val="heading 3"/>
    <w:basedOn w:val="Normal"/>
    <w:next w:val="Normal"/>
    <w:link w:val="Heading3Char"/>
    <w:unhideWhenUsed/>
    <w:qFormat/>
    <w:rsid w:val="006A05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93E36"/>
    <w:pPr>
      <w:autoSpaceDE w:val="0"/>
      <w:autoSpaceDN w:val="0"/>
      <w:adjustRightInd w:val="0"/>
      <w:spacing w:after="0" w:line="288" w:lineRule="auto"/>
      <w:textAlignment w:val="center"/>
    </w:pPr>
    <w:rPr>
      <w:rFonts w:eastAsia="Times New Roman"/>
      <w:color w:val="000000"/>
      <w:sz w:val="24"/>
      <w:szCs w:val="24"/>
    </w:rPr>
  </w:style>
  <w:style w:type="paragraph" w:styleId="Footer">
    <w:name w:val="footer"/>
    <w:basedOn w:val="Normal"/>
    <w:link w:val="FooterChar"/>
    <w:uiPriority w:val="99"/>
    <w:rsid w:val="00893E36"/>
    <w:pPr>
      <w:tabs>
        <w:tab w:val="center" w:pos="4680"/>
        <w:tab w:val="right" w:pos="9360"/>
      </w:tabs>
    </w:pPr>
  </w:style>
  <w:style w:type="character" w:customStyle="1" w:styleId="FooterChar">
    <w:name w:val="Footer Char"/>
    <w:basedOn w:val="DefaultParagraphFont"/>
    <w:link w:val="Footer"/>
    <w:uiPriority w:val="99"/>
    <w:rsid w:val="00893E36"/>
    <w:rPr>
      <w:rFonts w:eastAsia="Times New Roman"/>
      <w:sz w:val="24"/>
      <w:szCs w:val="24"/>
    </w:rPr>
  </w:style>
  <w:style w:type="paragraph" w:styleId="BalloonText">
    <w:name w:val="Balloon Text"/>
    <w:basedOn w:val="Normal"/>
    <w:link w:val="BalloonTextChar"/>
    <w:semiHidden/>
    <w:unhideWhenUsed/>
    <w:rsid w:val="00893E36"/>
    <w:rPr>
      <w:rFonts w:ascii="Tahoma" w:hAnsi="Tahoma" w:cs="Tahoma"/>
      <w:sz w:val="16"/>
      <w:szCs w:val="16"/>
    </w:rPr>
  </w:style>
  <w:style w:type="character" w:customStyle="1" w:styleId="BalloonTextChar">
    <w:name w:val="Balloon Text Char"/>
    <w:basedOn w:val="DefaultParagraphFont"/>
    <w:link w:val="BalloonText"/>
    <w:uiPriority w:val="99"/>
    <w:semiHidden/>
    <w:rsid w:val="00893E36"/>
    <w:rPr>
      <w:rFonts w:ascii="Tahoma" w:eastAsia="Times New Roman" w:hAnsi="Tahoma" w:cs="Tahoma"/>
      <w:sz w:val="16"/>
      <w:szCs w:val="16"/>
    </w:rPr>
  </w:style>
  <w:style w:type="paragraph" w:customStyle="1" w:styleId="Default">
    <w:name w:val="Default"/>
    <w:rsid w:val="00893E36"/>
    <w:pPr>
      <w:autoSpaceDE w:val="0"/>
      <w:autoSpaceDN w:val="0"/>
      <w:adjustRightInd w:val="0"/>
      <w:spacing w:after="0" w:line="240" w:lineRule="auto"/>
    </w:pPr>
    <w:rPr>
      <w:rFonts w:ascii="Arial Black" w:eastAsia="Times New Roman" w:hAnsi="Arial Black" w:cs="Arial Black"/>
      <w:color w:val="000000"/>
      <w:sz w:val="24"/>
      <w:szCs w:val="24"/>
    </w:rPr>
  </w:style>
  <w:style w:type="paragraph" w:styleId="Header">
    <w:name w:val="header"/>
    <w:basedOn w:val="Normal"/>
    <w:link w:val="HeaderChar"/>
    <w:uiPriority w:val="99"/>
    <w:unhideWhenUsed/>
    <w:rsid w:val="00893E36"/>
    <w:pPr>
      <w:tabs>
        <w:tab w:val="center" w:pos="4680"/>
        <w:tab w:val="right" w:pos="9360"/>
      </w:tabs>
    </w:pPr>
  </w:style>
  <w:style w:type="character" w:customStyle="1" w:styleId="HeaderChar">
    <w:name w:val="Header Char"/>
    <w:basedOn w:val="DefaultParagraphFont"/>
    <w:link w:val="Header"/>
    <w:uiPriority w:val="99"/>
    <w:rsid w:val="00893E36"/>
    <w:rPr>
      <w:rFonts w:eastAsia="Times New Roman"/>
      <w:sz w:val="24"/>
      <w:szCs w:val="24"/>
    </w:rPr>
  </w:style>
  <w:style w:type="paragraph" w:styleId="BodyText">
    <w:name w:val="Body Text"/>
    <w:basedOn w:val="Normal"/>
    <w:link w:val="BodyTextChar"/>
    <w:rsid w:val="006A0597"/>
    <w:pPr>
      <w:spacing w:after="120"/>
    </w:pPr>
  </w:style>
  <w:style w:type="character" w:customStyle="1" w:styleId="BodyTextChar">
    <w:name w:val="Body Text Char"/>
    <w:basedOn w:val="DefaultParagraphFont"/>
    <w:link w:val="BodyText"/>
    <w:rsid w:val="006A0597"/>
    <w:rPr>
      <w:rFonts w:eastAsia="Times New Roman"/>
      <w:sz w:val="24"/>
      <w:szCs w:val="24"/>
    </w:rPr>
  </w:style>
  <w:style w:type="character" w:customStyle="1" w:styleId="Heading1Char">
    <w:name w:val="Heading 1 Char"/>
    <w:basedOn w:val="DefaultParagraphFont"/>
    <w:link w:val="Heading1"/>
    <w:rsid w:val="006A0597"/>
    <w:rPr>
      <w:rFonts w:ascii="Tahoma" w:eastAsia="Times New Roman" w:hAnsi="Tahoma" w:cs="Tahoma"/>
      <w:b/>
      <w:bCs/>
      <w:sz w:val="32"/>
      <w:szCs w:val="24"/>
    </w:rPr>
  </w:style>
  <w:style w:type="character" w:customStyle="1" w:styleId="NoSpacingChar">
    <w:name w:val="No Spacing Char"/>
    <w:link w:val="NoSpacing"/>
    <w:uiPriority w:val="1"/>
    <w:locked/>
    <w:rsid w:val="006A0597"/>
  </w:style>
  <w:style w:type="paragraph" w:styleId="NoSpacing">
    <w:name w:val="No Spacing"/>
    <w:basedOn w:val="Normal"/>
    <w:link w:val="NoSpacingChar"/>
    <w:uiPriority w:val="1"/>
    <w:qFormat/>
    <w:rsid w:val="006A0597"/>
    <w:rPr>
      <w:rFonts w:eastAsiaTheme="minorHAnsi"/>
      <w:sz w:val="22"/>
      <w:szCs w:val="22"/>
    </w:rPr>
  </w:style>
  <w:style w:type="character" w:customStyle="1" w:styleId="Heading3Char">
    <w:name w:val="Heading 3 Char"/>
    <w:basedOn w:val="DefaultParagraphFont"/>
    <w:link w:val="Heading3"/>
    <w:rsid w:val="006A0597"/>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6A0597"/>
    <w:pPr>
      <w:ind w:left="720"/>
    </w:pPr>
  </w:style>
  <w:style w:type="character" w:styleId="Hyperlink">
    <w:name w:val="Hyperlink"/>
    <w:rsid w:val="006A0597"/>
    <w:rPr>
      <w:color w:val="0000FF"/>
      <w:u w:val="single"/>
    </w:rPr>
  </w:style>
  <w:style w:type="character" w:styleId="Strong">
    <w:name w:val="Strong"/>
    <w:uiPriority w:val="22"/>
    <w:qFormat/>
    <w:rsid w:val="006A0597"/>
    <w:rPr>
      <w:b/>
      <w:bCs/>
    </w:rPr>
  </w:style>
  <w:style w:type="character" w:styleId="FollowedHyperlink">
    <w:name w:val="FollowedHyperlink"/>
    <w:basedOn w:val="DefaultParagraphFont"/>
    <w:uiPriority w:val="99"/>
    <w:semiHidden/>
    <w:unhideWhenUsed/>
    <w:rsid w:val="006E55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36"/>
    <w:pPr>
      <w:spacing w:after="0" w:line="240" w:lineRule="auto"/>
    </w:pPr>
    <w:rPr>
      <w:rFonts w:eastAsia="Times New Roman"/>
      <w:sz w:val="24"/>
      <w:szCs w:val="24"/>
    </w:rPr>
  </w:style>
  <w:style w:type="paragraph" w:styleId="Heading1">
    <w:name w:val="heading 1"/>
    <w:basedOn w:val="Normal"/>
    <w:next w:val="Normal"/>
    <w:link w:val="Heading1Char"/>
    <w:qFormat/>
    <w:rsid w:val="006A0597"/>
    <w:pPr>
      <w:keepNext/>
      <w:jc w:val="center"/>
      <w:outlineLvl w:val="0"/>
    </w:pPr>
    <w:rPr>
      <w:rFonts w:ascii="Tahoma" w:hAnsi="Tahoma" w:cs="Tahoma"/>
      <w:b/>
      <w:bCs/>
      <w:sz w:val="32"/>
    </w:rPr>
  </w:style>
  <w:style w:type="paragraph" w:styleId="Heading3">
    <w:name w:val="heading 3"/>
    <w:basedOn w:val="Normal"/>
    <w:next w:val="Normal"/>
    <w:link w:val="Heading3Char"/>
    <w:unhideWhenUsed/>
    <w:qFormat/>
    <w:rsid w:val="006A05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93E36"/>
    <w:pPr>
      <w:autoSpaceDE w:val="0"/>
      <w:autoSpaceDN w:val="0"/>
      <w:adjustRightInd w:val="0"/>
      <w:spacing w:after="0" w:line="288" w:lineRule="auto"/>
      <w:textAlignment w:val="center"/>
    </w:pPr>
    <w:rPr>
      <w:rFonts w:eastAsia="Times New Roman"/>
      <w:color w:val="000000"/>
      <w:sz w:val="24"/>
      <w:szCs w:val="24"/>
    </w:rPr>
  </w:style>
  <w:style w:type="paragraph" w:styleId="Footer">
    <w:name w:val="footer"/>
    <w:basedOn w:val="Normal"/>
    <w:link w:val="FooterChar"/>
    <w:uiPriority w:val="99"/>
    <w:rsid w:val="00893E36"/>
    <w:pPr>
      <w:tabs>
        <w:tab w:val="center" w:pos="4680"/>
        <w:tab w:val="right" w:pos="9360"/>
      </w:tabs>
    </w:pPr>
  </w:style>
  <w:style w:type="character" w:customStyle="1" w:styleId="FooterChar">
    <w:name w:val="Footer Char"/>
    <w:basedOn w:val="DefaultParagraphFont"/>
    <w:link w:val="Footer"/>
    <w:uiPriority w:val="99"/>
    <w:rsid w:val="00893E36"/>
    <w:rPr>
      <w:rFonts w:eastAsia="Times New Roman"/>
      <w:sz w:val="24"/>
      <w:szCs w:val="24"/>
    </w:rPr>
  </w:style>
  <w:style w:type="paragraph" w:styleId="BalloonText">
    <w:name w:val="Balloon Text"/>
    <w:basedOn w:val="Normal"/>
    <w:link w:val="BalloonTextChar"/>
    <w:semiHidden/>
    <w:unhideWhenUsed/>
    <w:rsid w:val="00893E36"/>
    <w:rPr>
      <w:rFonts w:ascii="Tahoma" w:hAnsi="Tahoma" w:cs="Tahoma"/>
      <w:sz w:val="16"/>
      <w:szCs w:val="16"/>
    </w:rPr>
  </w:style>
  <w:style w:type="character" w:customStyle="1" w:styleId="BalloonTextChar">
    <w:name w:val="Balloon Text Char"/>
    <w:basedOn w:val="DefaultParagraphFont"/>
    <w:link w:val="BalloonText"/>
    <w:uiPriority w:val="99"/>
    <w:semiHidden/>
    <w:rsid w:val="00893E36"/>
    <w:rPr>
      <w:rFonts w:ascii="Tahoma" w:eastAsia="Times New Roman" w:hAnsi="Tahoma" w:cs="Tahoma"/>
      <w:sz w:val="16"/>
      <w:szCs w:val="16"/>
    </w:rPr>
  </w:style>
  <w:style w:type="paragraph" w:customStyle="1" w:styleId="Default">
    <w:name w:val="Default"/>
    <w:rsid w:val="00893E36"/>
    <w:pPr>
      <w:autoSpaceDE w:val="0"/>
      <w:autoSpaceDN w:val="0"/>
      <w:adjustRightInd w:val="0"/>
      <w:spacing w:after="0" w:line="240" w:lineRule="auto"/>
    </w:pPr>
    <w:rPr>
      <w:rFonts w:ascii="Arial Black" w:eastAsia="Times New Roman" w:hAnsi="Arial Black" w:cs="Arial Black"/>
      <w:color w:val="000000"/>
      <w:sz w:val="24"/>
      <w:szCs w:val="24"/>
    </w:rPr>
  </w:style>
  <w:style w:type="paragraph" w:styleId="Header">
    <w:name w:val="header"/>
    <w:basedOn w:val="Normal"/>
    <w:link w:val="HeaderChar"/>
    <w:uiPriority w:val="99"/>
    <w:unhideWhenUsed/>
    <w:rsid w:val="00893E36"/>
    <w:pPr>
      <w:tabs>
        <w:tab w:val="center" w:pos="4680"/>
        <w:tab w:val="right" w:pos="9360"/>
      </w:tabs>
    </w:pPr>
  </w:style>
  <w:style w:type="character" w:customStyle="1" w:styleId="HeaderChar">
    <w:name w:val="Header Char"/>
    <w:basedOn w:val="DefaultParagraphFont"/>
    <w:link w:val="Header"/>
    <w:uiPriority w:val="99"/>
    <w:rsid w:val="00893E36"/>
    <w:rPr>
      <w:rFonts w:eastAsia="Times New Roman"/>
      <w:sz w:val="24"/>
      <w:szCs w:val="24"/>
    </w:rPr>
  </w:style>
  <w:style w:type="paragraph" w:styleId="BodyText">
    <w:name w:val="Body Text"/>
    <w:basedOn w:val="Normal"/>
    <w:link w:val="BodyTextChar"/>
    <w:rsid w:val="006A0597"/>
    <w:pPr>
      <w:spacing w:after="120"/>
    </w:pPr>
  </w:style>
  <w:style w:type="character" w:customStyle="1" w:styleId="BodyTextChar">
    <w:name w:val="Body Text Char"/>
    <w:basedOn w:val="DefaultParagraphFont"/>
    <w:link w:val="BodyText"/>
    <w:rsid w:val="006A0597"/>
    <w:rPr>
      <w:rFonts w:eastAsia="Times New Roman"/>
      <w:sz w:val="24"/>
      <w:szCs w:val="24"/>
    </w:rPr>
  </w:style>
  <w:style w:type="character" w:customStyle="1" w:styleId="Heading1Char">
    <w:name w:val="Heading 1 Char"/>
    <w:basedOn w:val="DefaultParagraphFont"/>
    <w:link w:val="Heading1"/>
    <w:rsid w:val="006A0597"/>
    <w:rPr>
      <w:rFonts w:ascii="Tahoma" w:eastAsia="Times New Roman" w:hAnsi="Tahoma" w:cs="Tahoma"/>
      <w:b/>
      <w:bCs/>
      <w:sz w:val="32"/>
      <w:szCs w:val="24"/>
    </w:rPr>
  </w:style>
  <w:style w:type="character" w:customStyle="1" w:styleId="NoSpacingChar">
    <w:name w:val="No Spacing Char"/>
    <w:link w:val="NoSpacing"/>
    <w:uiPriority w:val="1"/>
    <w:locked/>
    <w:rsid w:val="006A0597"/>
  </w:style>
  <w:style w:type="paragraph" w:styleId="NoSpacing">
    <w:name w:val="No Spacing"/>
    <w:basedOn w:val="Normal"/>
    <w:link w:val="NoSpacingChar"/>
    <w:uiPriority w:val="1"/>
    <w:qFormat/>
    <w:rsid w:val="006A0597"/>
    <w:rPr>
      <w:rFonts w:eastAsiaTheme="minorHAnsi"/>
      <w:sz w:val="22"/>
      <w:szCs w:val="22"/>
    </w:rPr>
  </w:style>
  <w:style w:type="character" w:customStyle="1" w:styleId="Heading3Char">
    <w:name w:val="Heading 3 Char"/>
    <w:basedOn w:val="DefaultParagraphFont"/>
    <w:link w:val="Heading3"/>
    <w:rsid w:val="006A0597"/>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6A0597"/>
    <w:pPr>
      <w:ind w:left="720"/>
    </w:pPr>
  </w:style>
  <w:style w:type="character" w:styleId="Hyperlink">
    <w:name w:val="Hyperlink"/>
    <w:rsid w:val="006A0597"/>
    <w:rPr>
      <w:color w:val="0000FF"/>
      <w:u w:val="single"/>
    </w:rPr>
  </w:style>
  <w:style w:type="character" w:styleId="Strong">
    <w:name w:val="Strong"/>
    <w:uiPriority w:val="22"/>
    <w:qFormat/>
    <w:rsid w:val="006A0597"/>
    <w:rPr>
      <w:b/>
      <w:bCs/>
    </w:rPr>
  </w:style>
  <w:style w:type="character" w:styleId="FollowedHyperlink">
    <w:name w:val="FollowedHyperlink"/>
    <w:basedOn w:val="DefaultParagraphFont"/>
    <w:uiPriority w:val="99"/>
    <w:semiHidden/>
    <w:unhideWhenUsed/>
    <w:rsid w:val="006E55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druglis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asshealthdruglist.ehs.state.ma.us/MHD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sshealthdruglist.ehs.state.ma.us/MHD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sshealthdruglist.ehs.state.ma.us/MHDL/" TargetMode="External"/><Relationship Id="rId1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FF"/>
      </a:dk1>
      <a:lt1>
        <a:sysClr val="window" lastClr="FFFF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1782</Words>
  <Characters>10802</Characters>
  <Application>Microsoft Office Word</Application>
  <DocSecurity>0</DocSecurity>
  <Lines>251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2019-11-27T15:43:00Z</dcterms:created>
  <dcterms:modified xsi:type="dcterms:W3CDTF">2019-11-27T15:43:00Z</dcterms:modified>
</cp:coreProperties>
</file>