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7"/>
        <w:rPr>
          <w:rFonts w:ascii="Times New Roman"/>
          <w:sz w:val="20"/>
        </w:rPr>
      </w:pPr>
      <w:r>
        <w:rPr>
          <w:rFonts w:ascii="Times New Roman"/>
          <w:sz w:val="20"/>
        </w:rPr>
        <w:pict>
          <v:group style="width:549.6pt;height:94.9pt;mso-position-horizontal-relative:char;mso-position-vertical-relative:line" coordorigin="0,0" coordsize="10992,1898">
            <v:shape style="position:absolute;left:0;top:0;width:10992;height:1878" type="#_x0000_t75" stroked="false">
              <v:imagedata r:id="rId5" o:title=""/>
            </v:shape>
            <v:line style="position:absolute" from="144,1888" to="10757,1888" stroked="true" strokeweight=".95996pt" strokecolor="#000000">
              <v:stroke dashstyle="solid"/>
            </v:line>
            <v:shapetype id="_x0000_t202" o:spt="202" coordsize="21600,21600" path="m,l,21600r21600,l21600,xe">
              <v:stroke joinstyle="miter"/>
              <v:path gradientshapeok="t" o:connecttype="rect"/>
            </v:shapetype>
            <v:shape style="position:absolute;left:864;top:972;width:14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14</w:t>
                    </w:r>
                  </w:p>
                  <w:p>
                    <w:pPr>
                      <w:spacing w:before="44"/>
                      <w:ind w:left="0" w:right="0" w:firstLine="0"/>
                      <w:jc w:val="left"/>
                      <w:rPr>
                        <w:rFonts w:ascii="Arial Narrow"/>
                        <w:b/>
                        <w:sz w:val="20"/>
                      </w:rPr>
                    </w:pPr>
                    <w:r>
                      <w:rPr>
                        <w:rFonts w:ascii="Arial Narrow"/>
                        <w:b/>
                        <w:sz w:val="20"/>
                      </w:rPr>
                      <w:t>December 29, 2005</w:t>
                    </w:r>
                  </w:p>
                </w:txbxContent>
              </v:textbox>
              <w10:wrap type="none"/>
            </v:shape>
          </v:group>
        </w:pict>
      </w:r>
      <w:r>
        <w:rPr>
          <w:rFonts w:ascii="Times New Roman"/>
          <w:sz w:val="20"/>
        </w:rPr>
      </w:r>
    </w:p>
    <w:p>
      <w:pPr>
        <w:pStyle w:val="ListParagraph"/>
        <w:numPr>
          <w:ilvl w:val="0"/>
          <w:numId w:val="1"/>
        </w:numPr>
        <w:tabs>
          <w:tab w:pos="2544" w:val="left" w:leader="none"/>
        </w:tabs>
        <w:spacing w:line="231" w:lineRule="exact" w:before="0" w:after="0"/>
        <w:ind w:left="2543" w:right="0" w:hanging="150"/>
        <w:jc w:val="left"/>
        <w:rPr>
          <w:rFonts w:ascii="Arial Black" w:hAnsi="Arial Black"/>
          <w:b/>
          <w:sz w:val="18"/>
        </w:rPr>
      </w:pPr>
      <w:r>
        <w:rPr>
          <w:sz w:val="18"/>
        </w:rPr>
        <w:t>Editor: Vic Vangel </w:t>
      </w:r>
      <w:r>
        <w:rPr>
          <w:rFonts w:ascii="Arial Black" w:hAnsi="Arial Black"/>
          <w:b/>
          <w:sz w:val="18"/>
        </w:rPr>
        <w:t>• </w:t>
      </w:r>
      <w:r>
        <w:rPr>
          <w:sz w:val="18"/>
        </w:rPr>
        <w:t>Contributors: Chris Burke, Gary Gilmore, Paul Jeffrey, James Monahan </w:t>
      </w:r>
      <w:r>
        <w:rPr>
          <w:rFonts w:ascii="Arial Black" w:hAnsi="Arial Black"/>
          <w:b/>
          <w:sz w:val="18"/>
        </w:rPr>
        <w:t>•</w:t>
      </w:r>
    </w:p>
    <w:p>
      <w:pPr>
        <w:pStyle w:val="BodyText"/>
        <w:spacing w:before="13"/>
        <w:rPr>
          <w:rFonts w:ascii="Arial Black"/>
          <w:b/>
          <w:sz w:val="11"/>
        </w:rPr>
      </w:pPr>
    </w:p>
    <w:p>
      <w:pPr>
        <w:spacing w:after="0"/>
        <w:rPr>
          <w:rFonts w:ascii="Arial Black"/>
          <w:sz w:val="11"/>
        </w:rPr>
        <w:sectPr>
          <w:type w:val="continuous"/>
          <w:pgSz w:w="12240" w:h="15840"/>
          <w:pgMar w:top="360" w:bottom="0" w:left="620" w:right="240"/>
        </w:sectPr>
      </w:pPr>
    </w:p>
    <w:p>
      <w:pPr>
        <w:pStyle w:val="Heading1"/>
        <w:spacing w:line="288" w:lineRule="auto" w:before="100"/>
        <w:ind w:left="359" w:right="962"/>
        <w:rPr>
          <w:b/>
        </w:rPr>
      </w:pPr>
      <w:r>
        <w:rPr/>
        <w:pict>
          <v:group style="position:absolute;margin-left:43.07pt;margin-top:-6.183569pt;width:531.75pt;height:604.5pt;mso-position-horizontal-relative:page;mso-position-vertical-relative:paragraph;z-index:-3064" coordorigin="861,-124" coordsize="10635,12090">
            <v:shape style="position:absolute;left:876;top:-110;width:10608;height:2" coordorigin="876,-109" coordsize="10608,0" path="m876,-109l6176,-109m6176,-109l11484,-109e" filled="false" stroked="true" strokeweight=".95996pt" strokecolor="#000000">
              <v:path arrowok="t"/>
              <v:stroke dashstyle="solid"/>
            </v:shape>
            <v:line style="position:absolute" from="11484,-114" to="11486,-114" stroked="true" strokeweight=".47998pt" strokecolor="#000000">
              <v:stroke dashstyle="solid"/>
            </v:line>
            <v:line style="position:absolute" from="871,-119" to="871,11961" stroked="true" strokeweight=".48001pt" strokecolor="#000000">
              <v:stroke dashstyle="solid"/>
            </v:line>
            <v:line style="position:absolute" from="866,11956" to="6176,11956" stroked="true" strokeweight=".48001pt" strokecolor="#000000">
              <v:stroke dashstyle="solid"/>
            </v:line>
            <v:line style="position:absolute" from="6181,-99" to="6181,11961" stroked="true" strokeweight=".47998pt" strokecolor="#000000">
              <v:stroke dashstyle="solid"/>
            </v:line>
            <v:line style="position:absolute" from="6186,11956" to="11486,11956" stroked="true" strokeweight=".48001pt" strokecolor="#000000">
              <v:stroke dashstyle="solid"/>
            </v:line>
            <v:line style="position:absolute" from="11491,-119" to="11491,11961" stroked="true" strokeweight=".47998pt" strokecolor="#000000">
              <v:stroke dashstyle="solid"/>
            </v:line>
            <w10:wrap type="none"/>
          </v:group>
        </w:pict>
      </w:r>
      <w:r>
        <w:rPr>
          <w:b/>
        </w:rPr>
        <w:t>Medicare Part D Prescription Drug Coverage</w:t>
      </w:r>
    </w:p>
    <w:p>
      <w:pPr>
        <w:pStyle w:val="BodyText"/>
        <w:spacing w:line="290" w:lineRule="auto" w:before="132"/>
        <w:ind w:left="359" w:right="-20"/>
      </w:pPr>
      <w:r>
        <w:rPr/>
        <w:t>As we know by now there are major changes in drug coverage for some MassHealth members. All individuals who are eligible for both Medicaid and Medicare (dually eligible) should be automatically enrolled in a Medicare drug plan by January 1, 2006. MassHealth will no longer pay for most medications for these members and the Medicare Part D plan will assume responsibility for drug coverage.  Some classes of drugs are excluded by the Part D plans; however, MassHealth will continue to pay for some of these drugs for dual-eligible members. These classes are:</w:t>
      </w:r>
    </w:p>
    <w:p>
      <w:pPr>
        <w:pStyle w:val="BodyText"/>
        <w:spacing w:before="7"/>
        <w:rPr>
          <w:sz w:val="31"/>
        </w:rPr>
      </w:pPr>
    </w:p>
    <w:p>
      <w:pPr>
        <w:pStyle w:val="BodyText"/>
        <w:spacing w:line="290" w:lineRule="auto" w:before="1"/>
        <w:ind w:left="359" w:right="341"/>
      </w:pPr>
      <w:r>
        <w:rPr>
          <w:b/>
        </w:rPr>
        <w:t>Benzodiazepines </w:t>
      </w:r>
      <w:r>
        <w:rPr/>
        <w:t>-There will be no change in how MassHealth pays for these drugs (for example, quantity limits on certain benzodiazepines used for sleep will continue).</w:t>
      </w:r>
    </w:p>
    <w:p>
      <w:pPr>
        <w:spacing w:before="123"/>
        <w:ind w:left="359" w:right="0" w:firstLine="0"/>
        <w:jc w:val="left"/>
        <w:rPr>
          <w:b/>
          <w:sz w:val="21"/>
        </w:rPr>
      </w:pPr>
      <w:r>
        <w:rPr>
          <w:b/>
          <w:sz w:val="21"/>
        </w:rPr>
        <w:t>Barbiturates</w:t>
      </w:r>
    </w:p>
    <w:p>
      <w:pPr>
        <w:spacing w:line="290" w:lineRule="auto" w:before="172"/>
        <w:ind w:left="359" w:right="318" w:firstLine="0"/>
        <w:jc w:val="left"/>
        <w:rPr>
          <w:sz w:val="21"/>
        </w:rPr>
      </w:pPr>
      <w:r>
        <w:rPr>
          <w:b/>
          <w:sz w:val="21"/>
        </w:rPr>
        <w:t>Over-the-Counter (OTC) Drugs </w:t>
      </w:r>
      <w:r>
        <w:rPr>
          <w:sz w:val="21"/>
        </w:rPr>
        <w:t>- Drugs that are currently listed on the MassHealth Nonlegend Drug List.</w:t>
      </w:r>
    </w:p>
    <w:p>
      <w:pPr>
        <w:pStyle w:val="BodyText"/>
        <w:spacing w:line="290" w:lineRule="auto" w:before="123"/>
        <w:ind w:left="359" w:right="-2"/>
      </w:pPr>
      <w:r>
        <w:rPr>
          <w:b/>
        </w:rPr>
        <w:t>Prescription Vitamins </w:t>
      </w:r>
      <w:r>
        <w:rPr/>
        <w:t>- Vitamins that are currently on the MassHealth Drug List, except for prenatal vitamins and fluoride containing products that are covered under Part D.</w:t>
      </w:r>
    </w:p>
    <w:p>
      <w:pPr>
        <w:pStyle w:val="BodyText"/>
        <w:rPr>
          <w:sz w:val="22"/>
        </w:rPr>
      </w:pPr>
    </w:p>
    <w:p>
      <w:pPr>
        <w:pStyle w:val="BodyText"/>
        <w:spacing w:line="290" w:lineRule="auto" w:before="162"/>
        <w:ind w:left="359" w:right="132"/>
      </w:pPr>
      <w:r>
        <w:rPr/>
        <w:t>Transmit claims for these drugs for dual-eligible members to MassHealth through the Pharmacy On- line Processing System (POPS) in the same way you do now.</w:t>
      </w:r>
    </w:p>
    <w:p>
      <w:pPr>
        <w:pStyle w:val="BodyText"/>
        <w:rPr>
          <w:sz w:val="22"/>
        </w:rPr>
      </w:pPr>
    </w:p>
    <w:p>
      <w:pPr>
        <w:pStyle w:val="BodyText"/>
        <w:spacing w:line="290" w:lineRule="auto" w:before="163"/>
        <w:ind w:left="359" w:right="-8"/>
      </w:pPr>
      <w:r>
        <w:rPr/>
        <w:t>Some drugs used for weight gain may or may not be excluded by the Medicare Part D plans. MassHealth will accept claims for these products only if the claim is denied by the member’s Part D plan.</w:t>
      </w:r>
    </w:p>
    <w:p>
      <w:pPr>
        <w:pStyle w:val="Heading1"/>
        <w:spacing w:before="101"/>
        <w:rPr>
          <w:rFonts w:ascii="Arial"/>
        </w:rPr>
      </w:pPr>
      <w:r>
        <w:rPr>
          <w:b w:val="0"/>
        </w:rPr>
        <w:br w:type="column"/>
      </w:r>
      <w:r>
        <w:rPr>
          <w:rFonts w:ascii="Arial"/>
        </w:rPr>
        <w:t>Medicare Part D Prescription Drug Coverage</w:t>
      </w:r>
    </w:p>
    <w:p>
      <w:pPr>
        <w:spacing w:before="49"/>
        <w:ind w:left="181" w:right="0" w:firstLine="0"/>
        <w:jc w:val="left"/>
        <w:rPr>
          <w:i/>
          <w:sz w:val="20"/>
        </w:rPr>
      </w:pPr>
      <w:r>
        <w:rPr>
          <w:i/>
          <w:sz w:val="20"/>
        </w:rPr>
        <w:t>(cont.)</w:t>
      </w:r>
    </w:p>
    <w:p>
      <w:pPr>
        <w:pStyle w:val="BodyText"/>
        <w:tabs>
          <w:tab w:pos="1991" w:val="left" w:leader="none"/>
        </w:tabs>
        <w:spacing w:line="290" w:lineRule="auto" w:before="177"/>
        <w:ind w:left="181" w:right="664"/>
      </w:pPr>
      <w:r>
        <w:rPr/>
        <w:t>You will need to submit the claims to MassHealth showing the reason for denial by the Part D plan using standard procedures for billing MassHealth as a secondary</w:t>
      </w:r>
      <w:r>
        <w:rPr>
          <w:spacing w:val="-4"/>
        </w:rPr>
        <w:t> </w:t>
      </w:r>
      <w:r>
        <w:rPr/>
        <w:t>payer.</w:t>
        <w:tab/>
        <w:t>Remember that some</w:t>
      </w:r>
      <w:r>
        <w:rPr>
          <w:spacing w:val="-1"/>
        </w:rPr>
        <w:t> </w:t>
      </w:r>
      <w:r>
        <w:rPr/>
        <w:t>of</w:t>
      </w:r>
      <w:r>
        <w:rPr>
          <w:spacing w:val="-1"/>
        </w:rPr>
        <w:t> </w:t>
      </w:r>
      <w:r>
        <w:rPr/>
        <w:t>these</w:t>
      </w:r>
      <w:r>
        <w:rPr>
          <w:w w:val="99"/>
        </w:rPr>
        <w:t> </w:t>
      </w:r>
      <w:r>
        <w:rPr/>
        <w:t>drugs require prior authorization (PA) according to the MassHealth Drug</w:t>
      </w:r>
      <w:r>
        <w:rPr>
          <w:spacing w:val="-1"/>
        </w:rPr>
        <w:t> </w:t>
      </w:r>
      <w:r>
        <w:rPr/>
        <w:t>List.</w:t>
      </w:r>
    </w:p>
    <w:p>
      <w:pPr>
        <w:pStyle w:val="BodyText"/>
        <w:spacing w:before="8"/>
        <w:rPr>
          <w:sz w:val="31"/>
        </w:rPr>
      </w:pPr>
    </w:p>
    <w:p>
      <w:pPr>
        <w:pStyle w:val="BodyText"/>
        <w:spacing w:line="290" w:lineRule="auto"/>
        <w:ind w:left="181" w:right="765"/>
      </w:pPr>
      <w:r>
        <w:rPr/>
        <w:t>Please continue to watch for future faxes from the MassHealth Pharmacy Program about Medicare Part</w:t>
      </w:r>
    </w:p>
    <w:p>
      <w:pPr>
        <w:pStyle w:val="BodyText"/>
        <w:spacing w:line="290" w:lineRule="auto"/>
        <w:ind w:left="181" w:right="794"/>
      </w:pPr>
      <w:r>
        <w:rPr/>
        <w:t>D. Currently there are discussions taking place in the Legislature that may provide additional coverage to dual-eligible members. These discussions haven’t been finalized yet.</w:t>
      </w:r>
    </w:p>
    <w:p>
      <w:pPr>
        <w:pStyle w:val="BodyText"/>
        <w:rPr>
          <w:sz w:val="22"/>
        </w:rPr>
      </w:pPr>
    </w:p>
    <w:p>
      <w:pPr>
        <w:pStyle w:val="BodyText"/>
        <w:spacing w:line="290" w:lineRule="auto" w:before="163"/>
        <w:ind w:left="181" w:right="811"/>
      </w:pPr>
      <w:r>
        <w:rPr/>
        <w:t>An excellent source of information about Medicare D for pharmacists can be found at:</w:t>
      </w:r>
    </w:p>
    <w:p>
      <w:pPr>
        <w:pStyle w:val="BodyText"/>
        <w:spacing w:line="410" w:lineRule="auto" w:before="123"/>
        <w:ind w:left="181" w:right="3858"/>
      </w:pPr>
      <w:hyperlink r:id="rId6">
        <w:r>
          <w:rPr/>
          <w:t>www.medicare.gov/</w:t>
        </w:r>
      </w:hyperlink>
      <w:r>
        <w:rPr/>
        <w:t> or</w:t>
      </w:r>
    </w:p>
    <w:p>
      <w:pPr>
        <w:pStyle w:val="BodyText"/>
        <w:spacing w:before="5"/>
        <w:ind w:left="181"/>
      </w:pPr>
      <w:hyperlink r:id="rId7">
        <w:r>
          <w:rPr/>
          <w:t>www.medicare.gov/pdphome.asp.</w:t>
        </w:r>
      </w:hyperlink>
    </w:p>
    <w:p>
      <w:pPr>
        <w:pStyle w:val="BodyText"/>
        <w:spacing w:before="5"/>
        <w:rPr>
          <w:sz w:val="31"/>
        </w:rPr>
      </w:pPr>
    </w:p>
    <w:p>
      <w:pPr>
        <w:pStyle w:val="Heading1"/>
        <w:rPr>
          <w:b/>
        </w:rPr>
      </w:pPr>
      <w:r>
        <w:rPr>
          <w:b/>
        </w:rPr>
        <w:t>Prescriber Restrictions</w:t>
      </w:r>
    </w:p>
    <w:p>
      <w:pPr>
        <w:pStyle w:val="BodyText"/>
        <w:spacing w:line="290" w:lineRule="auto" w:before="51"/>
        <w:ind w:left="181" w:right="656"/>
      </w:pPr>
      <w:r>
        <w:rPr/>
        <w:t>MassHealth does not pay for prescriptions if the prescribing clinician has been suspended, terminated from participation, or denied admission by MassHealth. Pharmacists may see this message on denied claims from such prescribers beginning after 01/01/2006.  The National Council for Prescription Drug Programs (NCPDP) reject code will be: </w:t>
      </w:r>
      <w:r>
        <w:rPr>
          <w:b/>
        </w:rPr>
        <w:t>71- Prescriber Not Covered</w:t>
      </w:r>
      <w:r>
        <w:rPr/>
        <w:t>. MassHealth will continue to pay for refill prescriptions from these prescribers for the life of the prescription, but new Rxs will be</w:t>
      </w:r>
      <w:r>
        <w:rPr>
          <w:spacing w:val="-37"/>
        </w:rPr>
        <w:t> </w:t>
      </w:r>
      <w:r>
        <w:rPr/>
        <w:t>denied.</w:t>
      </w:r>
    </w:p>
    <w:p>
      <w:pPr>
        <w:spacing w:after="0" w:line="290" w:lineRule="auto"/>
        <w:sectPr>
          <w:type w:val="continuous"/>
          <w:pgSz w:w="12240" w:h="15840"/>
          <w:pgMar w:top="360" w:bottom="0" w:left="620" w:right="240"/>
          <w:cols w:num="2" w:equalWidth="0">
            <w:col w:w="5448" w:space="40"/>
            <w:col w:w="5892"/>
          </w:cols>
        </w:sectPr>
      </w:pPr>
    </w:p>
    <w:p>
      <w:pPr>
        <w:pStyle w:val="BodyText"/>
        <w:spacing w:before="2"/>
      </w:pPr>
    </w:p>
    <w:p>
      <w:pPr>
        <w:pStyle w:val="BodyText"/>
        <w:spacing w:line="40" w:lineRule="exact"/>
        <w:ind w:left="280"/>
        <w:rPr>
          <w:sz w:val="4"/>
        </w:rPr>
      </w:pPr>
      <w:r>
        <w:rPr>
          <w:position w:val="0"/>
          <w:sz w:val="4"/>
        </w:rPr>
        <w:pict>
          <v:group style="width:549.7pt;height:2.050pt;mso-position-horizontal-relative:char;mso-position-vertical-relative:line" coordorigin="0,0" coordsize="10994,41">
            <v:line style="position:absolute" from="7,7" to="10987,7" stroked="true" strokeweight=".66pt" strokecolor="#000000">
              <v:stroke dashstyle="solid"/>
            </v:line>
            <v:line style="position:absolute" from="7,33" to="10987,33" stroked="true" strokeweight=".66pt" strokecolor="#000000">
              <v:stroke dashstyle="solid"/>
            </v:line>
          </v:group>
        </w:pict>
      </w:r>
      <w:r>
        <w:rPr>
          <w:position w:val="0"/>
          <w:sz w:val="4"/>
        </w:rPr>
      </w:r>
    </w:p>
    <w:p>
      <w:pPr>
        <w:pStyle w:val="BodyText"/>
        <w:spacing w:line="241" w:lineRule="exact" w:before="88"/>
        <w:ind w:left="1864" w:right="1597"/>
        <w:jc w:val="center"/>
      </w:pPr>
      <w:r>
        <w:rPr/>
        <w:t>Please direct any questions or comments (or to be taken off of this fax distribution) to</w:t>
      </w:r>
    </w:p>
    <w:p>
      <w:pPr>
        <w:spacing w:line="296" w:lineRule="exact" w:before="0"/>
        <w:ind w:left="1863" w:right="1597" w:firstLine="0"/>
        <w:jc w:val="center"/>
        <w:rPr>
          <w:sz w:val="21"/>
        </w:rPr>
      </w:pPr>
      <w:r>
        <w:rPr>
          <w:rFonts w:ascii="Arial Black"/>
          <w:b/>
          <w:sz w:val="21"/>
        </w:rPr>
        <w:t>Victor Moquin </w:t>
      </w:r>
      <w:r>
        <w:rPr>
          <w:sz w:val="21"/>
        </w:rPr>
        <w:t>of ACS at 617-423-9830.</w:t>
      </w:r>
    </w:p>
    <w:sectPr>
      <w:type w:val="continuous"/>
      <w:pgSz w:w="12240" w:h="15840"/>
      <w:pgMar w:top="360" w:bottom="0" w:left="6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43" w:hanging="150"/>
      </w:pPr>
      <w:rPr>
        <w:rFonts w:hint="default" w:ascii="Arial Black" w:hAnsi="Arial Black" w:eastAsia="Arial Black" w:cs="Arial Black"/>
        <w:b/>
        <w:bCs/>
        <w:w w:val="100"/>
        <w:sz w:val="18"/>
        <w:szCs w:val="18"/>
      </w:rPr>
    </w:lvl>
    <w:lvl w:ilvl="1">
      <w:start w:val="0"/>
      <w:numFmt w:val="bullet"/>
      <w:lvlText w:val="•"/>
      <w:lvlJc w:val="left"/>
      <w:pPr>
        <w:ind w:left="3424" w:hanging="150"/>
      </w:pPr>
      <w:rPr>
        <w:rFonts w:hint="default"/>
      </w:rPr>
    </w:lvl>
    <w:lvl w:ilvl="2">
      <w:start w:val="0"/>
      <w:numFmt w:val="bullet"/>
      <w:lvlText w:val="•"/>
      <w:lvlJc w:val="left"/>
      <w:pPr>
        <w:ind w:left="4308" w:hanging="150"/>
      </w:pPr>
      <w:rPr>
        <w:rFonts w:hint="default"/>
      </w:rPr>
    </w:lvl>
    <w:lvl w:ilvl="3">
      <w:start w:val="0"/>
      <w:numFmt w:val="bullet"/>
      <w:lvlText w:val="•"/>
      <w:lvlJc w:val="left"/>
      <w:pPr>
        <w:ind w:left="5192" w:hanging="150"/>
      </w:pPr>
      <w:rPr>
        <w:rFonts w:hint="default"/>
      </w:rPr>
    </w:lvl>
    <w:lvl w:ilvl="4">
      <w:start w:val="0"/>
      <w:numFmt w:val="bullet"/>
      <w:lvlText w:val="•"/>
      <w:lvlJc w:val="left"/>
      <w:pPr>
        <w:ind w:left="6076" w:hanging="150"/>
      </w:pPr>
      <w:rPr>
        <w:rFonts w:hint="default"/>
      </w:rPr>
    </w:lvl>
    <w:lvl w:ilvl="5">
      <w:start w:val="0"/>
      <w:numFmt w:val="bullet"/>
      <w:lvlText w:val="•"/>
      <w:lvlJc w:val="left"/>
      <w:pPr>
        <w:ind w:left="6960" w:hanging="150"/>
      </w:pPr>
      <w:rPr>
        <w:rFonts w:hint="default"/>
      </w:rPr>
    </w:lvl>
    <w:lvl w:ilvl="6">
      <w:start w:val="0"/>
      <w:numFmt w:val="bullet"/>
      <w:lvlText w:val="•"/>
      <w:lvlJc w:val="left"/>
      <w:pPr>
        <w:ind w:left="7844" w:hanging="150"/>
      </w:pPr>
      <w:rPr>
        <w:rFonts w:hint="default"/>
      </w:rPr>
    </w:lvl>
    <w:lvl w:ilvl="7">
      <w:start w:val="0"/>
      <w:numFmt w:val="bullet"/>
      <w:lvlText w:val="•"/>
      <w:lvlJc w:val="left"/>
      <w:pPr>
        <w:ind w:left="8728" w:hanging="150"/>
      </w:pPr>
      <w:rPr>
        <w:rFonts w:hint="default"/>
      </w:rPr>
    </w:lvl>
    <w:lvl w:ilvl="8">
      <w:start w:val="0"/>
      <w:numFmt w:val="bullet"/>
      <w:lvlText w:val="•"/>
      <w:lvlJc w:val="left"/>
      <w:pPr>
        <w:ind w:left="9612" w:hanging="1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81"/>
      <w:outlineLvl w:val="1"/>
    </w:pPr>
    <w:rPr>
      <w:rFonts w:ascii="Arial Black" w:hAnsi="Arial Black" w:eastAsia="Arial Black" w:cs="Arial Black"/>
      <w:b/>
      <w:bCs/>
      <w:sz w:val="22"/>
      <w:szCs w:val="22"/>
    </w:rPr>
  </w:style>
  <w:style w:styleId="ListParagraph" w:type="paragraph">
    <w:name w:val="List Paragraph"/>
    <w:basedOn w:val="Normal"/>
    <w:uiPriority w:val="1"/>
    <w:qFormat/>
    <w:pPr>
      <w:spacing w:line="231" w:lineRule="exact"/>
      <w:ind w:left="2543" w:hanging="150"/>
    </w:pPr>
    <w:rPr>
      <w:rFonts w:ascii="Arial Narrow" w:hAnsi="Arial Narrow" w:eastAsia="Arial Narrow" w:cs="Arial Narrow"/>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edicare.gov/" TargetMode="External"/><Relationship Id="rId7" Type="http://schemas.openxmlformats.org/officeDocument/2006/relationships/hyperlink" Target="http://www.medicare.gov/pdphome.as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Pharmacy Facts #14-12-29-05 _2_.rtf</dc:title>
  <dcterms:created xsi:type="dcterms:W3CDTF">2017-11-16T08:54:47Z</dcterms:created>
  <dcterms:modified xsi:type="dcterms:W3CDTF">2017-11-16T08:54:47Z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2005-12-29T00:00:00Z</vt:filetime>
  </property>
  <property fmtid="{D5CDD505-2E9C-101B-9397-08002B2CF9AE}" pid="3" name="Creator">
    <vt:lpwstr>PScript5.dll Version 5.2.2</vt:lpwstr>
  </property>
  <property fmtid="{D5CDD505-2E9C-101B-9397-08002B2CF9AE}" pid="4" name="LastSaved">
    <vt:filetime>2017-11-16T00:00:00Z</vt:filetime>
  </property>
</Properties>
</file>