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C9" w:rsidRPr="004758AB" w:rsidRDefault="00C559C9" w:rsidP="00C559C9">
      <w:pPr>
        <w:pStyle w:val="Noparagraphstyle"/>
        <w:rPr>
          <w:rFonts w:ascii="Arial Narrow" w:hAnsi="Arial Narrow"/>
          <w:b/>
          <w:sz w:val="20"/>
          <w:szCs w:val="20"/>
        </w:rPr>
      </w:pPr>
      <w:r w:rsidRPr="004758AB">
        <w:rPr>
          <w:rFonts w:ascii="Arial Narrow" w:hAnsi="Arial Narrow"/>
          <w:b/>
          <w:sz w:val="20"/>
          <w:szCs w:val="20"/>
        </w:rPr>
        <w:t xml:space="preserve">Number </w:t>
      </w:r>
      <w:r w:rsidR="008C1541" w:rsidRPr="004758AB">
        <w:rPr>
          <w:rFonts w:ascii="Arial Narrow" w:hAnsi="Arial Narrow"/>
          <w:b/>
          <w:sz w:val="20"/>
          <w:szCs w:val="20"/>
        </w:rPr>
        <w:t xml:space="preserve">140, </w:t>
      </w:r>
      <w:r w:rsidRPr="004758AB">
        <w:rPr>
          <w:rFonts w:ascii="Arial Narrow" w:hAnsi="Arial Narrow"/>
          <w:b/>
          <w:sz w:val="20"/>
          <w:szCs w:val="20"/>
        </w:rPr>
        <w:t xml:space="preserve"> </w:t>
      </w:r>
      <w:r w:rsidR="008C1541" w:rsidRPr="004758AB">
        <w:rPr>
          <w:rFonts w:ascii="Arial Narrow" w:hAnsi="Arial Narrow"/>
          <w:b/>
          <w:sz w:val="20"/>
          <w:szCs w:val="20"/>
        </w:rPr>
        <w:t>February 19, 2020</w:t>
      </w:r>
    </w:p>
    <w:p w:rsidR="006F35F9" w:rsidRPr="004758AB" w:rsidRDefault="00C559C9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RPr="004758AB" w:rsidSect="00227C98">
          <w:headerReference w:type="default" r:id="rId9"/>
          <w:footerReference w:type="default" r:id="rId10"/>
          <w:footerReference w:type="first" r:id="rId11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  <w:r w:rsidRPr="004758AB">
        <w:rPr>
          <w:b/>
          <w:noProof/>
          <w:color w:val="000000"/>
        </w:rPr>
        <w:drawing>
          <wp:inline distT="0" distB="0" distL="0" distR="0" wp14:anchorId="7471B610" wp14:editId="49627DDF">
            <wp:extent cx="6812280" cy="1760220"/>
            <wp:effectExtent l="0" t="0" r="7620" b="0"/>
            <wp:docPr id="24" name="Picture 1" descr="Pharmacy Facts provides pharmacists with information and updates about the MassHealth Pharmacy Program. &#10;Editor: Vic Vangel&#10;Contributors: Aimee Evers, Paul Jeffrey, Neha Kashalikar, Kim Lenz, Nancy Schiff, Vic Vangel " title="Pharmacy Fact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Pharmacy Facts banner - Description: Pharmacy Facts provides pharmacists with information and updates about the MassHealth Pharmacy Program. &#10;Editor: Vic Vangel&#10;Contributors: Aimee Evers, Paul Jeffrey, Neha Kashalikar, Kim Lenz, Nancy Schiff, Vic Vangel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0EB" w:rsidRPr="004758AB" w:rsidRDefault="002530EB" w:rsidP="001C4319">
      <w:pPr>
        <w:pStyle w:val="Heading1"/>
        <w:tabs>
          <w:tab w:val="left" w:pos="0"/>
          <w:tab w:val="left" w:pos="1440"/>
        </w:tabs>
        <w:jc w:val="left"/>
        <w:rPr>
          <w:color w:val="000000"/>
        </w:rPr>
      </w:pPr>
      <w:r w:rsidRPr="004758AB">
        <w:rPr>
          <w:color w:val="000000"/>
        </w:rPr>
        <w:t>MHDL Update</w:t>
      </w:r>
    </w:p>
    <w:p w:rsidR="002530EB" w:rsidRPr="004758AB" w:rsidRDefault="002530EB" w:rsidP="00D04AE0">
      <w:pPr>
        <w:rPr>
          <w:color w:val="000000"/>
        </w:rPr>
      </w:pPr>
    </w:p>
    <w:p w:rsidR="00CD6D68" w:rsidRPr="004758AB" w:rsidRDefault="002530EB" w:rsidP="00D04AE0">
      <w:pPr>
        <w:rPr>
          <w:color w:val="000000"/>
          <w:sz w:val="22"/>
          <w:szCs w:val="22"/>
        </w:rPr>
      </w:pPr>
      <w:r w:rsidRPr="004758AB">
        <w:rPr>
          <w:rFonts w:ascii="Arial" w:hAnsi="Arial" w:cs="Arial"/>
          <w:color w:val="000000"/>
          <w:sz w:val="22"/>
          <w:szCs w:val="22"/>
        </w:rPr>
        <w:t>Below are certain updates to the MassHealth Drug List (MHDL). See the MHDL for a complete listing of updates.</w:t>
      </w:r>
    </w:p>
    <w:p w:rsidR="002530EB" w:rsidRPr="004758AB" w:rsidRDefault="002530EB" w:rsidP="001C4319">
      <w:pPr>
        <w:pStyle w:val="Heading2"/>
        <w:rPr>
          <w:color w:val="000000"/>
        </w:rPr>
      </w:pPr>
      <w:r w:rsidRPr="004758AB">
        <w:rPr>
          <w:color w:val="000000"/>
        </w:rPr>
        <w:t>Additions</w:t>
      </w:r>
    </w:p>
    <w:p w:rsidR="00D04AE0" w:rsidRPr="004758AB" w:rsidRDefault="00D04AE0" w:rsidP="00D04AE0">
      <w:pPr>
        <w:rPr>
          <w:color w:val="000000"/>
        </w:rPr>
      </w:pPr>
    </w:p>
    <w:p w:rsidR="002530EB" w:rsidRPr="004758AB" w:rsidRDefault="002530EB" w:rsidP="00D04AE0">
      <w:pPr>
        <w:pStyle w:val="Default"/>
        <w:rPr>
          <w:rFonts w:ascii="Arial" w:hAnsi="Arial" w:cs="Arial"/>
          <w:sz w:val="22"/>
          <w:szCs w:val="21"/>
        </w:rPr>
      </w:pPr>
      <w:r w:rsidRPr="004758AB">
        <w:rPr>
          <w:rFonts w:ascii="Arial" w:hAnsi="Arial" w:cs="Arial"/>
          <w:sz w:val="22"/>
          <w:szCs w:val="21"/>
        </w:rPr>
        <w:t xml:space="preserve">Effective February 24, 2020, the following newly marketed drugs have been added to the MassHealth Drug List. </w:t>
      </w:r>
    </w:p>
    <w:p w:rsidR="002530EB" w:rsidRPr="004758AB" w:rsidRDefault="002530EB" w:rsidP="00D04AE0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4758AB">
        <w:rPr>
          <w:rFonts w:ascii="Arial" w:hAnsi="Arial" w:cs="Arial"/>
          <w:sz w:val="22"/>
          <w:szCs w:val="22"/>
        </w:rPr>
        <w:t>Adakveo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758AB">
        <w:rPr>
          <w:rFonts w:ascii="Arial" w:hAnsi="Arial" w:cs="Arial"/>
          <w:sz w:val="22"/>
          <w:szCs w:val="22"/>
        </w:rPr>
        <w:t>crizanlizumab-tmca</w:t>
      </w:r>
      <w:proofErr w:type="spellEnd"/>
      <w:r w:rsidRPr="004758AB">
        <w:rPr>
          <w:rFonts w:ascii="Arial" w:hAnsi="Arial" w:cs="Arial"/>
          <w:sz w:val="22"/>
          <w:szCs w:val="22"/>
        </w:rPr>
        <w:t>) –</w:t>
      </w:r>
      <w:r w:rsidRPr="004758AB">
        <w:rPr>
          <w:rFonts w:ascii="Arial" w:hAnsi="Arial" w:cs="Arial"/>
          <w:b/>
          <w:sz w:val="22"/>
          <w:szCs w:val="22"/>
        </w:rPr>
        <w:t xml:space="preserve"> PA</w:t>
      </w:r>
    </w:p>
    <w:p w:rsidR="002530EB" w:rsidRPr="004758AB" w:rsidRDefault="002530EB" w:rsidP="00D04AE0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4758AB">
        <w:rPr>
          <w:rFonts w:ascii="Arial" w:hAnsi="Arial" w:cs="Arial"/>
          <w:sz w:val="22"/>
          <w:szCs w:val="22"/>
        </w:rPr>
        <w:t>Asceniv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 (immune globulin IV, human-</w:t>
      </w:r>
      <w:proofErr w:type="spellStart"/>
      <w:r w:rsidRPr="004758AB">
        <w:rPr>
          <w:rFonts w:ascii="Arial" w:hAnsi="Arial" w:cs="Arial"/>
          <w:sz w:val="22"/>
          <w:szCs w:val="22"/>
        </w:rPr>
        <w:t>slra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) – </w:t>
      </w:r>
      <w:r w:rsidRPr="004758AB">
        <w:rPr>
          <w:rFonts w:ascii="Arial" w:hAnsi="Arial" w:cs="Arial"/>
          <w:b/>
          <w:sz w:val="22"/>
          <w:szCs w:val="22"/>
        </w:rPr>
        <w:t>PA</w:t>
      </w:r>
    </w:p>
    <w:p w:rsidR="002530EB" w:rsidRPr="004758AB" w:rsidRDefault="002530EB" w:rsidP="00D04AE0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4758AB">
        <w:rPr>
          <w:rFonts w:ascii="Arial" w:hAnsi="Arial" w:cs="Arial"/>
          <w:sz w:val="22"/>
          <w:szCs w:val="22"/>
        </w:rPr>
        <w:t>Asparlas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758AB">
        <w:rPr>
          <w:rFonts w:ascii="Arial" w:hAnsi="Arial" w:cs="Arial"/>
          <w:sz w:val="22"/>
          <w:szCs w:val="22"/>
        </w:rPr>
        <w:t>calaspargase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58AB">
        <w:rPr>
          <w:rFonts w:ascii="Arial" w:hAnsi="Arial" w:cs="Arial"/>
          <w:sz w:val="22"/>
          <w:szCs w:val="22"/>
        </w:rPr>
        <w:t>pegol-mknl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) ^ – </w:t>
      </w:r>
      <w:r w:rsidRPr="004758AB">
        <w:rPr>
          <w:rFonts w:ascii="Arial" w:hAnsi="Arial" w:cs="Arial"/>
          <w:b/>
          <w:sz w:val="22"/>
          <w:szCs w:val="22"/>
        </w:rPr>
        <w:t>PA</w:t>
      </w:r>
    </w:p>
    <w:p w:rsidR="002530EB" w:rsidRPr="004758AB" w:rsidRDefault="002530EB" w:rsidP="00D04AE0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4758AB">
        <w:rPr>
          <w:rFonts w:ascii="Arial" w:hAnsi="Arial" w:cs="Arial"/>
          <w:sz w:val="22"/>
          <w:szCs w:val="22"/>
        </w:rPr>
        <w:t>Beovu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758AB">
        <w:rPr>
          <w:rFonts w:ascii="Arial" w:hAnsi="Arial" w:cs="Arial"/>
          <w:sz w:val="22"/>
          <w:szCs w:val="22"/>
        </w:rPr>
        <w:t>brolucizumab-dbll</w:t>
      </w:r>
      <w:proofErr w:type="spellEnd"/>
      <w:r w:rsidRPr="004758AB">
        <w:rPr>
          <w:rFonts w:ascii="Arial" w:hAnsi="Arial" w:cs="Arial"/>
          <w:sz w:val="22"/>
          <w:szCs w:val="22"/>
        </w:rPr>
        <w:t>) ^</w:t>
      </w:r>
    </w:p>
    <w:p w:rsidR="002530EB" w:rsidRPr="004758AB" w:rsidRDefault="002530EB" w:rsidP="00D04AE0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4758AB">
        <w:rPr>
          <w:rFonts w:ascii="Arial" w:hAnsi="Arial" w:cs="Arial"/>
          <w:sz w:val="22"/>
          <w:szCs w:val="22"/>
        </w:rPr>
        <w:t>Duaklir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758AB">
        <w:rPr>
          <w:rFonts w:ascii="Arial" w:hAnsi="Arial" w:cs="Arial"/>
          <w:sz w:val="22"/>
          <w:szCs w:val="22"/>
        </w:rPr>
        <w:t>aclidinium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/formoterol) – </w:t>
      </w:r>
      <w:r w:rsidRPr="004758AB">
        <w:rPr>
          <w:rFonts w:ascii="Arial" w:hAnsi="Arial" w:cs="Arial"/>
          <w:b/>
          <w:sz w:val="22"/>
          <w:szCs w:val="22"/>
        </w:rPr>
        <w:t>PA</w:t>
      </w:r>
    </w:p>
    <w:p w:rsidR="002530EB" w:rsidRPr="004758AB" w:rsidRDefault="002530EB" w:rsidP="00D04AE0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4758AB">
        <w:rPr>
          <w:rFonts w:ascii="Arial" w:hAnsi="Arial" w:cs="Arial"/>
          <w:sz w:val="22"/>
          <w:szCs w:val="22"/>
        </w:rPr>
        <w:t>Gloperba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 (colchicine solution) – </w:t>
      </w:r>
      <w:r w:rsidRPr="004758AB">
        <w:rPr>
          <w:rFonts w:ascii="Arial" w:hAnsi="Arial" w:cs="Arial"/>
          <w:b/>
          <w:sz w:val="22"/>
          <w:szCs w:val="22"/>
        </w:rPr>
        <w:t>PA</w:t>
      </w:r>
    </w:p>
    <w:p w:rsidR="002530EB" w:rsidRPr="004758AB" w:rsidRDefault="002530EB" w:rsidP="00D04AE0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4758AB">
        <w:rPr>
          <w:rFonts w:ascii="Arial" w:hAnsi="Arial" w:cs="Arial"/>
          <w:sz w:val="22"/>
          <w:szCs w:val="22"/>
        </w:rPr>
        <w:t>Inrebic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758AB">
        <w:rPr>
          <w:rFonts w:ascii="Arial" w:hAnsi="Arial" w:cs="Arial"/>
          <w:sz w:val="22"/>
          <w:szCs w:val="22"/>
        </w:rPr>
        <w:t>fedratinib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) – </w:t>
      </w:r>
      <w:r w:rsidRPr="004758AB">
        <w:rPr>
          <w:rFonts w:ascii="Arial" w:hAnsi="Arial" w:cs="Arial"/>
          <w:b/>
          <w:sz w:val="22"/>
          <w:szCs w:val="22"/>
        </w:rPr>
        <w:t>PA</w:t>
      </w:r>
    </w:p>
    <w:p w:rsidR="002530EB" w:rsidRPr="004758AB" w:rsidRDefault="002530EB" w:rsidP="00D04AE0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4758AB">
        <w:rPr>
          <w:rFonts w:ascii="Arial" w:hAnsi="Arial" w:cs="Arial"/>
          <w:sz w:val="22"/>
          <w:szCs w:val="22"/>
        </w:rPr>
        <w:t>Reblozyl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758AB">
        <w:rPr>
          <w:rFonts w:ascii="Arial" w:hAnsi="Arial" w:cs="Arial"/>
          <w:sz w:val="22"/>
          <w:szCs w:val="22"/>
        </w:rPr>
        <w:t>luspatercept-aamt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) – </w:t>
      </w:r>
      <w:r w:rsidRPr="004758AB">
        <w:rPr>
          <w:rFonts w:ascii="Arial" w:hAnsi="Arial" w:cs="Arial"/>
          <w:b/>
          <w:sz w:val="22"/>
          <w:szCs w:val="22"/>
        </w:rPr>
        <w:t>PA</w:t>
      </w:r>
    </w:p>
    <w:p w:rsidR="002530EB" w:rsidRPr="004758AB" w:rsidRDefault="002530EB" w:rsidP="00D04AE0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4758AB">
        <w:rPr>
          <w:rFonts w:ascii="Arial" w:hAnsi="Arial" w:cs="Arial"/>
          <w:sz w:val="22"/>
          <w:szCs w:val="22"/>
        </w:rPr>
        <w:t>Tosymra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758AB">
        <w:rPr>
          <w:rFonts w:ascii="Arial" w:hAnsi="Arial" w:cs="Arial"/>
          <w:sz w:val="22"/>
          <w:szCs w:val="22"/>
        </w:rPr>
        <w:t>sumatriptan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 10 mg nasal spray) – </w:t>
      </w:r>
      <w:r w:rsidRPr="004758AB">
        <w:rPr>
          <w:rFonts w:ascii="Arial" w:hAnsi="Arial" w:cs="Arial"/>
          <w:b/>
          <w:sz w:val="22"/>
          <w:szCs w:val="22"/>
        </w:rPr>
        <w:t>PA</w:t>
      </w:r>
    </w:p>
    <w:p w:rsidR="002530EB" w:rsidRPr="004758AB" w:rsidRDefault="002530EB" w:rsidP="00D04AE0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4758AB">
        <w:rPr>
          <w:rFonts w:ascii="Arial" w:hAnsi="Arial" w:cs="Arial"/>
          <w:sz w:val="22"/>
          <w:szCs w:val="22"/>
        </w:rPr>
        <w:t>Xembify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 (immune globulin subcutaneous injection, human-</w:t>
      </w:r>
      <w:proofErr w:type="spellStart"/>
      <w:r w:rsidRPr="004758AB">
        <w:rPr>
          <w:rFonts w:ascii="Arial" w:hAnsi="Arial" w:cs="Arial"/>
          <w:sz w:val="22"/>
          <w:szCs w:val="22"/>
        </w:rPr>
        <w:t>klhw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) – </w:t>
      </w:r>
      <w:r w:rsidRPr="004758AB">
        <w:rPr>
          <w:rFonts w:ascii="Arial" w:hAnsi="Arial" w:cs="Arial"/>
          <w:b/>
          <w:sz w:val="22"/>
          <w:szCs w:val="22"/>
        </w:rPr>
        <w:t>PA</w:t>
      </w:r>
    </w:p>
    <w:p w:rsidR="002530EB" w:rsidRPr="004758AB" w:rsidRDefault="002530EB" w:rsidP="00D04AE0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4758AB">
        <w:rPr>
          <w:rFonts w:ascii="Arial" w:hAnsi="Arial" w:cs="Arial"/>
          <w:sz w:val="22"/>
          <w:szCs w:val="22"/>
        </w:rPr>
        <w:t>Ziextenzo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758AB">
        <w:rPr>
          <w:rFonts w:ascii="Arial" w:hAnsi="Arial" w:cs="Arial"/>
          <w:sz w:val="22"/>
          <w:szCs w:val="22"/>
        </w:rPr>
        <w:t>pegfilgrastim-bmez</w:t>
      </w:r>
      <w:proofErr w:type="spellEnd"/>
      <w:r w:rsidRPr="004758AB">
        <w:rPr>
          <w:rFonts w:ascii="Arial" w:hAnsi="Arial" w:cs="Arial"/>
          <w:sz w:val="22"/>
          <w:szCs w:val="22"/>
        </w:rPr>
        <w:t>)</w:t>
      </w:r>
    </w:p>
    <w:p w:rsidR="00D04AE0" w:rsidRPr="004758AB" w:rsidRDefault="002530EB" w:rsidP="001C4319">
      <w:pPr>
        <w:pStyle w:val="Heading2"/>
        <w:rPr>
          <w:color w:val="000000"/>
        </w:rPr>
      </w:pPr>
      <w:r w:rsidRPr="004758AB">
        <w:rPr>
          <w:color w:val="000000"/>
        </w:rPr>
        <w:t>Change in Prior</w:t>
      </w:r>
      <w:r w:rsidR="00551E39" w:rsidRPr="004758AB">
        <w:rPr>
          <w:color w:val="000000"/>
        </w:rPr>
        <w:t xml:space="preserve"> </w:t>
      </w:r>
      <w:r w:rsidRPr="004758AB">
        <w:rPr>
          <w:color w:val="000000"/>
        </w:rPr>
        <w:t xml:space="preserve">Authorization </w:t>
      </w:r>
    </w:p>
    <w:p w:rsidR="00D04AE0" w:rsidRPr="004758AB" w:rsidRDefault="00D04AE0" w:rsidP="00D04AE0">
      <w:pPr>
        <w:rPr>
          <w:color w:val="000000"/>
        </w:rPr>
      </w:pPr>
    </w:p>
    <w:p w:rsidR="002530EB" w:rsidRPr="004758AB" w:rsidRDefault="002530EB" w:rsidP="00D04AE0">
      <w:pPr>
        <w:pStyle w:val="Default"/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2"/>
        </w:rPr>
      </w:pPr>
      <w:r w:rsidRPr="004758AB">
        <w:rPr>
          <w:rFonts w:ascii="Arial" w:hAnsi="Arial" w:cs="Arial"/>
          <w:sz w:val="22"/>
          <w:szCs w:val="22"/>
        </w:rPr>
        <w:t xml:space="preserve">Effective </w:t>
      </w:r>
      <w:r w:rsidRPr="004758AB">
        <w:rPr>
          <w:rFonts w:ascii="Arial" w:hAnsi="Arial" w:cs="Arial"/>
          <w:sz w:val="22"/>
          <w:szCs w:val="21"/>
        </w:rPr>
        <w:t>February 24</w:t>
      </w:r>
      <w:r w:rsidRPr="004758AB">
        <w:rPr>
          <w:rFonts w:ascii="Arial" w:hAnsi="Arial" w:cs="Arial"/>
          <w:sz w:val="22"/>
          <w:szCs w:val="22"/>
        </w:rPr>
        <w:t>, 2020, the following antiparasitic will no longer require prior authorization</w:t>
      </w:r>
      <w:r w:rsidR="004B37CD" w:rsidRPr="004758AB">
        <w:rPr>
          <w:rFonts w:ascii="Arial" w:hAnsi="Arial" w:cs="Arial"/>
          <w:sz w:val="22"/>
          <w:szCs w:val="22"/>
        </w:rPr>
        <w:t xml:space="preserve"> (PA)</w:t>
      </w:r>
      <w:r w:rsidRPr="004758AB">
        <w:rPr>
          <w:rFonts w:ascii="Arial" w:hAnsi="Arial" w:cs="Arial"/>
          <w:sz w:val="22"/>
          <w:szCs w:val="22"/>
        </w:rPr>
        <w:t xml:space="preserve">. </w:t>
      </w:r>
    </w:p>
    <w:p w:rsidR="002530EB" w:rsidRPr="004758AB" w:rsidRDefault="002530EB" w:rsidP="00D04AE0">
      <w:pPr>
        <w:pStyle w:val="Default"/>
        <w:numPr>
          <w:ilvl w:val="1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proofErr w:type="spellStart"/>
      <w:r w:rsidRPr="004758AB">
        <w:rPr>
          <w:rFonts w:ascii="Arial" w:hAnsi="Arial" w:cs="Arial"/>
          <w:sz w:val="22"/>
          <w:szCs w:val="22"/>
        </w:rPr>
        <w:t>Eurax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758AB">
        <w:rPr>
          <w:rFonts w:ascii="Arial" w:hAnsi="Arial" w:cs="Arial"/>
          <w:sz w:val="22"/>
          <w:szCs w:val="22"/>
        </w:rPr>
        <w:t>crotamiton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 cream)</w:t>
      </w:r>
    </w:p>
    <w:p w:rsidR="002530EB" w:rsidRPr="004758AB" w:rsidRDefault="002530EB" w:rsidP="00D04AE0">
      <w:pPr>
        <w:pStyle w:val="Default"/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2"/>
        </w:rPr>
      </w:pPr>
      <w:r w:rsidRPr="004758AB">
        <w:rPr>
          <w:rFonts w:ascii="Arial" w:hAnsi="Arial" w:cs="Arial"/>
          <w:sz w:val="22"/>
          <w:szCs w:val="22"/>
        </w:rPr>
        <w:t xml:space="preserve">Effective </w:t>
      </w:r>
      <w:r w:rsidRPr="004758AB">
        <w:rPr>
          <w:rFonts w:ascii="Arial" w:hAnsi="Arial" w:cs="Arial"/>
          <w:sz w:val="22"/>
          <w:szCs w:val="21"/>
        </w:rPr>
        <w:t>February 24</w:t>
      </w:r>
      <w:r w:rsidRPr="004758AB">
        <w:rPr>
          <w:rFonts w:ascii="Arial" w:hAnsi="Arial" w:cs="Arial"/>
          <w:sz w:val="22"/>
          <w:szCs w:val="22"/>
        </w:rPr>
        <w:t xml:space="preserve">, 2020, the following antiplatelet agents will no longer require </w:t>
      </w:r>
      <w:r w:rsidR="004B37CD" w:rsidRPr="004758AB">
        <w:rPr>
          <w:rFonts w:ascii="Arial" w:hAnsi="Arial" w:cs="Arial"/>
          <w:sz w:val="22"/>
          <w:szCs w:val="22"/>
        </w:rPr>
        <w:t>PA</w:t>
      </w:r>
      <w:r w:rsidRPr="004758AB">
        <w:rPr>
          <w:rFonts w:ascii="Arial" w:hAnsi="Arial" w:cs="Arial"/>
          <w:sz w:val="22"/>
          <w:szCs w:val="22"/>
        </w:rPr>
        <w:t xml:space="preserve">. </w:t>
      </w:r>
    </w:p>
    <w:p w:rsidR="002530EB" w:rsidRPr="004758AB" w:rsidRDefault="002530EB" w:rsidP="00D04AE0">
      <w:pPr>
        <w:pStyle w:val="Default"/>
        <w:numPr>
          <w:ilvl w:val="1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proofErr w:type="spellStart"/>
      <w:r w:rsidRPr="004758AB">
        <w:rPr>
          <w:rFonts w:ascii="Arial" w:hAnsi="Arial" w:cs="Arial"/>
          <w:sz w:val="22"/>
          <w:szCs w:val="22"/>
        </w:rPr>
        <w:t>Brilinta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758AB">
        <w:rPr>
          <w:rFonts w:ascii="Arial" w:hAnsi="Arial" w:cs="Arial"/>
          <w:sz w:val="22"/>
          <w:szCs w:val="22"/>
        </w:rPr>
        <w:t>ticagrelor</w:t>
      </w:r>
      <w:proofErr w:type="spellEnd"/>
      <w:r w:rsidRPr="004758AB">
        <w:rPr>
          <w:rFonts w:ascii="Arial" w:hAnsi="Arial" w:cs="Arial"/>
          <w:sz w:val="22"/>
          <w:szCs w:val="22"/>
        </w:rPr>
        <w:t>)</w:t>
      </w:r>
    </w:p>
    <w:p w:rsidR="002530EB" w:rsidRPr="004758AB" w:rsidRDefault="002530EB" w:rsidP="00D04AE0">
      <w:pPr>
        <w:pStyle w:val="Default"/>
        <w:numPr>
          <w:ilvl w:val="1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proofErr w:type="spellStart"/>
      <w:r w:rsidRPr="004758AB">
        <w:rPr>
          <w:rFonts w:ascii="Arial" w:hAnsi="Arial" w:cs="Arial"/>
          <w:sz w:val="22"/>
          <w:szCs w:val="22"/>
        </w:rPr>
        <w:t>Effient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 # (</w:t>
      </w:r>
      <w:proofErr w:type="spellStart"/>
      <w:r w:rsidRPr="004758AB">
        <w:rPr>
          <w:rFonts w:ascii="Arial" w:hAnsi="Arial" w:cs="Arial"/>
          <w:sz w:val="22"/>
          <w:szCs w:val="22"/>
        </w:rPr>
        <w:t>prasugrel</w:t>
      </w:r>
      <w:proofErr w:type="spellEnd"/>
      <w:r w:rsidRPr="004758AB">
        <w:rPr>
          <w:rFonts w:ascii="Arial" w:hAnsi="Arial" w:cs="Arial"/>
          <w:sz w:val="22"/>
          <w:szCs w:val="22"/>
        </w:rPr>
        <w:t>)</w:t>
      </w:r>
    </w:p>
    <w:p w:rsidR="00D04AE0" w:rsidRPr="004758AB" w:rsidRDefault="00D04AE0" w:rsidP="00D04AE0">
      <w:pPr>
        <w:pStyle w:val="Default"/>
        <w:spacing w:line="240" w:lineRule="exact"/>
        <w:ind w:left="720" w:hanging="360"/>
        <w:rPr>
          <w:rFonts w:ascii="Arial" w:hAnsi="Arial" w:cs="Arial"/>
          <w:sz w:val="22"/>
          <w:szCs w:val="22"/>
        </w:rPr>
      </w:pPr>
      <w:r w:rsidRPr="004758AB">
        <w:rPr>
          <w:rFonts w:ascii="Arial" w:hAnsi="Arial" w:cs="Arial"/>
          <w:sz w:val="22"/>
          <w:szCs w:val="22"/>
        </w:rPr>
        <w:t xml:space="preserve">c. </w:t>
      </w:r>
      <w:r w:rsidRPr="004758AB">
        <w:rPr>
          <w:rFonts w:ascii="Arial" w:hAnsi="Arial" w:cs="Arial"/>
          <w:sz w:val="22"/>
          <w:szCs w:val="22"/>
        </w:rPr>
        <w:tab/>
        <w:t xml:space="preserve">Effective </w:t>
      </w:r>
      <w:r w:rsidRPr="004758AB">
        <w:rPr>
          <w:rFonts w:ascii="Arial" w:hAnsi="Arial" w:cs="Arial"/>
          <w:sz w:val="22"/>
          <w:szCs w:val="21"/>
        </w:rPr>
        <w:t>February 24</w:t>
      </w:r>
      <w:r w:rsidRPr="004758AB">
        <w:rPr>
          <w:rFonts w:ascii="Arial" w:hAnsi="Arial" w:cs="Arial"/>
          <w:sz w:val="22"/>
          <w:szCs w:val="22"/>
        </w:rPr>
        <w:t xml:space="preserve">, 2020, the following hematinic agents will no longer require PA. </w:t>
      </w:r>
    </w:p>
    <w:p w:rsidR="00D04AE0" w:rsidRPr="004758AB" w:rsidRDefault="00D04AE0" w:rsidP="00D04AE0">
      <w:pPr>
        <w:pStyle w:val="Default"/>
        <w:numPr>
          <w:ilvl w:val="0"/>
          <w:numId w:val="28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proofErr w:type="spellStart"/>
      <w:r w:rsidRPr="004758AB">
        <w:rPr>
          <w:rFonts w:ascii="Arial" w:hAnsi="Arial" w:cs="Arial"/>
          <w:sz w:val="22"/>
          <w:szCs w:val="22"/>
        </w:rPr>
        <w:t>Fulphila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758AB">
        <w:rPr>
          <w:rFonts w:ascii="Arial" w:hAnsi="Arial" w:cs="Arial"/>
          <w:sz w:val="22"/>
          <w:szCs w:val="22"/>
        </w:rPr>
        <w:t>pegfilgrastim-jmdb</w:t>
      </w:r>
      <w:proofErr w:type="spellEnd"/>
      <w:r w:rsidRPr="004758AB">
        <w:rPr>
          <w:rFonts w:ascii="Arial" w:hAnsi="Arial" w:cs="Arial"/>
          <w:sz w:val="22"/>
          <w:szCs w:val="22"/>
        </w:rPr>
        <w:t>)</w:t>
      </w:r>
    </w:p>
    <w:p w:rsidR="00D04AE0" w:rsidRPr="004758AB" w:rsidRDefault="00D04AE0" w:rsidP="00D04AE0">
      <w:pPr>
        <w:pStyle w:val="Default"/>
        <w:numPr>
          <w:ilvl w:val="1"/>
          <w:numId w:val="4"/>
        </w:numPr>
        <w:ind w:left="1080"/>
        <w:rPr>
          <w:rFonts w:ascii="Arial" w:hAnsi="Arial" w:cs="Arial"/>
          <w:sz w:val="22"/>
          <w:szCs w:val="22"/>
        </w:rPr>
      </w:pPr>
      <w:proofErr w:type="spellStart"/>
      <w:r w:rsidRPr="004758AB">
        <w:rPr>
          <w:rFonts w:ascii="Arial" w:hAnsi="Arial" w:cs="Arial"/>
          <w:sz w:val="22"/>
          <w:szCs w:val="22"/>
        </w:rPr>
        <w:t>Udenyca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758AB">
        <w:rPr>
          <w:rFonts w:ascii="Arial" w:hAnsi="Arial" w:cs="Arial"/>
          <w:sz w:val="22"/>
          <w:szCs w:val="22"/>
        </w:rPr>
        <w:t>pegfilgrastim-cbqv</w:t>
      </w:r>
      <w:proofErr w:type="spellEnd"/>
      <w:r w:rsidRPr="004758AB">
        <w:rPr>
          <w:rFonts w:ascii="Arial" w:hAnsi="Arial" w:cs="Arial"/>
          <w:sz w:val="22"/>
          <w:szCs w:val="22"/>
        </w:rPr>
        <w:t>)</w:t>
      </w:r>
    </w:p>
    <w:p w:rsidR="002530EB" w:rsidRPr="004758AB" w:rsidRDefault="002530EB" w:rsidP="00C56F6C">
      <w:pPr>
        <w:pStyle w:val="Heading2"/>
        <w:spacing w:before="0"/>
        <w:rPr>
          <w:color w:val="000000"/>
        </w:rPr>
      </w:pPr>
      <w:r w:rsidRPr="004758AB">
        <w:rPr>
          <w:color w:val="000000"/>
        </w:rPr>
        <w:t>Updated MassHealth Brand Name Preferred Over Generic Drug List</w:t>
      </w:r>
    </w:p>
    <w:p w:rsidR="00D04AE0" w:rsidRPr="004758AB" w:rsidRDefault="00D04AE0" w:rsidP="00D04AE0">
      <w:pPr>
        <w:rPr>
          <w:color w:val="000000"/>
        </w:rPr>
      </w:pPr>
    </w:p>
    <w:p w:rsidR="002530EB" w:rsidRPr="004758AB" w:rsidRDefault="002530EB" w:rsidP="00D04AE0">
      <w:pPr>
        <w:rPr>
          <w:rFonts w:ascii="Arial" w:hAnsi="Arial" w:cs="Arial"/>
          <w:color w:val="000000"/>
          <w:sz w:val="22"/>
          <w:szCs w:val="22"/>
        </w:rPr>
      </w:pPr>
      <w:r w:rsidRPr="004758AB">
        <w:rPr>
          <w:rFonts w:ascii="Arial" w:hAnsi="Arial" w:cs="Arial"/>
          <w:color w:val="000000"/>
          <w:sz w:val="22"/>
          <w:szCs w:val="22"/>
        </w:rPr>
        <w:t>The MassHealth Brand Name Preferred Over Generic Drug List has been updated to reflect recent changes to the MassHealth Drug List.</w:t>
      </w:r>
    </w:p>
    <w:p w:rsidR="002530EB" w:rsidRPr="004758AB" w:rsidRDefault="002530EB" w:rsidP="00D04AE0">
      <w:pPr>
        <w:pStyle w:val="Defaul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4758AB">
        <w:rPr>
          <w:rFonts w:ascii="Arial" w:hAnsi="Arial" w:cs="Arial"/>
          <w:sz w:val="22"/>
          <w:szCs w:val="22"/>
        </w:rPr>
        <w:t xml:space="preserve">Effective </w:t>
      </w:r>
      <w:bookmarkStart w:id="0" w:name="_Hlk32311335"/>
      <w:r w:rsidRPr="004758AB">
        <w:rPr>
          <w:rFonts w:ascii="Arial" w:hAnsi="Arial" w:cs="Arial"/>
          <w:sz w:val="22"/>
          <w:szCs w:val="22"/>
        </w:rPr>
        <w:t>February 24</w:t>
      </w:r>
      <w:bookmarkEnd w:id="0"/>
      <w:r w:rsidRPr="004758AB">
        <w:rPr>
          <w:rFonts w:ascii="Arial" w:hAnsi="Arial" w:cs="Arial"/>
          <w:sz w:val="22"/>
          <w:szCs w:val="22"/>
        </w:rPr>
        <w:t xml:space="preserve">, 2020, the following agent will be added to the MassHealth Brand Name Preferred Over Generic Drug List. </w:t>
      </w:r>
    </w:p>
    <w:p w:rsidR="002530EB" w:rsidRPr="004758AB" w:rsidRDefault="002530EB" w:rsidP="00D04AE0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bookmarkStart w:id="1" w:name="_Hlk11399419"/>
      <w:r w:rsidRPr="004758AB">
        <w:rPr>
          <w:rFonts w:ascii="Arial" w:hAnsi="Arial" w:cs="Arial"/>
          <w:sz w:val="22"/>
          <w:szCs w:val="22"/>
        </w:rPr>
        <w:t>Symbicort (budesonide/formoterol)</w:t>
      </w:r>
      <w:r w:rsidRPr="004758AB">
        <w:rPr>
          <w:rFonts w:ascii="Arial" w:hAnsi="Arial" w:cs="Arial"/>
          <w:sz w:val="22"/>
          <w:szCs w:val="22"/>
          <w:vertAlign w:val="superscript"/>
        </w:rPr>
        <w:t>BP</w:t>
      </w:r>
      <w:r w:rsidRPr="004758AB">
        <w:rPr>
          <w:rFonts w:ascii="Arial" w:hAnsi="Arial" w:cs="Arial"/>
          <w:sz w:val="22"/>
          <w:szCs w:val="22"/>
        </w:rPr>
        <w:t xml:space="preserve"> – </w:t>
      </w:r>
      <w:r w:rsidRPr="004758AB">
        <w:rPr>
          <w:rFonts w:ascii="Arial" w:hAnsi="Arial" w:cs="Arial"/>
          <w:b/>
          <w:sz w:val="22"/>
          <w:szCs w:val="22"/>
        </w:rPr>
        <w:t>PA</w:t>
      </w:r>
    </w:p>
    <w:p w:rsidR="002530EB" w:rsidRPr="004758AB" w:rsidRDefault="002530EB" w:rsidP="00D04AE0">
      <w:pPr>
        <w:pStyle w:val="Defaul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4758AB">
        <w:rPr>
          <w:rFonts w:ascii="Arial" w:hAnsi="Arial" w:cs="Arial"/>
          <w:sz w:val="22"/>
          <w:szCs w:val="22"/>
        </w:rPr>
        <w:t>Effective February 24, 2020, the following agent will be removed from the MassHealth Brand Name Preferred Over Generic Drug List.</w:t>
      </w:r>
    </w:p>
    <w:p w:rsidR="002530EB" w:rsidRPr="004758AB" w:rsidRDefault="002530EB" w:rsidP="00D04AE0">
      <w:pPr>
        <w:pStyle w:val="Defaul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proofErr w:type="spellStart"/>
      <w:r w:rsidRPr="004758AB">
        <w:rPr>
          <w:rFonts w:ascii="Arial" w:hAnsi="Arial" w:cs="Arial"/>
          <w:sz w:val="22"/>
          <w:szCs w:val="22"/>
        </w:rPr>
        <w:t>Zytiga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758AB">
        <w:rPr>
          <w:rFonts w:ascii="Arial" w:hAnsi="Arial" w:cs="Arial"/>
          <w:sz w:val="22"/>
          <w:szCs w:val="22"/>
        </w:rPr>
        <w:t>abiraterone</w:t>
      </w:r>
      <w:proofErr w:type="spellEnd"/>
      <w:r w:rsidRPr="004758AB">
        <w:rPr>
          <w:rFonts w:ascii="Arial" w:hAnsi="Arial" w:cs="Arial"/>
          <w:sz w:val="22"/>
          <w:szCs w:val="22"/>
        </w:rPr>
        <w:t xml:space="preserve"> 250 mg, 500 mg) – </w:t>
      </w:r>
      <w:r w:rsidRPr="004758AB">
        <w:rPr>
          <w:rFonts w:ascii="Arial" w:hAnsi="Arial" w:cs="Arial"/>
          <w:b/>
          <w:sz w:val="22"/>
          <w:szCs w:val="22"/>
        </w:rPr>
        <w:t>PA</w:t>
      </w:r>
      <w:r w:rsidRPr="004758AB">
        <w:rPr>
          <w:rFonts w:ascii="Arial" w:hAnsi="Arial" w:cs="Arial"/>
          <w:sz w:val="22"/>
          <w:szCs w:val="22"/>
        </w:rPr>
        <w:t xml:space="preserve"> </w:t>
      </w:r>
    </w:p>
    <w:bookmarkEnd w:id="1"/>
    <w:p w:rsidR="0086142C" w:rsidRPr="004758AB" w:rsidRDefault="0086142C" w:rsidP="00D04AE0">
      <w:pPr>
        <w:autoSpaceDE w:val="0"/>
        <w:autoSpaceDN w:val="0"/>
        <w:adjustRightInd w:val="0"/>
        <w:ind w:left="1080" w:hanging="720"/>
        <w:rPr>
          <w:rFonts w:ascii="Arial" w:hAnsi="Arial" w:cs="Arial"/>
          <w:color w:val="000000"/>
          <w:sz w:val="22"/>
          <w:szCs w:val="22"/>
        </w:rPr>
      </w:pPr>
      <w:r w:rsidRPr="004758AB">
        <w:rPr>
          <w:rFonts w:ascii="Arial" w:hAnsi="Arial" w:cs="Arial"/>
          <w:color w:val="000000"/>
          <w:sz w:val="22"/>
          <w:szCs w:val="22"/>
        </w:rPr>
        <w:t>____________________________________</w:t>
      </w:r>
    </w:p>
    <w:p w:rsidR="00EF7C8A" w:rsidRPr="004758AB" w:rsidRDefault="00EF7C8A" w:rsidP="001C4319">
      <w:pPr>
        <w:pStyle w:val="Heading3"/>
        <w:jc w:val="center"/>
        <w:rPr>
          <w:color w:val="000000"/>
        </w:rPr>
      </w:pPr>
      <w:r w:rsidRPr="004758AB">
        <w:rPr>
          <w:color w:val="000000"/>
        </w:rPr>
        <w:t>Legend</w:t>
      </w:r>
    </w:p>
    <w:p w:rsidR="005B15B3" w:rsidRPr="004758AB" w:rsidRDefault="005B15B3" w:rsidP="00D04AE0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/>
          <w:bCs/>
          <w:color w:val="000000"/>
          <w:sz w:val="18"/>
          <w:szCs w:val="18"/>
        </w:rPr>
      </w:pPr>
    </w:p>
    <w:p w:rsidR="00E50862" w:rsidRPr="004758AB" w:rsidRDefault="00E50862" w:rsidP="00D04AE0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color w:val="000000"/>
          <w:sz w:val="18"/>
          <w:szCs w:val="18"/>
        </w:rPr>
      </w:pPr>
      <w:r w:rsidRPr="004758AB">
        <w:rPr>
          <w:rFonts w:ascii="Arial" w:hAnsi="Arial"/>
          <w:b/>
          <w:bCs/>
          <w:color w:val="000000"/>
          <w:sz w:val="18"/>
          <w:szCs w:val="18"/>
        </w:rPr>
        <w:t>PA</w:t>
      </w:r>
      <w:r w:rsidR="009F0526" w:rsidRPr="004758AB">
        <w:rPr>
          <w:rFonts w:ascii="Arial" w:hAnsi="Arial"/>
          <w:b/>
          <w:bCs/>
          <w:color w:val="000000"/>
          <w:sz w:val="18"/>
          <w:szCs w:val="18"/>
        </w:rPr>
        <w:t xml:space="preserve"> </w:t>
      </w:r>
      <w:r w:rsidRPr="004758AB">
        <w:rPr>
          <w:rFonts w:ascii="Arial" w:hAnsi="Arial"/>
          <w:b/>
          <w:bCs/>
          <w:color w:val="000000"/>
          <w:sz w:val="18"/>
          <w:szCs w:val="18"/>
        </w:rPr>
        <w:t xml:space="preserve"> </w:t>
      </w:r>
      <w:r w:rsidRPr="004758AB">
        <w:rPr>
          <w:rFonts w:ascii="Arial" w:hAnsi="Arial"/>
          <w:bCs/>
          <w:color w:val="000000"/>
          <w:sz w:val="18"/>
          <w:szCs w:val="18"/>
        </w:rPr>
        <w:t>Prior authorization is required. The prescriber must obtain prior authorization for the drug in order for the pharmacy to receive payment. Note: PA applies to both the brand-name and the FDA “A”-rated generic equivalent of listed product.</w:t>
      </w:r>
    </w:p>
    <w:p w:rsidR="009D6D73" w:rsidRPr="004758AB" w:rsidRDefault="009D6D73" w:rsidP="00D04AE0">
      <w:pPr>
        <w:shd w:val="clear" w:color="auto" w:fill="FFFFFF"/>
        <w:tabs>
          <w:tab w:val="left" w:pos="270"/>
          <w:tab w:val="left" w:pos="360"/>
        </w:tabs>
        <w:ind w:left="270" w:hanging="360"/>
        <w:rPr>
          <w:rFonts w:ascii="Arial" w:hAnsi="Arial"/>
          <w:bCs/>
          <w:color w:val="000000"/>
          <w:sz w:val="18"/>
          <w:szCs w:val="18"/>
        </w:rPr>
      </w:pPr>
      <w:r w:rsidRPr="004758AB">
        <w:rPr>
          <w:rFonts w:ascii="Arial" w:hAnsi="Arial"/>
          <w:bCs/>
          <w:color w:val="000000"/>
          <w:sz w:val="22"/>
          <w:szCs w:val="22"/>
        </w:rPr>
        <w:t xml:space="preserve"># </w:t>
      </w:r>
      <w:r w:rsidRPr="004758AB">
        <w:rPr>
          <w:rFonts w:ascii="Arial" w:hAnsi="Arial"/>
          <w:bCs/>
          <w:color w:val="000000"/>
          <w:sz w:val="18"/>
          <w:szCs w:val="18"/>
        </w:rPr>
        <w:t xml:space="preserve">    Designates a brand-name drug with FDA “A”-rated generic equivalents. </w:t>
      </w:r>
      <w:bookmarkStart w:id="2" w:name="Prior_Authorization"/>
      <w:r w:rsidRPr="004758AB">
        <w:rPr>
          <w:rFonts w:ascii="Arial" w:hAnsi="Arial"/>
          <w:bCs/>
          <w:color w:val="000000"/>
          <w:sz w:val="18"/>
          <w:szCs w:val="18"/>
        </w:rPr>
        <w:t>Prior authorization</w:t>
      </w:r>
      <w:bookmarkEnd w:id="2"/>
      <w:r w:rsidRPr="004758AB">
        <w:rPr>
          <w:rFonts w:ascii="Arial" w:hAnsi="Arial"/>
          <w:bCs/>
          <w:color w:val="000000"/>
          <w:sz w:val="18"/>
          <w:szCs w:val="18"/>
        </w:rPr>
        <w:t xml:space="preserve"> is required for the brand, unless a particular form of that drug (for example, tablet, capsule, or liquid) does not have an FDA “A”-rated generic equivalent. </w:t>
      </w:r>
    </w:p>
    <w:p w:rsidR="00212622" w:rsidRPr="004758AB" w:rsidRDefault="00D04AE0" w:rsidP="00D04AE0">
      <w:pPr>
        <w:shd w:val="clear" w:color="auto" w:fill="FFFFFF"/>
        <w:ind w:left="270" w:hanging="441"/>
        <w:rPr>
          <w:rFonts w:ascii="Arial" w:hAnsi="Arial"/>
          <w:bCs/>
          <w:color w:val="000000"/>
          <w:sz w:val="18"/>
          <w:szCs w:val="18"/>
        </w:rPr>
      </w:pPr>
      <w:r w:rsidRPr="004758AB">
        <w:rPr>
          <w:rFonts w:ascii="Arial" w:hAnsi="Arial"/>
          <w:b/>
          <w:color w:val="000000"/>
          <w:sz w:val="22"/>
          <w:szCs w:val="22"/>
          <w:vertAlign w:val="superscript"/>
        </w:rPr>
        <w:t xml:space="preserve">  </w:t>
      </w:r>
      <w:r w:rsidR="00E50862" w:rsidRPr="004758AB">
        <w:rPr>
          <w:rFonts w:ascii="Arial" w:hAnsi="Arial"/>
          <w:b/>
          <w:color w:val="000000"/>
          <w:sz w:val="22"/>
          <w:szCs w:val="22"/>
          <w:vertAlign w:val="superscript"/>
        </w:rPr>
        <w:t>BP</w:t>
      </w:r>
      <w:r w:rsidR="004D79B2" w:rsidRPr="004758AB">
        <w:rPr>
          <w:rFonts w:ascii="Arial" w:hAnsi="Arial"/>
          <w:b/>
          <w:color w:val="000000"/>
          <w:sz w:val="22"/>
          <w:szCs w:val="22"/>
          <w:vertAlign w:val="superscript"/>
        </w:rPr>
        <w:t xml:space="preserve"> </w:t>
      </w:r>
      <w:r w:rsidR="004D79B2" w:rsidRPr="004758AB">
        <w:rPr>
          <w:rFonts w:ascii="Arial" w:hAnsi="Arial"/>
          <w:b/>
          <w:color w:val="000000"/>
          <w:sz w:val="18"/>
          <w:szCs w:val="18"/>
          <w:vertAlign w:val="superscript"/>
        </w:rPr>
        <w:t xml:space="preserve">  </w:t>
      </w:r>
      <w:r w:rsidR="004D79B2" w:rsidRPr="004758AB">
        <w:rPr>
          <w:rFonts w:ascii="Arial" w:hAnsi="Arial"/>
          <w:bCs/>
          <w:color w:val="000000"/>
          <w:sz w:val="18"/>
          <w:szCs w:val="18"/>
        </w:rPr>
        <w:t xml:space="preserve"> </w:t>
      </w:r>
      <w:r w:rsidR="00E50862" w:rsidRPr="004758AB">
        <w:rPr>
          <w:rFonts w:ascii="Arial" w:hAnsi="Arial"/>
          <w:bCs/>
          <w:color w:val="000000"/>
          <w:sz w:val="18"/>
          <w:szCs w:val="18"/>
        </w:rPr>
        <w:t>Brand preferred over generic equivalents.</w:t>
      </w:r>
      <w:r w:rsidR="005B15B3" w:rsidRPr="004758AB">
        <w:rPr>
          <w:rFonts w:ascii="Arial" w:hAnsi="Arial"/>
          <w:bCs/>
          <w:color w:val="000000"/>
          <w:sz w:val="18"/>
          <w:szCs w:val="18"/>
        </w:rPr>
        <w:t xml:space="preserve"> </w:t>
      </w:r>
      <w:r w:rsidR="00E50862" w:rsidRPr="004758AB">
        <w:rPr>
          <w:rFonts w:ascii="Arial" w:hAnsi="Arial"/>
          <w:bCs/>
          <w:color w:val="000000"/>
          <w:sz w:val="18"/>
          <w:szCs w:val="18"/>
        </w:rPr>
        <w:t>In general, MassHealth requires a trial of the preferred drug or clinical rationale for prescribing the nonpreferred drug generic equivalent</w:t>
      </w:r>
      <w:r w:rsidR="00212622" w:rsidRPr="004758AB">
        <w:rPr>
          <w:rFonts w:ascii="Arial" w:hAnsi="Arial"/>
          <w:bCs/>
          <w:color w:val="000000"/>
          <w:sz w:val="18"/>
          <w:szCs w:val="18"/>
        </w:rPr>
        <w:t>.</w:t>
      </w:r>
    </w:p>
    <w:p w:rsidR="00052C8A" w:rsidRPr="004758AB" w:rsidRDefault="0063189F" w:rsidP="00D04AE0">
      <w:pPr>
        <w:shd w:val="clear" w:color="auto" w:fill="FFFFFF"/>
        <w:ind w:left="270" w:hanging="441"/>
        <w:rPr>
          <w:rFonts w:ascii="Arial" w:eastAsia="Calibri" w:hAnsi="Arial" w:cs="Arial"/>
          <w:color w:val="000000"/>
          <w:sz w:val="18"/>
          <w:szCs w:val="18"/>
        </w:rPr>
      </w:pPr>
      <w:r w:rsidRPr="004758AB">
        <w:rPr>
          <w:rFonts w:ascii="Arial" w:hAnsi="Arial"/>
          <w:b/>
          <w:color w:val="000000"/>
          <w:sz w:val="22"/>
          <w:szCs w:val="22"/>
          <w:vertAlign w:val="superscript"/>
        </w:rPr>
        <w:t xml:space="preserve">  </w:t>
      </w:r>
      <w:r w:rsidR="00052C8A" w:rsidRPr="004758AB">
        <w:rPr>
          <w:rFonts w:ascii="Arial" w:hAnsi="Arial"/>
          <w:b/>
          <w:color w:val="000000"/>
          <w:sz w:val="22"/>
          <w:szCs w:val="22"/>
          <w:vertAlign w:val="superscript"/>
        </w:rPr>
        <w:t>^</w:t>
      </w:r>
      <w:r w:rsidR="00052C8A" w:rsidRPr="004758AB">
        <w:rPr>
          <w:rFonts w:ascii="Arial" w:hAnsi="Arial"/>
          <w:b/>
          <w:color w:val="000000"/>
          <w:sz w:val="18"/>
          <w:szCs w:val="18"/>
          <w:vertAlign w:val="superscript"/>
        </w:rPr>
        <w:t xml:space="preserve">    </w:t>
      </w:r>
      <w:r w:rsidR="00052C8A" w:rsidRPr="004758AB">
        <w:rPr>
          <w:rFonts w:ascii="Arial" w:hAnsi="Arial"/>
          <w:bCs/>
          <w:color w:val="000000"/>
          <w:sz w:val="18"/>
          <w:szCs w:val="18"/>
          <w:vertAlign w:val="superscript"/>
        </w:rPr>
        <w:tab/>
      </w:r>
      <w:r w:rsidR="00052C8A" w:rsidRPr="004758AB">
        <w:rPr>
          <w:rFonts w:ascii="Arial" w:eastAsia="Calibri" w:hAnsi="Arial" w:cs="Arial"/>
          <w:color w:val="000000"/>
          <w:sz w:val="18"/>
          <w:szCs w:val="18"/>
        </w:rPr>
        <w:t xml:space="preserve">Available through the health care professional who administers the drug. MassHealth does not pay for this drug to be dispensed through a retail pharmacy. </w:t>
      </w:r>
    </w:p>
    <w:p w:rsidR="002530EB" w:rsidRPr="004758AB" w:rsidRDefault="002530EB" w:rsidP="00D04AE0">
      <w:pPr>
        <w:tabs>
          <w:tab w:val="left" w:pos="1606"/>
        </w:tabs>
        <w:rPr>
          <w:color w:val="000000"/>
        </w:rPr>
      </w:pPr>
    </w:p>
    <w:sectPr w:rsidR="002530EB" w:rsidRPr="004758AB" w:rsidSect="00227C98">
      <w:headerReference w:type="default" r:id="rId13"/>
      <w:footerReference w:type="default" r:id="rId14"/>
      <w:type w:val="continuous"/>
      <w:pgSz w:w="12240" w:h="15840" w:code="1"/>
      <w:pgMar w:top="1267" w:right="346" w:bottom="288" w:left="907" w:header="0" w:footer="720" w:gutter="0"/>
      <w:cols w:num="2" w:sep="1" w:space="720" w:equalWidth="0">
        <w:col w:w="4853" w:space="720"/>
        <w:col w:w="4853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0A" w:rsidRDefault="008C4B0A" w:rsidP="00492602">
      <w:r>
        <w:separator/>
      </w:r>
    </w:p>
  </w:endnote>
  <w:endnote w:type="continuationSeparator" w:id="0">
    <w:p w:rsidR="008C4B0A" w:rsidRDefault="008C4B0A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6C" w:rsidRPr="009A7098" w:rsidRDefault="00C56F6C" w:rsidP="00B84D6B">
    <w:pPr>
      <w:pBdr>
        <w:top w:val="single" w:sz="24" w:space="1" w:color="auto"/>
      </w:pBdr>
      <w:jc w:val="center"/>
      <w:rPr>
        <w:rFonts w:ascii="Arial" w:hAnsi="Arial" w:cs="Arial"/>
        <w:bCs/>
        <w:iCs/>
        <w:sz w:val="20"/>
        <w:szCs w:val="22"/>
      </w:rPr>
    </w:pPr>
    <w:r w:rsidRPr="009A7098">
      <w:rPr>
        <w:rFonts w:ascii="Arial" w:hAnsi="Arial" w:cs="Arial"/>
        <w:bCs/>
        <w:iCs/>
        <w:sz w:val="20"/>
        <w:szCs w:val="22"/>
      </w:rPr>
      <w:t xml:space="preserve">Please direct any questions or comments (or to be taken off this fax distribution) to </w:t>
    </w:r>
  </w:p>
  <w:p w:rsidR="00C56F6C" w:rsidRPr="009A7098" w:rsidRDefault="00C56F6C" w:rsidP="00C56F6C">
    <w:pPr>
      <w:jc w:val="center"/>
      <w:rPr>
        <w:rFonts w:ascii="Arial" w:hAnsi="Arial" w:cs="Arial"/>
        <w:bCs/>
        <w:iCs/>
        <w:sz w:val="22"/>
        <w:lang w:val="en"/>
      </w:rPr>
    </w:pPr>
    <w:proofErr w:type="spellStart"/>
    <w:r w:rsidRPr="009A7098">
      <w:rPr>
        <w:rFonts w:ascii="Arial" w:hAnsi="Arial" w:cs="Arial"/>
        <w:bCs/>
        <w:iCs/>
        <w:sz w:val="20"/>
        <w:szCs w:val="22"/>
      </w:rPr>
      <w:t>Josel</w:t>
    </w:r>
    <w:proofErr w:type="spellEnd"/>
    <w:r w:rsidRPr="009A7098">
      <w:rPr>
        <w:rFonts w:ascii="Arial" w:hAnsi="Arial" w:cs="Arial"/>
        <w:bCs/>
        <w:iCs/>
        <w:sz w:val="20"/>
        <w:szCs w:val="22"/>
      </w:rPr>
      <w:t xml:space="preserve"> </w:t>
    </w:r>
    <w:proofErr w:type="spellStart"/>
    <w:r w:rsidRPr="009A7098">
      <w:rPr>
        <w:rFonts w:ascii="Arial" w:hAnsi="Arial" w:cs="Arial"/>
        <w:bCs/>
        <w:iCs/>
        <w:sz w:val="20"/>
        <w:szCs w:val="22"/>
      </w:rPr>
      <w:t>Fernandes</w:t>
    </w:r>
    <w:proofErr w:type="spellEnd"/>
    <w:r w:rsidRPr="009A7098">
      <w:rPr>
        <w:rFonts w:ascii="Arial" w:hAnsi="Arial" w:cs="Arial"/>
        <w:bCs/>
        <w:iCs/>
        <w:sz w:val="20"/>
        <w:szCs w:val="22"/>
      </w:rPr>
      <w:t xml:space="preserve"> at 617-423-9842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>
    <w:pPr>
      <w:pStyle w:val="Footer"/>
    </w:pPr>
    <w:r>
      <w:t>[Type text]</w:t>
    </w:r>
  </w:p>
  <w:p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E3" w:rsidRPr="00207DE3" w:rsidRDefault="00207DE3" w:rsidP="00207DE3">
    <w:pPr>
      <w:tabs>
        <w:tab w:val="left" w:pos="-9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207DE3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:rsidR="00637A67" w:rsidRPr="00E24139" w:rsidRDefault="00207DE3" w:rsidP="00207DE3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r w:rsidRPr="00207DE3">
      <w:rPr>
        <w:rFonts w:ascii="Arial" w:hAnsi="Arial" w:cs="Arial"/>
        <w:iCs/>
        <w:sz w:val="18"/>
        <w:szCs w:val="18"/>
      </w:rPr>
      <w:t>please contact Josel Fernandes at (617) 423-9842.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0A" w:rsidRDefault="008C4B0A" w:rsidP="00492602">
      <w:r>
        <w:separator/>
      </w:r>
    </w:p>
  </w:footnote>
  <w:footnote w:type="continuationSeparator" w:id="0">
    <w:p w:rsidR="008C4B0A" w:rsidRDefault="008C4B0A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492602">
    <w:pPr>
      <w:pStyle w:val="Header"/>
    </w:pPr>
  </w:p>
  <w:p w:rsidR="00492602" w:rsidRDefault="00492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="005E7C8C" w:rsidRPr="00190A0D">
      <w:rPr>
        <w:color w:val="C00000"/>
        <w:sz w:val="18"/>
        <w:szCs w:val="18"/>
      </w:rPr>
      <w:t>140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D04AE0">
      <w:rPr>
        <w:noProof/>
        <w:color w:val="auto"/>
        <w:sz w:val="18"/>
        <w:szCs w:val="18"/>
      </w:rPr>
      <w:t>2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375713"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92A6C"/>
    <w:multiLevelType w:val="hybridMultilevel"/>
    <w:tmpl w:val="CFBC0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93045"/>
    <w:multiLevelType w:val="hybridMultilevel"/>
    <w:tmpl w:val="E648E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95135"/>
    <w:multiLevelType w:val="hybridMultilevel"/>
    <w:tmpl w:val="34420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7"/>
  </w:num>
  <w:num w:numId="5">
    <w:abstractNumId w:val="10"/>
  </w:num>
  <w:num w:numId="6">
    <w:abstractNumId w:val="15"/>
  </w:num>
  <w:num w:numId="7">
    <w:abstractNumId w:val="21"/>
  </w:num>
  <w:num w:numId="8">
    <w:abstractNumId w:val="3"/>
  </w:num>
  <w:num w:numId="9">
    <w:abstractNumId w:val="0"/>
  </w:num>
  <w:num w:numId="10">
    <w:abstractNumId w:val="18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9"/>
  </w:num>
  <w:num w:numId="22">
    <w:abstractNumId w:val="22"/>
  </w:num>
  <w:num w:numId="23">
    <w:abstractNumId w:val="23"/>
  </w:num>
  <w:num w:numId="24">
    <w:abstractNumId w:val="14"/>
  </w:num>
  <w:num w:numId="25">
    <w:abstractNumId w:val="19"/>
  </w:num>
  <w:num w:numId="26">
    <w:abstractNumId w:val="1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9"/>
    <w:rsid w:val="0002450C"/>
    <w:rsid w:val="00031F1E"/>
    <w:rsid w:val="00041001"/>
    <w:rsid w:val="00052C8A"/>
    <w:rsid w:val="00054839"/>
    <w:rsid w:val="00061F50"/>
    <w:rsid w:val="000713D3"/>
    <w:rsid w:val="00074014"/>
    <w:rsid w:val="00080033"/>
    <w:rsid w:val="00081E8E"/>
    <w:rsid w:val="000A6318"/>
    <w:rsid w:val="000D1502"/>
    <w:rsid w:val="000F33ED"/>
    <w:rsid w:val="000F7A79"/>
    <w:rsid w:val="00123D58"/>
    <w:rsid w:val="0012682D"/>
    <w:rsid w:val="001378CB"/>
    <w:rsid w:val="00137D3D"/>
    <w:rsid w:val="00140D08"/>
    <w:rsid w:val="00147437"/>
    <w:rsid w:val="00157A49"/>
    <w:rsid w:val="00171445"/>
    <w:rsid w:val="001721D8"/>
    <w:rsid w:val="0018357E"/>
    <w:rsid w:val="001864A9"/>
    <w:rsid w:val="00190A0D"/>
    <w:rsid w:val="001A125B"/>
    <w:rsid w:val="001A3EEE"/>
    <w:rsid w:val="001C1481"/>
    <w:rsid w:val="001C4319"/>
    <w:rsid w:val="001E779F"/>
    <w:rsid w:val="00202723"/>
    <w:rsid w:val="00207DE3"/>
    <w:rsid w:val="0021214A"/>
    <w:rsid w:val="00212622"/>
    <w:rsid w:val="002275AE"/>
    <w:rsid w:val="00227C98"/>
    <w:rsid w:val="002509E9"/>
    <w:rsid w:val="002530EB"/>
    <w:rsid w:val="00274F3E"/>
    <w:rsid w:val="00276F3A"/>
    <w:rsid w:val="00286CBE"/>
    <w:rsid w:val="00291397"/>
    <w:rsid w:val="002B0D7C"/>
    <w:rsid w:val="002C7C67"/>
    <w:rsid w:val="002D390F"/>
    <w:rsid w:val="002D738C"/>
    <w:rsid w:val="002E2F9E"/>
    <w:rsid w:val="003152DA"/>
    <w:rsid w:val="003240F1"/>
    <w:rsid w:val="0033053B"/>
    <w:rsid w:val="00360067"/>
    <w:rsid w:val="00361733"/>
    <w:rsid w:val="0036343A"/>
    <w:rsid w:val="00372195"/>
    <w:rsid w:val="0037373E"/>
    <w:rsid w:val="00375713"/>
    <w:rsid w:val="00382054"/>
    <w:rsid w:val="003911FC"/>
    <w:rsid w:val="003A1A44"/>
    <w:rsid w:val="003B6839"/>
    <w:rsid w:val="003C45A1"/>
    <w:rsid w:val="003D2FA0"/>
    <w:rsid w:val="003D3B27"/>
    <w:rsid w:val="003F533B"/>
    <w:rsid w:val="0042361A"/>
    <w:rsid w:val="00447A5F"/>
    <w:rsid w:val="00456B5A"/>
    <w:rsid w:val="004664D3"/>
    <w:rsid w:val="004758AB"/>
    <w:rsid w:val="00492602"/>
    <w:rsid w:val="0049423D"/>
    <w:rsid w:val="004A3BAA"/>
    <w:rsid w:val="004A7395"/>
    <w:rsid w:val="004B37CD"/>
    <w:rsid w:val="004C1DAD"/>
    <w:rsid w:val="004D1BC7"/>
    <w:rsid w:val="004D79B2"/>
    <w:rsid w:val="004F5612"/>
    <w:rsid w:val="005052D9"/>
    <w:rsid w:val="00516394"/>
    <w:rsid w:val="0052118E"/>
    <w:rsid w:val="00527F95"/>
    <w:rsid w:val="005314A6"/>
    <w:rsid w:val="005502E1"/>
    <w:rsid w:val="00551E39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958DD"/>
    <w:rsid w:val="005A57BA"/>
    <w:rsid w:val="005B15B3"/>
    <w:rsid w:val="005D723D"/>
    <w:rsid w:val="005E7C8C"/>
    <w:rsid w:val="005F2371"/>
    <w:rsid w:val="00623469"/>
    <w:rsid w:val="0063189F"/>
    <w:rsid w:val="00634C49"/>
    <w:rsid w:val="00637A67"/>
    <w:rsid w:val="00650095"/>
    <w:rsid w:val="00651CA7"/>
    <w:rsid w:val="00656A01"/>
    <w:rsid w:val="00657D21"/>
    <w:rsid w:val="006615EC"/>
    <w:rsid w:val="00673F96"/>
    <w:rsid w:val="00674418"/>
    <w:rsid w:val="00674428"/>
    <w:rsid w:val="00686C26"/>
    <w:rsid w:val="00690023"/>
    <w:rsid w:val="00696F48"/>
    <w:rsid w:val="0069772F"/>
    <w:rsid w:val="006A4F90"/>
    <w:rsid w:val="006A7D28"/>
    <w:rsid w:val="006D3B5F"/>
    <w:rsid w:val="006E0C20"/>
    <w:rsid w:val="006E22A3"/>
    <w:rsid w:val="006F35F9"/>
    <w:rsid w:val="00717FA2"/>
    <w:rsid w:val="007319D7"/>
    <w:rsid w:val="00731FAF"/>
    <w:rsid w:val="007426BF"/>
    <w:rsid w:val="00760FDF"/>
    <w:rsid w:val="007757E7"/>
    <w:rsid w:val="00781D3B"/>
    <w:rsid w:val="00782F55"/>
    <w:rsid w:val="007A038A"/>
    <w:rsid w:val="007A1011"/>
    <w:rsid w:val="007A41F5"/>
    <w:rsid w:val="007B2F2D"/>
    <w:rsid w:val="007B4429"/>
    <w:rsid w:val="007B7425"/>
    <w:rsid w:val="007C0EF9"/>
    <w:rsid w:val="007F4541"/>
    <w:rsid w:val="007F5417"/>
    <w:rsid w:val="00804116"/>
    <w:rsid w:val="00812480"/>
    <w:rsid w:val="00816CE2"/>
    <w:rsid w:val="00821937"/>
    <w:rsid w:val="008340D0"/>
    <w:rsid w:val="008403CA"/>
    <w:rsid w:val="008474A5"/>
    <w:rsid w:val="0085395A"/>
    <w:rsid w:val="00853F8E"/>
    <w:rsid w:val="0086142C"/>
    <w:rsid w:val="00870F52"/>
    <w:rsid w:val="00872E7F"/>
    <w:rsid w:val="00880FA9"/>
    <w:rsid w:val="008930F1"/>
    <w:rsid w:val="00893F45"/>
    <w:rsid w:val="008C1541"/>
    <w:rsid w:val="008C4B0A"/>
    <w:rsid w:val="008C5414"/>
    <w:rsid w:val="008E4B33"/>
    <w:rsid w:val="008F0130"/>
    <w:rsid w:val="008F2E4C"/>
    <w:rsid w:val="00905C46"/>
    <w:rsid w:val="00906EEC"/>
    <w:rsid w:val="009166DF"/>
    <w:rsid w:val="009204C7"/>
    <w:rsid w:val="00922030"/>
    <w:rsid w:val="009365C7"/>
    <w:rsid w:val="00941258"/>
    <w:rsid w:val="00942245"/>
    <w:rsid w:val="00956812"/>
    <w:rsid w:val="0095770E"/>
    <w:rsid w:val="009725E5"/>
    <w:rsid w:val="00974CFD"/>
    <w:rsid w:val="00975500"/>
    <w:rsid w:val="00981567"/>
    <w:rsid w:val="009C3981"/>
    <w:rsid w:val="009D1341"/>
    <w:rsid w:val="009D35D7"/>
    <w:rsid w:val="009D6D73"/>
    <w:rsid w:val="009D79C6"/>
    <w:rsid w:val="009F0440"/>
    <w:rsid w:val="009F0526"/>
    <w:rsid w:val="00A01DE3"/>
    <w:rsid w:val="00A06542"/>
    <w:rsid w:val="00A11371"/>
    <w:rsid w:val="00A120E1"/>
    <w:rsid w:val="00A31FAA"/>
    <w:rsid w:val="00A343A9"/>
    <w:rsid w:val="00A5239C"/>
    <w:rsid w:val="00A571F6"/>
    <w:rsid w:val="00A650DC"/>
    <w:rsid w:val="00A6764A"/>
    <w:rsid w:val="00A84255"/>
    <w:rsid w:val="00AC1AC7"/>
    <w:rsid w:val="00AD18B8"/>
    <w:rsid w:val="00AD33D5"/>
    <w:rsid w:val="00AE21FC"/>
    <w:rsid w:val="00B01BAA"/>
    <w:rsid w:val="00B07BD7"/>
    <w:rsid w:val="00B13AA5"/>
    <w:rsid w:val="00B20E2D"/>
    <w:rsid w:val="00B3099B"/>
    <w:rsid w:val="00B40A71"/>
    <w:rsid w:val="00B503C7"/>
    <w:rsid w:val="00B54AB5"/>
    <w:rsid w:val="00B63CCF"/>
    <w:rsid w:val="00B645C9"/>
    <w:rsid w:val="00B74026"/>
    <w:rsid w:val="00B84D6B"/>
    <w:rsid w:val="00B86F04"/>
    <w:rsid w:val="00B92C96"/>
    <w:rsid w:val="00BA64D7"/>
    <w:rsid w:val="00BA68F0"/>
    <w:rsid w:val="00BC40EE"/>
    <w:rsid w:val="00BD08CA"/>
    <w:rsid w:val="00BF0DF4"/>
    <w:rsid w:val="00C00CF2"/>
    <w:rsid w:val="00C15672"/>
    <w:rsid w:val="00C21680"/>
    <w:rsid w:val="00C31421"/>
    <w:rsid w:val="00C33753"/>
    <w:rsid w:val="00C35B94"/>
    <w:rsid w:val="00C42D31"/>
    <w:rsid w:val="00C559C9"/>
    <w:rsid w:val="00C56F6C"/>
    <w:rsid w:val="00C82FA4"/>
    <w:rsid w:val="00CA0669"/>
    <w:rsid w:val="00CA1E7C"/>
    <w:rsid w:val="00CB0030"/>
    <w:rsid w:val="00CB7521"/>
    <w:rsid w:val="00CC57AC"/>
    <w:rsid w:val="00CC776C"/>
    <w:rsid w:val="00CD05A0"/>
    <w:rsid w:val="00CD6D68"/>
    <w:rsid w:val="00CF2057"/>
    <w:rsid w:val="00D04AE0"/>
    <w:rsid w:val="00D0584B"/>
    <w:rsid w:val="00D2695E"/>
    <w:rsid w:val="00D450C8"/>
    <w:rsid w:val="00D521FA"/>
    <w:rsid w:val="00D66801"/>
    <w:rsid w:val="00D81121"/>
    <w:rsid w:val="00D939D0"/>
    <w:rsid w:val="00DA6A55"/>
    <w:rsid w:val="00DB655F"/>
    <w:rsid w:val="00E06F7D"/>
    <w:rsid w:val="00E24139"/>
    <w:rsid w:val="00E3616D"/>
    <w:rsid w:val="00E50862"/>
    <w:rsid w:val="00E60ABB"/>
    <w:rsid w:val="00E62D91"/>
    <w:rsid w:val="00E67611"/>
    <w:rsid w:val="00E67713"/>
    <w:rsid w:val="00E72DFF"/>
    <w:rsid w:val="00E92E47"/>
    <w:rsid w:val="00E9576D"/>
    <w:rsid w:val="00EC08AC"/>
    <w:rsid w:val="00EC1948"/>
    <w:rsid w:val="00EC29C1"/>
    <w:rsid w:val="00ED4639"/>
    <w:rsid w:val="00EE54D2"/>
    <w:rsid w:val="00EF7C8A"/>
    <w:rsid w:val="00F12465"/>
    <w:rsid w:val="00F2514F"/>
    <w:rsid w:val="00F25E7F"/>
    <w:rsid w:val="00F274DE"/>
    <w:rsid w:val="00F41111"/>
    <w:rsid w:val="00F6038A"/>
    <w:rsid w:val="00F643E6"/>
    <w:rsid w:val="00F76D69"/>
    <w:rsid w:val="00F9012C"/>
    <w:rsid w:val="00F9097E"/>
    <w:rsid w:val="00F93C6C"/>
    <w:rsid w:val="00FA5147"/>
    <w:rsid w:val="00FB0C11"/>
    <w:rsid w:val="00FC54B0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semiHidden="0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D04A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30EB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D04A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4A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04A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4A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4AE0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D04AE0"/>
    <w:rPr>
      <w:rFonts w:ascii="Tahoma" w:hAnsi="Tahoma" w:cs="Tahoma"/>
      <w:b/>
      <w:bCs/>
      <w:sz w:val="32"/>
      <w:szCs w:val="24"/>
    </w:rPr>
  </w:style>
  <w:style w:type="character" w:customStyle="1" w:styleId="BalloonTextChar">
    <w:name w:val="Balloon Text Char"/>
    <w:link w:val="BalloonText"/>
    <w:uiPriority w:val="99"/>
    <w:locked/>
    <w:rsid w:val="00D04A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04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04A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04A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semiHidden="0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D04A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30EB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D04A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4A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04A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4A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4AE0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D04AE0"/>
    <w:rPr>
      <w:rFonts w:ascii="Tahoma" w:hAnsi="Tahoma" w:cs="Tahoma"/>
      <w:b/>
      <w:bCs/>
      <w:sz w:val="32"/>
      <w:szCs w:val="24"/>
    </w:rPr>
  </w:style>
  <w:style w:type="character" w:customStyle="1" w:styleId="BalloonTextChar">
    <w:name w:val="Balloon Text Char"/>
    <w:link w:val="BalloonText"/>
    <w:uiPriority w:val="99"/>
    <w:locked/>
    <w:rsid w:val="00D04A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04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04A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04A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7FE8-C1D1-4035-8D62-9BD61E29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Facts Number 140</vt:lpstr>
    </vt:vector>
  </TitlesOfParts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Facts Number 140</dc:title>
  <dc:subject>MHDL Update</dc:subject>
  <dc:creator/>
  <cp:keywords>Update_x000d_
Additions_x000d_
Change_x000d_
Prior Authorization_x000d_
Brand Name_x000d_
Preferred_x000d_
Generic Drug List</cp:keywords>
  <cp:lastModifiedBy/>
  <cp:revision>1</cp:revision>
  <dcterms:created xsi:type="dcterms:W3CDTF">2020-02-26T21:22:00Z</dcterms:created>
  <dcterms:modified xsi:type="dcterms:W3CDTF">2020-02-26T21:22:00Z</dcterms:modified>
</cp:coreProperties>
</file>