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E86B3A" w:rsidRPr="00E86B3A">
        <w:rPr>
          <w:rFonts w:ascii="Arial Narrow" w:hAnsi="Arial Narrow"/>
          <w:b/>
          <w:color w:val="auto"/>
          <w:sz w:val="20"/>
          <w:szCs w:val="20"/>
        </w:rPr>
        <w:t>144</w:t>
      </w:r>
      <w:r w:rsidRPr="00E86B3A">
        <w:rPr>
          <w:rFonts w:ascii="Arial Narrow" w:hAnsi="Arial Narrow"/>
          <w:b/>
          <w:color w:val="auto"/>
          <w:sz w:val="20"/>
          <w:szCs w:val="20"/>
        </w:rPr>
        <w:t xml:space="preserve">, </w:t>
      </w:r>
      <w:r w:rsidR="00F53492">
        <w:rPr>
          <w:rFonts w:ascii="Arial Narrow" w:hAnsi="Arial Narrow"/>
          <w:b/>
          <w:color w:val="auto"/>
          <w:sz w:val="20"/>
          <w:szCs w:val="20"/>
        </w:rPr>
        <w:t>April 1</w:t>
      </w:r>
      <w:r w:rsidR="00E86B3A" w:rsidRPr="00E86B3A">
        <w:rPr>
          <w:rFonts w:ascii="Arial Narrow" w:hAnsi="Arial Narrow"/>
          <w:b/>
          <w:color w:val="auto"/>
          <w:sz w:val="20"/>
          <w:szCs w:val="20"/>
        </w:rPr>
        <w:t>, 2020</w:t>
      </w:r>
    </w:p>
    <w:p w:rsidR="006F35F9" w:rsidRDefault="007E4380" w:rsidP="007E4380">
      <w:pPr>
        <w:tabs>
          <w:tab w:val="left" w:pos="10530"/>
        </w:tabs>
        <w:ind w:right="720"/>
        <w:rPr>
          <w:rFonts w:ascii="Arial" w:hAnsi="Arial" w:cs="Arial"/>
          <w:color w:val="000000"/>
          <w:sz w:val="21"/>
          <w:szCs w:val="21"/>
        </w:rPr>
        <w:sectPr w:rsidR="006F35F9" w:rsidSect="003C1739">
          <w:headerReference w:type="even" r:id="rId9"/>
          <w:footerReference w:type="default" r:id="rId10"/>
          <w:footerReference w:type="first" r:id="rId11"/>
          <w:pgSz w:w="12240" w:h="15840" w:code="1"/>
          <w:pgMar w:top="360" w:right="907" w:bottom="446" w:left="907" w:header="0" w:footer="288" w:gutter="0"/>
          <w:cols w:space="720"/>
          <w:docGrid w:linePitch="360"/>
        </w:sectPr>
      </w:pPr>
      <w:r>
        <w:rPr>
          <w:b/>
          <w:noProof/>
        </w:rPr>
        <w:drawing>
          <wp:inline distT="0" distB="0" distL="0" distR="0">
            <wp:extent cx="6618819" cy="1713017"/>
            <wp:effectExtent l="0" t="0" r="0" b="1905"/>
            <wp:docPr id="9"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8605" cy="1712595"/>
                    </a:xfrm>
                    <a:prstGeom prst="rect">
                      <a:avLst/>
                    </a:prstGeom>
                    <a:noFill/>
                    <a:ln>
                      <a:noFill/>
                    </a:ln>
                  </pic:spPr>
                </pic:pic>
              </a:graphicData>
            </a:graphic>
          </wp:inline>
        </w:drawing>
      </w:r>
    </w:p>
    <w:p w:rsidR="00CD6D68" w:rsidRPr="00140D3B" w:rsidRDefault="00E86B3A" w:rsidP="00CD6D68">
      <w:pPr>
        <w:rPr>
          <w:rFonts w:ascii="Arial Black" w:hAnsi="Arial Black" w:cs="Arial"/>
          <w:b/>
        </w:rPr>
      </w:pPr>
      <w:r>
        <w:rPr>
          <w:rFonts w:ascii="Arial Black" w:hAnsi="Arial Black" w:cs="Arial"/>
          <w:b/>
        </w:rPr>
        <w:lastRenderedPageBreak/>
        <w:t>MHDL Update</w:t>
      </w:r>
    </w:p>
    <w:p w:rsidR="00CD6D68" w:rsidRPr="00C60193" w:rsidRDefault="00CD6D68" w:rsidP="00CD6D68">
      <w:pPr>
        <w:rPr>
          <w:sz w:val="22"/>
          <w:szCs w:val="22"/>
        </w:rPr>
      </w:pPr>
    </w:p>
    <w:p w:rsidR="002E2F9E" w:rsidRPr="00140D3B" w:rsidRDefault="00E86B3A" w:rsidP="00535D11">
      <w:pPr>
        <w:rPr>
          <w:rFonts w:ascii="Arial" w:hAnsi="Arial" w:cs="Arial"/>
          <w:sz w:val="22"/>
          <w:szCs w:val="22"/>
        </w:rPr>
      </w:pPr>
      <w:r w:rsidRPr="00E86B3A">
        <w:rPr>
          <w:rFonts w:ascii="Arial" w:hAnsi="Arial" w:cs="Arial"/>
          <w:sz w:val="22"/>
          <w:szCs w:val="22"/>
        </w:rPr>
        <w:t>Below are certain updates to th</w:t>
      </w:r>
      <w:r>
        <w:rPr>
          <w:rFonts w:ascii="Arial" w:hAnsi="Arial" w:cs="Arial"/>
          <w:sz w:val="22"/>
          <w:szCs w:val="22"/>
        </w:rPr>
        <w:t xml:space="preserve">e </w:t>
      </w:r>
      <w:proofErr w:type="spellStart"/>
      <w:r>
        <w:rPr>
          <w:rFonts w:ascii="Arial" w:hAnsi="Arial" w:cs="Arial"/>
          <w:sz w:val="22"/>
          <w:szCs w:val="22"/>
        </w:rPr>
        <w:t>MassHealth</w:t>
      </w:r>
      <w:proofErr w:type="spellEnd"/>
      <w:r>
        <w:rPr>
          <w:rFonts w:ascii="Arial" w:hAnsi="Arial" w:cs="Arial"/>
          <w:sz w:val="22"/>
          <w:szCs w:val="22"/>
        </w:rPr>
        <w:t xml:space="preserve"> Drug List (MHDL). </w:t>
      </w:r>
      <w:r w:rsidRPr="00E86B3A">
        <w:rPr>
          <w:rFonts w:ascii="Arial" w:hAnsi="Arial" w:cs="Arial"/>
          <w:sz w:val="22"/>
          <w:szCs w:val="22"/>
        </w:rPr>
        <w:t>See the MHDL for a complete listing of updates.</w:t>
      </w:r>
      <w:r w:rsidR="002E2F9E">
        <w:rPr>
          <w:rFonts w:ascii="Arial" w:hAnsi="Arial" w:cs="Arial"/>
          <w:b/>
          <w:sz w:val="22"/>
          <w:szCs w:val="22"/>
        </w:rPr>
        <w:t xml:space="preserve"> </w:t>
      </w:r>
    </w:p>
    <w:p w:rsidR="00B503C7" w:rsidRPr="00B503C7" w:rsidRDefault="00B503C7" w:rsidP="00B503C7">
      <w:pPr>
        <w:pStyle w:val="Default"/>
        <w:spacing w:line="276" w:lineRule="auto"/>
        <w:ind w:left="360"/>
        <w:rPr>
          <w:rFonts w:ascii="Arial" w:hAnsi="Arial" w:cs="Arial"/>
          <w:color w:val="auto"/>
          <w:sz w:val="22"/>
          <w:szCs w:val="22"/>
        </w:rPr>
      </w:pPr>
    </w:p>
    <w:p w:rsidR="00CD6D68" w:rsidRPr="00140D3B" w:rsidRDefault="00535D11" w:rsidP="00CD6D68">
      <w:pPr>
        <w:pStyle w:val="Default"/>
        <w:tabs>
          <w:tab w:val="left" w:pos="90"/>
        </w:tabs>
        <w:spacing w:line="276" w:lineRule="auto"/>
        <w:ind w:left="360" w:hanging="360"/>
        <w:rPr>
          <w:rFonts w:ascii="Arial" w:hAnsi="Arial" w:cs="Arial"/>
          <w:color w:val="auto"/>
          <w:sz w:val="22"/>
          <w:szCs w:val="22"/>
        </w:rPr>
      </w:pPr>
      <w:r>
        <w:t>Additions</w:t>
      </w:r>
    </w:p>
    <w:p w:rsidR="00535D11" w:rsidRDefault="00535D11" w:rsidP="00B41B0C">
      <w:pPr>
        <w:autoSpaceDE w:val="0"/>
        <w:autoSpaceDN w:val="0"/>
        <w:adjustRightInd w:val="0"/>
        <w:spacing w:line="276" w:lineRule="auto"/>
        <w:rPr>
          <w:rFonts w:ascii="Arial" w:hAnsi="Arial" w:cs="Arial"/>
          <w:sz w:val="22"/>
          <w:szCs w:val="22"/>
          <w:lang w:val="fr-FR"/>
        </w:rPr>
      </w:pPr>
      <w:r w:rsidRPr="00535D11">
        <w:rPr>
          <w:rFonts w:ascii="Arial" w:hAnsi="Arial" w:cs="Arial"/>
          <w:sz w:val="22"/>
          <w:szCs w:val="22"/>
          <w:lang w:val="fr-FR"/>
        </w:rPr>
        <w:t xml:space="preserve">Effective April 6, 2020, the </w:t>
      </w:r>
      <w:proofErr w:type="spellStart"/>
      <w:r w:rsidRPr="00535D11">
        <w:rPr>
          <w:rFonts w:ascii="Arial" w:hAnsi="Arial" w:cs="Arial"/>
          <w:sz w:val="22"/>
          <w:szCs w:val="22"/>
          <w:lang w:val="fr-FR"/>
        </w:rPr>
        <w:t>following</w:t>
      </w:r>
      <w:proofErr w:type="spellEnd"/>
      <w:r w:rsidRPr="00535D11">
        <w:rPr>
          <w:rFonts w:ascii="Arial" w:hAnsi="Arial" w:cs="Arial"/>
          <w:sz w:val="22"/>
          <w:szCs w:val="22"/>
          <w:lang w:val="fr-FR"/>
        </w:rPr>
        <w:t xml:space="preserve"> </w:t>
      </w:r>
      <w:proofErr w:type="spellStart"/>
      <w:r w:rsidRPr="00535D11">
        <w:rPr>
          <w:rFonts w:ascii="Arial" w:hAnsi="Arial" w:cs="Arial"/>
          <w:sz w:val="22"/>
          <w:szCs w:val="22"/>
          <w:lang w:val="fr-FR"/>
        </w:rPr>
        <w:t>newly</w:t>
      </w:r>
      <w:proofErr w:type="spellEnd"/>
      <w:r w:rsidRPr="00535D11">
        <w:rPr>
          <w:rFonts w:ascii="Arial" w:hAnsi="Arial" w:cs="Arial"/>
          <w:sz w:val="22"/>
          <w:szCs w:val="22"/>
          <w:lang w:val="fr-FR"/>
        </w:rPr>
        <w:t xml:space="preserve"> </w:t>
      </w:r>
      <w:proofErr w:type="spellStart"/>
      <w:r w:rsidRPr="00535D11">
        <w:rPr>
          <w:rFonts w:ascii="Arial" w:hAnsi="Arial" w:cs="Arial"/>
          <w:sz w:val="22"/>
          <w:szCs w:val="22"/>
          <w:lang w:val="fr-FR"/>
        </w:rPr>
        <w:t>marketed</w:t>
      </w:r>
      <w:proofErr w:type="spellEnd"/>
      <w:r w:rsidRPr="00535D11">
        <w:rPr>
          <w:rFonts w:ascii="Arial" w:hAnsi="Arial" w:cs="Arial"/>
          <w:sz w:val="22"/>
          <w:szCs w:val="22"/>
          <w:lang w:val="fr-FR"/>
        </w:rPr>
        <w:t xml:space="preserve"> </w:t>
      </w:r>
      <w:proofErr w:type="spellStart"/>
      <w:r w:rsidRPr="00535D11">
        <w:rPr>
          <w:rFonts w:ascii="Arial" w:hAnsi="Arial" w:cs="Arial"/>
          <w:sz w:val="22"/>
          <w:szCs w:val="22"/>
          <w:lang w:val="fr-FR"/>
        </w:rPr>
        <w:t>drugs</w:t>
      </w:r>
      <w:proofErr w:type="spellEnd"/>
      <w:r w:rsidRPr="00535D11">
        <w:rPr>
          <w:rFonts w:ascii="Arial" w:hAnsi="Arial" w:cs="Arial"/>
          <w:sz w:val="22"/>
          <w:szCs w:val="22"/>
          <w:lang w:val="fr-FR"/>
        </w:rPr>
        <w:t xml:space="preserve"> have been </w:t>
      </w:r>
      <w:proofErr w:type="spellStart"/>
      <w:r w:rsidRPr="00535D11">
        <w:rPr>
          <w:rFonts w:ascii="Arial" w:hAnsi="Arial" w:cs="Arial"/>
          <w:sz w:val="22"/>
          <w:szCs w:val="22"/>
          <w:lang w:val="fr-FR"/>
        </w:rPr>
        <w:t>added</w:t>
      </w:r>
      <w:proofErr w:type="spellEnd"/>
      <w:r w:rsidRPr="00535D11">
        <w:rPr>
          <w:rFonts w:ascii="Arial" w:hAnsi="Arial" w:cs="Arial"/>
          <w:sz w:val="22"/>
          <w:szCs w:val="22"/>
          <w:lang w:val="fr-FR"/>
        </w:rPr>
        <w:t xml:space="preserve"> to the </w:t>
      </w:r>
      <w:proofErr w:type="spellStart"/>
      <w:r w:rsidRPr="00535D11">
        <w:rPr>
          <w:rFonts w:ascii="Arial" w:hAnsi="Arial" w:cs="Arial"/>
          <w:sz w:val="22"/>
          <w:szCs w:val="22"/>
          <w:lang w:val="fr-FR"/>
        </w:rPr>
        <w:t>MassHealth</w:t>
      </w:r>
      <w:proofErr w:type="spellEnd"/>
      <w:r w:rsidRPr="00535D11">
        <w:rPr>
          <w:rFonts w:ascii="Arial" w:hAnsi="Arial" w:cs="Arial"/>
          <w:sz w:val="22"/>
          <w:szCs w:val="22"/>
          <w:lang w:val="fr-FR"/>
        </w:rPr>
        <w:t xml:space="preserve"> Drug List. </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Amzeeq</w:t>
      </w:r>
      <w:proofErr w:type="spellEnd"/>
      <w:r w:rsidRPr="00535D11">
        <w:rPr>
          <w:rFonts w:ascii="Arial" w:hAnsi="Arial" w:cs="Arial"/>
          <w:sz w:val="22"/>
          <w:szCs w:val="22"/>
        </w:rPr>
        <w:t xml:space="preserve"> (minocycline foam) – </w:t>
      </w:r>
      <w:r w:rsidRPr="00535D11">
        <w:rPr>
          <w:rFonts w:ascii="Arial" w:hAnsi="Arial" w:cs="Arial"/>
          <w:b/>
          <w:sz w:val="22"/>
          <w:szCs w:val="22"/>
        </w:rPr>
        <w:t>PA</w:t>
      </w:r>
      <w:r w:rsidRPr="00535D11">
        <w:rPr>
          <w:rFonts w:ascii="Arial" w:hAnsi="Arial" w:cs="Arial"/>
          <w:sz w:val="22"/>
          <w:szCs w:val="22"/>
        </w:rPr>
        <w:t xml:space="preserve"> </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Baqsimi</w:t>
      </w:r>
      <w:proofErr w:type="spellEnd"/>
      <w:r w:rsidRPr="00535D11">
        <w:rPr>
          <w:rFonts w:ascii="Arial" w:hAnsi="Arial" w:cs="Arial"/>
          <w:sz w:val="22"/>
          <w:szCs w:val="22"/>
        </w:rPr>
        <w:t xml:space="preserve"> (glucagon nasal powder) </w:t>
      </w:r>
      <w:r w:rsidRPr="00535D11">
        <w:rPr>
          <w:rFonts w:ascii="Arial" w:hAnsi="Arial" w:cs="Arial"/>
          <w:sz w:val="22"/>
          <w:szCs w:val="22"/>
          <w:vertAlign w:val="superscript"/>
        </w:rPr>
        <w:t>PD</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Brukinsa</w:t>
      </w:r>
      <w:proofErr w:type="spellEnd"/>
      <w:r w:rsidRPr="00535D11">
        <w:rPr>
          <w:rFonts w:ascii="Arial" w:hAnsi="Arial" w:cs="Arial"/>
          <w:sz w:val="22"/>
          <w:szCs w:val="22"/>
        </w:rPr>
        <w:t xml:space="preserve"> (</w:t>
      </w:r>
      <w:proofErr w:type="spellStart"/>
      <w:r w:rsidRPr="00535D11">
        <w:rPr>
          <w:rFonts w:ascii="Arial" w:hAnsi="Arial" w:cs="Arial"/>
          <w:sz w:val="22"/>
          <w:szCs w:val="22"/>
        </w:rPr>
        <w:t>zanubrutinib</w:t>
      </w:r>
      <w:proofErr w:type="spellEnd"/>
      <w:r w:rsidRPr="00535D11">
        <w:rPr>
          <w:rFonts w:ascii="Arial" w:hAnsi="Arial" w:cs="Arial"/>
          <w:sz w:val="22"/>
          <w:szCs w:val="22"/>
        </w:rPr>
        <w:t xml:space="preserve">)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Drizalma</w:t>
      </w:r>
      <w:proofErr w:type="spellEnd"/>
      <w:r w:rsidRPr="00535D11">
        <w:rPr>
          <w:rFonts w:ascii="Arial" w:hAnsi="Arial" w:cs="Arial"/>
          <w:sz w:val="22"/>
          <w:szCs w:val="22"/>
        </w:rPr>
        <w:t xml:space="preserve"> (duloxetine sprinkle capsule)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Esperoct</w:t>
      </w:r>
      <w:proofErr w:type="spellEnd"/>
      <w:r w:rsidRPr="00535D11">
        <w:rPr>
          <w:rFonts w:ascii="Arial" w:hAnsi="Arial" w:cs="Arial"/>
          <w:sz w:val="22"/>
          <w:szCs w:val="22"/>
        </w:rPr>
        <w:t xml:space="preserve"> (factor VIII recombinant, </w:t>
      </w:r>
      <w:proofErr w:type="spellStart"/>
      <w:r w:rsidRPr="00535D11">
        <w:rPr>
          <w:rFonts w:ascii="Arial" w:hAnsi="Arial" w:cs="Arial"/>
          <w:sz w:val="22"/>
          <w:szCs w:val="22"/>
        </w:rPr>
        <w:t>glycopegylated-exei</w:t>
      </w:r>
      <w:proofErr w:type="spellEnd"/>
      <w:r w:rsidRPr="00535D11">
        <w:rPr>
          <w:rFonts w:ascii="Arial" w:hAnsi="Arial" w:cs="Arial"/>
          <w:sz w:val="22"/>
          <w:szCs w:val="22"/>
        </w:rPr>
        <w:t>)</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Nourianz</w:t>
      </w:r>
      <w:proofErr w:type="spellEnd"/>
      <w:r w:rsidRPr="00535D11">
        <w:rPr>
          <w:rFonts w:ascii="Arial" w:hAnsi="Arial" w:cs="Arial"/>
          <w:sz w:val="22"/>
          <w:szCs w:val="22"/>
        </w:rPr>
        <w:t xml:space="preserve"> (</w:t>
      </w:r>
      <w:proofErr w:type="spellStart"/>
      <w:r w:rsidRPr="00535D11">
        <w:rPr>
          <w:rFonts w:ascii="Arial" w:hAnsi="Arial" w:cs="Arial"/>
          <w:sz w:val="22"/>
          <w:szCs w:val="22"/>
        </w:rPr>
        <w:t>istradefylline</w:t>
      </w:r>
      <w:proofErr w:type="spellEnd"/>
      <w:r w:rsidRPr="00535D11">
        <w:rPr>
          <w:rFonts w:ascii="Arial" w:hAnsi="Arial" w:cs="Arial"/>
          <w:sz w:val="22"/>
          <w:szCs w:val="22"/>
        </w:rPr>
        <w:t xml:space="preserve">) – </w:t>
      </w:r>
      <w:r w:rsidRPr="00535D11">
        <w:rPr>
          <w:rFonts w:ascii="Arial" w:hAnsi="Arial" w:cs="Arial"/>
          <w:b/>
          <w:sz w:val="22"/>
          <w:szCs w:val="22"/>
        </w:rPr>
        <w:t>PA</w:t>
      </w:r>
      <w:r w:rsidRPr="00535D11">
        <w:rPr>
          <w:rFonts w:ascii="Arial" w:hAnsi="Arial" w:cs="Arial"/>
          <w:sz w:val="22"/>
          <w:szCs w:val="22"/>
        </w:rPr>
        <w:t xml:space="preserve"> </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Oxbryta</w:t>
      </w:r>
      <w:proofErr w:type="spellEnd"/>
      <w:r w:rsidRPr="00535D11">
        <w:rPr>
          <w:rFonts w:ascii="Arial" w:hAnsi="Arial" w:cs="Arial"/>
          <w:sz w:val="22"/>
          <w:szCs w:val="22"/>
        </w:rPr>
        <w:t xml:space="preserve"> (</w:t>
      </w:r>
      <w:proofErr w:type="spellStart"/>
      <w:r w:rsidRPr="00535D11">
        <w:rPr>
          <w:rFonts w:ascii="Arial" w:hAnsi="Arial" w:cs="Arial"/>
          <w:sz w:val="22"/>
          <w:szCs w:val="22"/>
        </w:rPr>
        <w:t>voxelotor</w:t>
      </w:r>
      <w:proofErr w:type="spellEnd"/>
      <w:r w:rsidRPr="00535D11">
        <w:rPr>
          <w:rFonts w:ascii="Arial" w:hAnsi="Arial" w:cs="Arial"/>
          <w:sz w:val="22"/>
          <w:szCs w:val="22"/>
        </w:rPr>
        <w:t xml:space="preserve">)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Padcev</w:t>
      </w:r>
      <w:proofErr w:type="spellEnd"/>
      <w:r w:rsidRPr="00535D11">
        <w:rPr>
          <w:rFonts w:ascii="Arial" w:hAnsi="Arial" w:cs="Arial"/>
          <w:sz w:val="22"/>
          <w:szCs w:val="22"/>
        </w:rPr>
        <w:t xml:space="preserve"> (</w:t>
      </w:r>
      <w:proofErr w:type="spellStart"/>
      <w:r w:rsidRPr="00535D11">
        <w:rPr>
          <w:rFonts w:ascii="Arial" w:hAnsi="Arial" w:cs="Arial"/>
          <w:sz w:val="22"/>
          <w:szCs w:val="22"/>
        </w:rPr>
        <w:t>enfortumab</w:t>
      </w:r>
      <w:proofErr w:type="spellEnd"/>
      <w:r w:rsidRPr="00535D11">
        <w:rPr>
          <w:rFonts w:ascii="Arial" w:hAnsi="Arial" w:cs="Arial"/>
          <w:sz w:val="22"/>
          <w:szCs w:val="22"/>
        </w:rPr>
        <w:t xml:space="preserve"> </w:t>
      </w:r>
      <w:proofErr w:type="spellStart"/>
      <w:r w:rsidRPr="00535D11">
        <w:rPr>
          <w:rFonts w:ascii="Arial" w:hAnsi="Arial" w:cs="Arial"/>
          <w:sz w:val="22"/>
          <w:szCs w:val="22"/>
        </w:rPr>
        <w:t>vedotin-ejfv</w:t>
      </w:r>
      <w:proofErr w:type="spellEnd"/>
      <w:r w:rsidRPr="00535D11">
        <w:rPr>
          <w:rFonts w:ascii="Arial" w:hAnsi="Arial" w:cs="Arial"/>
          <w:sz w:val="22"/>
          <w:szCs w:val="22"/>
        </w:rPr>
        <w:t xml:space="preserve">)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Proair</w:t>
      </w:r>
      <w:proofErr w:type="spellEnd"/>
      <w:r w:rsidRPr="00535D11">
        <w:rPr>
          <w:rFonts w:ascii="Arial" w:hAnsi="Arial" w:cs="Arial"/>
          <w:sz w:val="22"/>
          <w:szCs w:val="22"/>
        </w:rPr>
        <w:t xml:space="preserve"> </w:t>
      </w:r>
      <w:proofErr w:type="spellStart"/>
      <w:r w:rsidRPr="00535D11">
        <w:rPr>
          <w:rFonts w:ascii="Arial" w:hAnsi="Arial" w:cs="Arial"/>
          <w:sz w:val="22"/>
          <w:szCs w:val="22"/>
        </w:rPr>
        <w:t>Digihaler</w:t>
      </w:r>
      <w:proofErr w:type="spellEnd"/>
      <w:r w:rsidRPr="00535D11">
        <w:rPr>
          <w:rFonts w:ascii="Arial" w:hAnsi="Arial" w:cs="Arial"/>
          <w:sz w:val="22"/>
          <w:szCs w:val="22"/>
        </w:rPr>
        <w:t xml:space="preserve"> (albuterol inhalation powder) – </w:t>
      </w:r>
      <w:r w:rsidRPr="00535D11">
        <w:rPr>
          <w:rFonts w:ascii="Arial" w:hAnsi="Arial" w:cs="Arial"/>
          <w:b/>
          <w:sz w:val="22"/>
          <w:szCs w:val="22"/>
        </w:rPr>
        <w:t>PA</w:t>
      </w:r>
      <w:r w:rsidRPr="00535D11">
        <w:rPr>
          <w:rFonts w:ascii="Arial" w:hAnsi="Arial" w:cs="Arial"/>
          <w:sz w:val="22"/>
          <w:szCs w:val="22"/>
        </w:rPr>
        <w:t xml:space="preserve"> </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r w:rsidRPr="00535D11">
        <w:rPr>
          <w:rFonts w:ascii="Arial" w:hAnsi="Arial" w:cs="Arial"/>
          <w:sz w:val="22"/>
          <w:szCs w:val="22"/>
        </w:rPr>
        <w:t>Relafen DS (</w:t>
      </w:r>
      <w:proofErr w:type="spellStart"/>
      <w:r w:rsidRPr="00535D11">
        <w:rPr>
          <w:rFonts w:ascii="Arial" w:hAnsi="Arial" w:cs="Arial"/>
          <w:sz w:val="22"/>
          <w:szCs w:val="22"/>
        </w:rPr>
        <w:t>nabumetone</w:t>
      </w:r>
      <w:proofErr w:type="spellEnd"/>
      <w:r w:rsidRPr="00535D11">
        <w:rPr>
          <w:rFonts w:ascii="Arial" w:hAnsi="Arial" w:cs="Arial"/>
          <w:sz w:val="22"/>
          <w:szCs w:val="22"/>
        </w:rPr>
        <w:t xml:space="preserve"> 1000 mg)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Secuado</w:t>
      </w:r>
      <w:proofErr w:type="spellEnd"/>
      <w:r w:rsidRPr="00535D11">
        <w:rPr>
          <w:rFonts w:ascii="Arial" w:hAnsi="Arial" w:cs="Arial"/>
          <w:sz w:val="22"/>
          <w:szCs w:val="22"/>
        </w:rPr>
        <w:t xml:space="preserve"> (</w:t>
      </w:r>
      <w:proofErr w:type="spellStart"/>
      <w:r w:rsidRPr="00535D11">
        <w:rPr>
          <w:rFonts w:ascii="Arial" w:hAnsi="Arial" w:cs="Arial"/>
          <w:sz w:val="22"/>
          <w:szCs w:val="22"/>
        </w:rPr>
        <w:t>asenapine</w:t>
      </w:r>
      <w:proofErr w:type="spellEnd"/>
      <w:r w:rsidRPr="00535D11">
        <w:rPr>
          <w:rFonts w:ascii="Arial" w:hAnsi="Arial" w:cs="Arial"/>
          <w:sz w:val="22"/>
          <w:szCs w:val="22"/>
        </w:rPr>
        <w:t xml:space="preserve"> transdermal)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Wakix</w:t>
      </w:r>
      <w:proofErr w:type="spellEnd"/>
      <w:r w:rsidRPr="00535D11">
        <w:rPr>
          <w:rFonts w:ascii="Arial" w:hAnsi="Arial" w:cs="Arial"/>
          <w:sz w:val="22"/>
          <w:szCs w:val="22"/>
        </w:rPr>
        <w:t xml:space="preserve"> (</w:t>
      </w:r>
      <w:proofErr w:type="spellStart"/>
      <w:r w:rsidRPr="00535D11">
        <w:rPr>
          <w:rFonts w:ascii="Arial" w:hAnsi="Arial" w:cs="Arial"/>
          <w:sz w:val="22"/>
          <w:szCs w:val="22"/>
        </w:rPr>
        <w:t>pitolisant</w:t>
      </w:r>
      <w:proofErr w:type="spellEnd"/>
      <w:r w:rsidRPr="00535D11">
        <w:rPr>
          <w:rFonts w:ascii="Arial" w:hAnsi="Arial" w:cs="Arial"/>
          <w:sz w:val="22"/>
          <w:szCs w:val="22"/>
        </w:rPr>
        <w:t xml:space="preserve">)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Xenleta</w:t>
      </w:r>
      <w:proofErr w:type="spellEnd"/>
      <w:r w:rsidRPr="00535D11">
        <w:rPr>
          <w:rFonts w:ascii="Arial" w:hAnsi="Arial" w:cs="Arial"/>
          <w:sz w:val="22"/>
          <w:szCs w:val="22"/>
        </w:rPr>
        <w:t xml:space="preserve"> (</w:t>
      </w:r>
      <w:proofErr w:type="spellStart"/>
      <w:r w:rsidRPr="00535D11">
        <w:rPr>
          <w:rFonts w:ascii="Arial" w:hAnsi="Arial" w:cs="Arial"/>
          <w:sz w:val="22"/>
          <w:szCs w:val="22"/>
        </w:rPr>
        <w:t>lefamulin</w:t>
      </w:r>
      <w:proofErr w:type="spellEnd"/>
      <w:r w:rsidRPr="00535D11">
        <w:rPr>
          <w:rFonts w:ascii="Arial" w:hAnsi="Arial" w:cs="Arial"/>
          <w:sz w:val="22"/>
          <w:szCs w:val="22"/>
        </w:rPr>
        <w:t xml:space="preserve"> tablet) – </w:t>
      </w:r>
      <w:r w:rsidRPr="00535D11">
        <w:rPr>
          <w:rFonts w:ascii="Arial" w:hAnsi="Arial" w:cs="Arial"/>
          <w:b/>
          <w:sz w:val="22"/>
          <w:szCs w:val="22"/>
        </w:rPr>
        <w:t>PA</w:t>
      </w:r>
    </w:p>
    <w:p w:rsidR="00535D11" w:rsidRPr="00535D11" w:rsidRDefault="00535D11" w:rsidP="00535D11">
      <w:pPr>
        <w:numPr>
          <w:ilvl w:val="0"/>
          <w:numId w:val="2"/>
        </w:numPr>
        <w:autoSpaceDE w:val="0"/>
        <w:autoSpaceDN w:val="0"/>
        <w:adjustRightInd w:val="0"/>
        <w:spacing w:line="276" w:lineRule="auto"/>
        <w:rPr>
          <w:rFonts w:ascii="Arial" w:hAnsi="Arial" w:cs="Arial"/>
          <w:sz w:val="22"/>
          <w:szCs w:val="22"/>
        </w:rPr>
      </w:pPr>
      <w:proofErr w:type="spellStart"/>
      <w:r w:rsidRPr="00535D11">
        <w:rPr>
          <w:rFonts w:ascii="Arial" w:hAnsi="Arial" w:cs="Arial"/>
          <w:sz w:val="22"/>
          <w:szCs w:val="22"/>
        </w:rPr>
        <w:t>Xenleta</w:t>
      </w:r>
      <w:proofErr w:type="spellEnd"/>
      <w:r w:rsidRPr="00535D11">
        <w:rPr>
          <w:rFonts w:ascii="Arial" w:hAnsi="Arial" w:cs="Arial"/>
          <w:sz w:val="22"/>
          <w:szCs w:val="22"/>
        </w:rPr>
        <w:t xml:space="preserve"> (</w:t>
      </w:r>
      <w:proofErr w:type="spellStart"/>
      <w:r w:rsidRPr="00535D11">
        <w:rPr>
          <w:rFonts w:ascii="Arial" w:hAnsi="Arial" w:cs="Arial"/>
          <w:sz w:val="22"/>
          <w:szCs w:val="22"/>
        </w:rPr>
        <w:t>lefamulin</w:t>
      </w:r>
      <w:proofErr w:type="spellEnd"/>
      <w:r w:rsidRPr="00535D11">
        <w:rPr>
          <w:rFonts w:ascii="Arial" w:hAnsi="Arial" w:cs="Arial"/>
          <w:sz w:val="22"/>
          <w:szCs w:val="22"/>
        </w:rPr>
        <w:t xml:space="preserve"> injection) – </w:t>
      </w:r>
      <w:r w:rsidRPr="00535D11">
        <w:rPr>
          <w:rFonts w:ascii="Arial" w:hAnsi="Arial" w:cs="Arial"/>
          <w:b/>
          <w:sz w:val="22"/>
          <w:szCs w:val="22"/>
        </w:rPr>
        <w:t>PA</w:t>
      </w:r>
    </w:p>
    <w:p w:rsidR="00905C46" w:rsidRPr="00905C46" w:rsidRDefault="00AC65DA" w:rsidP="00905C46">
      <w:pPr>
        <w:pStyle w:val="Subtitle"/>
        <w:spacing w:line="240" w:lineRule="auto"/>
        <w:rPr>
          <w:rFonts w:cs="Arial"/>
          <w:b/>
          <w:sz w:val="24"/>
          <w:szCs w:val="24"/>
        </w:rPr>
      </w:pPr>
      <w:r>
        <w:rPr>
          <w:rFonts w:cs="Arial"/>
          <w:b/>
          <w:sz w:val="24"/>
          <w:szCs w:val="24"/>
        </w:rPr>
        <w:t>Change</w:t>
      </w:r>
      <w:r w:rsidRPr="00AC65DA">
        <w:t xml:space="preserve"> </w:t>
      </w:r>
      <w:r w:rsidRPr="00AC65DA">
        <w:rPr>
          <w:rFonts w:cs="Arial"/>
          <w:b/>
          <w:sz w:val="24"/>
          <w:szCs w:val="24"/>
        </w:rPr>
        <w:t>in Prior-Authorization Status</w:t>
      </w:r>
    </w:p>
    <w:p w:rsidR="004B5211" w:rsidRPr="004B5211" w:rsidRDefault="004B5211" w:rsidP="004B5211">
      <w:pPr>
        <w:numPr>
          <w:ilvl w:val="0"/>
          <w:numId w:val="19"/>
        </w:numPr>
        <w:autoSpaceDE w:val="0"/>
        <w:autoSpaceDN w:val="0"/>
        <w:adjustRightInd w:val="0"/>
        <w:spacing w:line="276" w:lineRule="auto"/>
        <w:rPr>
          <w:rFonts w:ascii="Arial" w:hAnsi="Arial" w:cs="Arial"/>
          <w:color w:val="000000"/>
          <w:sz w:val="22"/>
          <w:szCs w:val="22"/>
          <w:lang w:val="fr-FR"/>
        </w:rPr>
      </w:pPr>
      <w:proofErr w:type="gramStart"/>
      <w:r>
        <w:rPr>
          <w:rFonts w:ascii="Arial" w:hAnsi="Arial" w:cs="Arial"/>
          <w:color w:val="000000"/>
          <w:sz w:val="22"/>
          <w:szCs w:val="22"/>
          <w:lang w:val="fr-FR"/>
        </w:rPr>
        <w:t xml:space="preserve">Effective </w:t>
      </w:r>
      <w:r w:rsidR="00905C46" w:rsidRPr="00BE1214">
        <w:rPr>
          <w:rFonts w:ascii="Arial" w:hAnsi="Arial" w:cs="Arial"/>
          <w:color w:val="000000"/>
          <w:sz w:val="22"/>
          <w:szCs w:val="22"/>
          <w:lang w:val="fr-FR"/>
        </w:rPr>
        <w:t xml:space="preserve"> </w:t>
      </w:r>
      <w:r w:rsidRPr="004B5211">
        <w:rPr>
          <w:rFonts w:ascii="Arial" w:hAnsi="Arial" w:cs="Arial"/>
          <w:color w:val="000000"/>
          <w:sz w:val="22"/>
          <w:szCs w:val="22"/>
          <w:lang w:val="fr-FR"/>
        </w:rPr>
        <w:t>March</w:t>
      </w:r>
      <w:proofErr w:type="gramEnd"/>
      <w:r w:rsidRPr="004B5211">
        <w:rPr>
          <w:rFonts w:ascii="Arial" w:hAnsi="Arial" w:cs="Arial"/>
          <w:color w:val="000000"/>
          <w:sz w:val="22"/>
          <w:szCs w:val="22"/>
          <w:lang w:val="fr-FR"/>
        </w:rPr>
        <w:t xml:space="preserve"> 26, 2020, the </w:t>
      </w:r>
      <w:proofErr w:type="spellStart"/>
      <w:r w:rsidRPr="004B5211">
        <w:rPr>
          <w:rFonts w:ascii="Arial" w:hAnsi="Arial" w:cs="Arial"/>
          <w:color w:val="000000"/>
          <w:sz w:val="22"/>
          <w:szCs w:val="22"/>
          <w:lang w:val="fr-FR"/>
        </w:rPr>
        <w:t>following</w:t>
      </w:r>
      <w:proofErr w:type="spellEnd"/>
      <w:r w:rsidRPr="004B5211">
        <w:rPr>
          <w:rFonts w:ascii="Arial" w:hAnsi="Arial" w:cs="Arial"/>
          <w:color w:val="000000"/>
          <w:sz w:val="22"/>
          <w:szCs w:val="22"/>
          <w:lang w:val="fr-FR"/>
        </w:rPr>
        <w:t xml:space="preserve"> </w:t>
      </w:r>
      <w:proofErr w:type="spellStart"/>
      <w:r w:rsidRPr="004B5211">
        <w:rPr>
          <w:rFonts w:ascii="Arial" w:hAnsi="Arial" w:cs="Arial"/>
          <w:color w:val="000000"/>
          <w:sz w:val="22"/>
          <w:szCs w:val="22"/>
          <w:lang w:val="fr-FR"/>
        </w:rPr>
        <w:t>antimalarials</w:t>
      </w:r>
      <w:proofErr w:type="spellEnd"/>
      <w:r w:rsidRPr="004B5211">
        <w:rPr>
          <w:rFonts w:ascii="Arial" w:hAnsi="Arial" w:cs="Arial"/>
          <w:color w:val="000000"/>
          <w:sz w:val="22"/>
          <w:szCs w:val="22"/>
          <w:lang w:val="fr-FR"/>
        </w:rPr>
        <w:t xml:space="preserve"> </w:t>
      </w:r>
      <w:proofErr w:type="spellStart"/>
      <w:r w:rsidRPr="004B5211">
        <w:rPr>
          <w:rFonts w:ascii="Arial" w:hAnsi="Arial" w:cs="Arial"/>
          <w:color w:val="000000"/>
          <w:sz w:val="22"/>
          <w:szCs w:val="22"/>
          <w:lang w:val="fr-FR"/>
        </w:rPr>
        <w:t>will</w:t>
      </w:r>
      <w:proofErr w:type="spellEnd"/>
      <w:r w:rsidRPr="004B5211">
        <w:rPr>
          <w:rFonts w:ascii="Arial" w:hAnsi="Arial" w:cs="Arial"/>
          <w:color w:val="000000"/>
          <w:sz w:val="22"/>
          <w:szCs w:val="22"/>
          <w:lang w:val="fr-FR"/>
        </w:rPr>
        <w:t xml:space="preserve"> </w:t>
      </w:r>
      <w:proofErr w:type="spellStart"/>
      <w:r w:rsidRPr="004B5211">
        <w:rPr>
          <w:rFonts w:ascii="Arial" w:hAnsi="Arial" w:cs="Arial"/>
          <w:color w:val="000000"/>
          <w:sz w:val="22"/>
          <w:szCs w:val="22"/>
          <w:lang w:val="fr-FR"/>
        </w:rPr>
        <w:t>require</w:t>
      </w:r>
      <w:proofErr w:type="spellEnd"/>
      <w:r w:rsidRPr="004B5211">
        <w:rPr>
          <w:rFonts w:ascii="Arial" w:hAnsi="Arial" w:cs="Arial"/>
          <w:color w:val="000000"/>
          <w:sz w:val="22"/>
          <w:szCs w:val="22"/>
          <w:lang w:val="fr-FR"/>
        </w:rPr>
        <w:t xml:space="preserve"> </w:t>
      </w:r>
      <w:proofErr w:type="spellStart"/>
      <w:r w:rsidRPr="004B5211">
        <w:rPr>
          <w:rFonts w:ascii="Arial" w:hAnsi="Arial" w:cs="Arial"/>
          <w:color w:val="000000"/>
          <w:sz w:val="22"/>
          <w:szCs w:val="22"/>
          <w:lang w:val="fr-FR"/>
        </w:rPr>
        <w:t>prior</w:t>
      </w:r>
      <w:proofErr w:type="spellEnd"/>
      <w:r w:rsidRPr="004B5211">
        <w:rPr>
          <w:rFonts w:ascii="Arial" w:hAnsi="Arial" w:cs="Arial"/>
          <w:color w:val="000000"/>
          <w:sz w:val="22"/>
          <w:szCs w:val="22"/>
          <w:lang w:val="fr-FR"/>
        </w:rPr>
        <w:t xml:space="preserve"> </w:t>
      </w:r>
      <w:proofErr w:type="spellStart"/>
      <w:r w:rsidRPr="004B5211">
        <w:rPr>
          <w:rFonts w:ascii="Arial" w:hAnsi="Arial" w:cs="Arial"/>
          <w:color w:val="000000"/>
          <w:sz w:val="22"/>
          <w:szCs w:val="22"/>
          <w:lang w:val="fr-FR"/>
        </w:rPr>
        <w:t>authorization</w:t>
      </w:r>
      <w:proofErr w:type="spellEnd"/>
      <w:r w:rsidRPr="004B5211">
        <w:rPr>
          <w:rFonts w:ascii="Arial" w:hAnsi="Arial" w:cs="Arial"/>
          <w:color w:val="000000"/>
          <w:sz w:val="22"/>
          <w:szCs w:val="22"/>
          <w:lang w:val="fr-FR"/>
        </w:rPr>
        <w:t xml:space="preserve">. </w:t>
      </w:r>
    </w:p>
    <w:p w:rsidR="004B5211" w:rsidRPr="004B5211" w:rsidRDefault="004B5211" w:rsidP="003F589B">
      <w:pPr>
        <w:pStyle w:val="ListParagraph"/>
        <w:numPr>
          <w:ilvl w:val="0"/>
          <w:numId w:val="26"/>
        </w:numPr>
        <w:tabs>
          <w:tab w:val="left" w:pos="1080"/>
        </w:tabs>
        <w:autoSpaceDE w:val="0"/>
        <w:autoSpaceDN w:val="0"/>
        <w:adjustRightInd w:val="0"/>
        <w:spacing w:line="276" w:lineRule="auto"/>
        <w:ind w:left="720" w:firstLine="0"/>
        <w:rPr>
          <w:rFonts w:ascii="Arial" w:hAnsi="Arial" w:cs="Arial"/>
          <w:color w:val="000000"/>
          <w:sz w:val="22"/>
          <w:szCs w:val="22"/>
          <w:lang w:val="fr-FR"/>
        </w:rPr>
      </w:pPr>
      <w:r w:rsidRPr="004B5211">
        <w:rPr>
          <w:rFonts w:ascii="Arial" w:hAnsi="Arial" w:cs="Arial"/>
          <w:color w:val="000000"/>
          <w:sz w:val="22"/>
          <w:szCs w:val="22"/>
          <w:lang w:val="fr-FR"/>
        </w:rPr>
        <w:t xml:space="preserve">chloroquine phosphate – </w:t>
      </w:r>
      <w:r w:rsidRPr="00060560">
        <w:rPr>
          <w:rFonts w:ascii="Arial" w:hAnsi="Arial" w:cs="Arial"/>
          <w:b/>
          <w:color w:val="000000"/>
          <w:sz w:val="22"/>
          <w:szCs w:val="22"/>
          <w:lang w:val="fr-FR"/>
        </w:rPr>
        <w:t>PA</w:t>
      </w:r>
      <w:r w:rsidRPr="004B5211">
        <w:rPr>
          <w:rFonts w:ascii="Arial" w:hAnsi="Arial" w:cs="Arial"/>
          <w:color w:val="000000"/>
          <w:sz w:val="22"/>
          <w:szCs w:val="22"/>
          <w:lang w:val="fr-FR"/>
        </w:rPr>
        <w:t xml:space="preserve"> </w:t>
      </w:r>
    </w:p>
    <w:p w:rsidR="004B5211" w:rsidRPr="004B5211" w:rsidRDefault="004B5211" w:rsidP="004B5211">
      <w:pPr>
        <w:pStyle w:val="ListParagraph"/>
        <w:numPr>
          <w:ilvl w:val="0"/>
          <w:numId w:val="26"/>
        </w:numPr>
        <w:tabs>
          <w:tab w:val="left" w:pos="1080"/>
        </w:tabs>
        <w:autoSpaceDE w:val="0"/>
        <w:autoSpaceDN w:val="0"/>
        <w:adjustRightInd w:val="0"/>
        <w:spacing w:line="276" w:lineRule="auto"/>
        <w:ind w:left="720" w:firstLine="0"/>
        <w:rPr>
          <w:rFonts w:ascii="Arial" w:hAnsi="Arial" w:cs="Arial"/>
          <w:color w:val="000000"/>
          <w:sz w:val="22"/>
          <w:szCs w:val="22"/>
          <w:lang w:val="fr-FR"/>
        </w:rPr>
      </w:pPr>
      <w:proofErr w:type="spellStart"/>
      <w:r w:rsidRPr="004B5211">
        <w:rPr>
          <w:rFonts w:ascii="Arial" w:hAnsi="Arial" w:cs="Arial"/>
          <w:color w:val="000000"/>
          <w:sz w:val="22"/>
          <w:szCs w:val="22"/>
          <w:lang w:val="fr-FR"/>
        </w:rPr>
        <w:t>hydroxychloroquine</w:t>
      </w:r>
      <w:proofErr w:type="spellEnd"/>
      <w:r w:rsidRPr="004B5211">
        <w:rPr>
          <w:rFonts w:ascii="Arial" w:hAnsi="Arial" w:cs="Arial"/>
          <w:color w:val="000000"/>
          <w:sz w:val="22"/>
          <w:szCs w:val="22"/>
          <w:lang w:val="fr-FR"/>
        </w:rPr>
        <w:t xml:space="preserve"> – </w:t>
      </w:r>
      <w:r w:rsidRPr="00060560">
        <w:rPr>
          <w:rFonts w:ascii="Arial" w:hAnsi="Arial" w:cs="Arial"/>
          <w:b/>
          <w:color w:val="000000"/>
          <w:sz w:val="22"/>
          <w:szCs w:val="22"/>
          <w:lang w:val="fr-FR"/>
        </w:rPr>
        <w:t>PA</w:t>
      </w:r>
      <w:r w:rsidRPr="004B5211">
        <w:rPr>
          <w:rFonts w:ascii="Arial" w:hAnsi="Arial" w:cs="Arial"/>
          <w:color w:val="000000"/>
          <w:sz w:val="22"/>
          <w:szCs w:val="22"/>
          <w:lang w:val="fr-FR"/>
        </w:rPr>
        <w:t xml:space="preserve"> </w:t>
      </w:r>
    </w:p>
    <w:p w:rsidR="004B5211" w:rsidRDefault="004B5211" w:rsidP="004B5211">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Effective</w:t>
      </w:r>
      <w:r w:rsidR="00905C46" w:rsidRPr="00905C46">
        <w:rPr>
          <w:rFonts w:ascii="Arial" w:hAnsi="Arial" w:cs="Arial"/>
          <w:color w:val="000000"/>
          <w:sz w:val="22"/>
          <w:szCs w:val="22"/>
        </w:rPr>
        <w:t xml:space="preserve"> </w:t>
      </w:r>
      <w:r w:rsidRPr="004B5211">
        <w:rPr>
          <w:rFonts w:ascii="Arial" w:hAnsi="Arial" w:cs="Arial"/>
          <w:color w:val="000000"/>
          <w:sz w:val="22"/>
          <w:szCs w:val="22"/>
        </w:rPr>
        <w:t xml:space="preserve">April 6, 2020, the following antidepressants will no longer require prior authorization when used within newly established quantity limits. Pediatric Behavioral Health Medication Initiative </w:t>
      </w:r>
      <w:r w:rsidRPr="004B5211">
        <w:rPr>
          <w:rFonts w:ascii="Arial" w:hAnsi="Arial" w:cs="Arial"/>
          <w:color w:val="000000"/>
          <w:sz w:val="22"/>
          <w:szCs w:val="22"/>
        </w:rPr>
        <w:lastRenderedPageBreak/>
        <w:t xml:space="preserve">criteria will still apply. For additional information, please see the Pediatric Behavioral Health Medication Initiative documents found at </w:t>
      </w:r>
      <w:hyperlink r:id="rId13" w:history="1">
        <w:r w:rsidRPr="009E284F">
          <w:rPr>
            <w:rStyle w:val="Hyperlink"/>
            <w:rFonts w:ascii="Arial" w:hAnsi="Arial" w:cs="Arial"/>
            <w:sz w:val="22"/>
            <w:szCs w:val="22"/>
          </w:rPr>
          <w:t>www.mass.gov/druglist</w:t>
        </w:r>
      </w:hyperlink>
      <w:r>
        <w:rPr>
          <w:rFonts w:ascii="Arial" w:hAnsi="Arial" w:cs="Arial"/>
          <w:color w:val="000000"/>
          <w:sz w:val="22"/>
          <w:szCs w:val="22"/>
        </w:rPr>
        <w:t>.</w:t>
      </w:r>
    </w:p>
    <w:p w:rsidR="004B5211" w:rsidRPr="004400B4" w:rsidRDefault="004B5211" w:rsidP="004B5211">
      <w:pPr>
        <w:pStyle w:val="ListParagraph"/>
        <w:numPr>
          <w:ilvl w:val="0"/>
          <w:numId w:val="27"/>
        </w:numPr>
        <w:autoSpaceDE w:val="0"/>
        <w:autoSpaceDN w:val="0"/>
        <w:adjustRightInd w:val="0"/>
        <w:spacing w:line="276" w:lineRule="auto"/>
        <w:ind w:left="1080"/>
        <w:rPr>
          <w:rFonts w:ascii="Arial" w:hAnsi="Arial" w:cs="Arial"/>
          <w:b/>
          <w:color w:val="000000"/>
          <w:sz w:val="22"/>
          <w:szCs w:val="22"/>
        </w:rPr>
      </w:pPr>
      <w:proofErr w:type="spellStart"/>
      <w:r w:rsidRPr="004B5211">
        <w:rPr>
          <w:rFonts w:ascii="Arial" w:hAnsi="Arial" w:cs="Arial"/>
          <w:color w:val="000000"/>
          <w:sz w:val="22"/>
          <w:szCs w:val="22"/>
        </w:rPr>
        <w:t>Aplenzin</w:t>
      </w:r>
      <w:proofErr w:type="spellEnd"/>
      <w:r w:rsidRPr="004B5211">
        <w:rPr>
          <w:rFonts w:ascii="Arial" w:hAnsi="Arial" w:cs="Arial"/>
          <w:color w:val="000000"/>
          <w:sz w:val="22"/>
          <w:szCs w:val="22"/>
        </w:rPr>
        <w:t xml:space="preserve"> (bupropion </w:t>
      </w:r>
      <w:proofErr w:type="spellStart"/>
      <w:r w:rsidRPr="004B5211">
        <w:rPr>
          <w:rFonts w:ascii="Arial" w:hAnsi="Arial" w:cs="Arial"/>
          <w:color w:val="000000"/>
          <w:sz w:val="22"/>
          <w:szCs w:val="22"/>
        </w:rPr>
        <w:t>hydrobromide</w:t>
      </w:r>
      <w:proofErr w:type="spellEnd"/>
      <w:r w:rsidRPr="004B5211">
        <w:rPr>
          <w:rFonts w:ascii="Arial" w:hAnsi="Arial" w:cs="Arial"/>
          <w:color w:val="000000"/>
          <w:sz w:val="22"/>
          <w:szCs w:val="22"/>
        </w:rPr>
        <w:t xml:space="preserve"> extended-release) – </w:t>
      </w:r>
      <w:r w:rsidRPr="004400B4">
        <w:rPr>
          <w:rFonts w:ascii="Arial" w:hAnsi="Arial" w:cs="Arial"/>
          <w:b/>
          <w:color w:val="000000"/>
          <w:sz w:val="22"/>
          <w:szCs w:val="22"/>
        </w:rPr>
        <w:t>PA &lt; 6 years and PA &gt; 30 units/month</w:t>
      </w:r>
    </w:p>
    <w:p w:rsidR="004B5211" w:rsidRPr="004400B4" w:rsidRDefault="004B5211" w:rsidP="0089082D">
      <w:pPr>
        <w:pStyle w:val="ListParagraph"/>
        <w:numPr>
          <w:ilvl w:val="0"/>
          <w:numId w:val="27"/>
        </w:numPr>
        <w:ind w:left="1080"/>
        <w:rPr>
          <w:rFonts w:ascii="Arial" w:hAnsi="Arial" w:cs="Arial"/>
          <w:b/>
          <w:color w:val="000000"/>
          <w:sz w:val="22"/>
          <w:szCs w:val="22"/>
        </w:rPr>
      </w:pPr>
      <w:proofErr w:type="spellStart"/>
      <w:r w:rsidRPr="0089082D">
        <w:rPr>
          <w:rFonts w:ascii="Arial" w:hAnsi="Arial" w:cs="Arial"/>
          <w:color w:val="000000"/>
          <w:sz w:val="22"/>
          <w:szCs w:val="22"/>
        </w:rPr>
        <w:t>Pristiq</w:t>
      </w:r>
      <w:proofErr w:type="spellEnd"/>
      <w:r w:rsidR="0089082D">
        <w:rPr>
          <w:rFonts w:ascii="Arial" w:hAnsi="Arial" w:cs="Arial"/>
          <w:color w:val="000000"/>
          <w:sz w:val="22"/>
          <w:szCs w:val="22"/>
        </w:rPr>
        <w:t xml:space="preserve"> </w:t>
      </w:r>
      <w:r w:rsidR="0089082D" w:rsidRPr="0089082D">
        <w:rPr>
          <w:rFonts w:ascii="Arial" w:hAnsi="Arial" w:cs="Arial"/>
          <w:color w:val="000000"/>
          <w:sz w:val="22"/>
          <w:szCs w:val="22"/>
        </w:rPr>
        <w:t># (</w:t>
      </w:r>
      <w:proofErr w:type="spellStart"/>
      <w:r w:rsidR="0089082D" w:rsidRPr="0089082D">
        <w:rPr>
          <w:rFonts w:ascii="Arial" w:hAnsi="Arial" w:cs="Arial"/>
          <w:color w:val="000000"/>
          <w:sz w:val="22"/>
          <w:szCs w:val="22"/>
        </w:rPr>
        <w:t>desvenlafaxine</w:t>
      </w:r>
      <w:proofErr w:type="spellEnd"/>
      <w:r w:rsidR="0089082D" w:rsidRPr="0089082D">
        <w:rPr>
          <w:rFonts w:ascii="Arial" w:hAnsi="Arial" w:cs="Arial"/>
          <w:color w:val="000000"/>
          <w:sz w:val="22"/>
          <w:szCs w:val="22"/>
        </w:rPr>
        <w:t xml:space="preserve"> succinate extended-release) – </w:t>
      </w:r>
      <w:r w:rsidR="0089082D" w:rsidRPr="004400B4">
        <w:rPr>
          <w:rFonts w:ascii="Arial" w:hAnsi="Arial" w:cs="Arial"/>
          <w:b/>
          <w:color w:val="000000"/>
          <w:sz w:val="22"/>
          <w:szCs w:val="22"/>
        </w:rPr>
        <w:t>PA &lt; 6 years and PA &gt; 30 units/month</w:t>
      </w:r>
    </w:p>
    <w:p w:rsidR="008D7632" w:rsidRPr="008D7632" w:rsidRDefault="008D7632" w:rsidP="008D7632">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Effective</w:t>
      </w:r>
      <w:r w:rsidR="00905C46" w:rsidRPr="00905C46">
        <w:rPr>
          <w:rFonts w:ascii="Arial" w:hAnsi="Arial" w:cs="Arial"/>
          <w:color w:val="000000"/>
          <w:sz w:val="22"/>
          <w:szCs w:val="22"/>
        </w:rPr>
        <w:t xml:space="preserve"> </w:t>
      </w:r>
      <w:r w:rsidRPr="008D7632">
        <w:rPr>
          <w:rFonts w:ascii="Arial" w:hAnsi="Arial" w:cs="Arial"/>
          <w:color w:val="000000"/>
          <w:sz w:val="22"/>
          <w:szCs w:val="22"/>
        </w:rPr>
        <w:t>April 6, 2020, the following antidepressant will no longer require prior authorization when used within established quantity limits. Pediatric Behavioral Health Medication Initiative criteria will still apply. For additional information, please see the Pediatric Behavioral Health Medication Initiative documents</w:t>
      </w:r>
      <w:r>
        <w:rPr>
          <w:rFonts w:ascii="Arial" w:hAnsi="Arial" w:cs="Arial"/>
          <w:color w:val="000000"/>
          <w:sz w:val="22"/>
          <w:szCs w:val="22"/>
        </w:rPr>
        <w:t xml:space="preserve"> found at </w:t>
      </w:r>
      <w:hyperlink r:id="rId14" w:history="1">
        <w:r w:rsidRPr="009E284F">
          <w:rPr>
            <w:rStyle w:val="Hyperlink"/>
            <w:rFonts w:ascii="Arial" w:hAnsi="Arial" w:cs="Arial"/>
            <w:sz w:val="22"/>
            <w:szCs w:val="22"/>
          </w:rPr>
          <w:t>www.mass.gov/druglist</w:t>
        </w:r>
      </w:hyperlink>
      <w:r>
        <w:rPr>
          <w:rFonts w:ascii="Arial" w:hAnsi="Arial" w:cs="Arial"/>
          <w:color w:val="000000"/>
          <w:sz w:val="22"/>
          <w:szCs w:val="22"/>
        </w:rPr>
        <w:t>.</w:t>
      </w:r>
    </w:p>
    <w:p w:rsidR="008D7632" w:rsidRPr="00C558B6" w:rsidRDefault="008D7632" w:rsidP="008D7632">
      <w:pPr>
        <w:pStyle w:val="ListParagraph"/>
        <w:numPr>
          <w:ilvl w:val="0"/>
          <w:numId w:val="28"/>
        </w:numPr>
        <w:autoSpaceDE w:val="0"/>
        <w:autoSpaceDN w:val="0"/>
        <w:adjustRightInd w:val="0"/>
        <w:spacing w:line="276" w:lineRule="auto"/>
        <w:ind w:left="1080"/>
        <w:rPr>
          <w:rFonts w:ascii="Arial" w:hAnsi="Arial" w:cs="Arial"/>
          <w:b/>
          <w:color w:val="000000"/>
          <w:sz w:val="22"/>
          <w:szCs w:val="22"/>
        </w:rPr>
      </w:pPr>
      <w:proofErr w:type="spellStart"/>
      <w:r w:rsidRPr="008D7632">
        <w:rPr>
          <w:rFonts w:ascii="Arial" w:hAnsi="Arial" w:cs="Arial"/>
          <w:color w:val="000000"/>
          <w:sz w:val="22"/>
          <w:szCs w:val="22"/>
        </w:rPr>
        <w:t>Fetzima</w:t>
      </w:r>
      <w:proofErr w:type="spellEnd"/>
      <w:r w:rsidRPr="008D7632">
        <w:rPr>
          <w:rFonts w:ascii="Arial" w:hAnsi="Arial" w:cs="Arial"/>
          <w:color w:val="000000"/>
          <w:sz w:val="22"/>
          <w:szCs w:val="22"/>
        </w:rPr>
        <w:t xml:space="preserve"> (</w:t>
      </w:r>
      <w:proofErr w:type="spellStart"/>
      <w:r w:rsidRPr="008D7632">
        <w:rPr>
          <w:rFonts w:ascii="Arial" w:hAnsi="Arial" w:cs="Arial"/>
          <w:color w:val="000000"/>
          <w:sz w:val="22"/>
          <w:szCs w:val="22"/>
        </w:rPr>
        <w:t>levomilnacipran</w:t>
      </w:r>
      <w:proofErr w:type="spellEnd"/>
      <w:r w:rsidRPr="008D7632">
        <w:rPr>
          <w:rFonts w:ascii="Arial" w:hAnsi="Arial" w:cs="Arial"/>
          <w:color w:val="000000"/>
          <w:sz w:val="22"/>
          <w:szCs w:val="22"/>
        </w:rPr>
        <w:t xml:space="preserve">) – </w:t>
      </w:r>
      <w:r w:rsidRPr="00C558B6">
        <w:rPr>
          <w:rFonts w:ascii="Arial" w:hAnsi="Arial" w:cs="Arial"/>
          <w:b/>
          <w:color w:val="000000"/>
          <w:sz w:val="22"/>
          <w:szCs w:val="22"/>
        </w:rPr>
        <w:t>PA &lt; 6 years and PA &gt; 30 units/month</w:t>
      </w:r>
    </w:p>
    <w:p w:rsidR="008D7632" w:rsidRPr="008D7632" w:rsidRDefault="008D7632" w:rsidP="008D7632">
      <w:pPr>
        <w:numPr>
          <w:ilvl w:val="0"/>
          <w:numId w:val="19"/>
        </w:numPr>
        <w:autoSpaceDE w:val="0"/>
        <w:autoSpaceDN w:val="0"/>
        <w:adjustRightInd w:val="0"/>
        <w:spacing w:line="276" w:lineRule="auto"/>
        <w:rPr>
          <w:rFonts w:ascii="Arial" w:hAnsi="Arial" w:cs="Arial"/>
          <w:color w:val="000000"/>
          <w:sz w:val="22"/>
          <w:szCs w:val="22"/>
        </w:rPr>
      </w:pPr>
      <w:r w:rsidRPr="008D7632">
        <w:rPr>
          <w:rFonts w:ascii="Arial" w:hAnsi="Arial" w:cs="Arial"/>
          <w:color w:val="000000"/>
          <w:sz w:val="22"/>
          <w:szCs w:val="22"/>
        </w:rPr>
        <w:t>Effective</w:t>
      </w:r>
      <w:r w:rsidR="00905C46" w:rsidRPr="00905C46">
        <w:rPr>
          <w:rFonts w:ascii="Arial" w:hAnsi="Arial" w:cs="Arial"/>
          <w:color w:val="000000"/>
          <w:sz w:val="22"/>
          <w:szCs w:val="22"/>
        </w:rPr>
        <w:t xml:space="preserve"> </w:t>
      </w:r>
      <w:r w:rsidRPr="008D7632">
        <w:rPr>
          <w:rFonts w:ascii="Arial" w:hAnsi="Arial" w:cs="Arial"/>
          <w:color w:val="000000"/>
          <w:sz w:val="22"/>
          <w:szCs w:val="22"/>
        </w:rPr>
        <w:t xml:space="preserve">April 6, 2020, the following antidepressant will no longer require prior authorization. Pediatric Behavioral Health Medication Initiative criteria will still apply. For additional information, please see the Pediatric Behavioral Health Medication Initiative documents found at </w:t>
      </w:r>
      <w:hyperlink r:id="rId15" w:history="1">
        <w:r w:rsidRPr="009E284F">
          <w:rPr>
            <w:rStyle w:val="Hyperlink"/>
            <w:rFonts w:ascii="Arial" w:hAnsi="Arial" w:cs="Arial"/>
            <w:sz w:val="22"/>
            <w:szCs w:val="22"/>
          </w:rPr>
          <w:t>www.mass.gov/druglist</w:t>
        </w:r>
      </w:hyperlink>
      <w:r>
        <w:rPr>
          <w:rFonts w:ascii="Arial" w:hAnsi="Arial" w:cs="Arial"/>
          <w:color w:val="000000"/>
          <w:sz w:val="22"/>
          <w:szCs w:val="22"/>
        </w:rPr>
        <w:t>.</w:t>
      </w:r>
    </w:p>
    <w:p w:rsidR="008D7632" w:rsidRPr="00FF36EF" w:rsidRDefault="008D7632" w:rsidP="008D7632">
      <w:pPr>
        <w:pStyle w:val="ListParagraph"/>
        <w:numPr>
          <w:ilvl w:val="0"/>
          <w:numId w:val="28"/>
        </w:numPr>
        <w:autoSpaceDE w:val="0"/>
        <w:autoSpaceDN w:val="0"/>
        <w:adjustRightInd w:val="0"/>
        <w:spacing w:line="276" w:lineRule="auto"/>
        <w:ind w:left="1080"/>
        <w:rPr>
          <w:rFonts w:ascii="Arial" w:hAnsi="Arial" w:cs="Arial"/>
          <w:b/>
          <w:color w:val="000000"/>
          <w:sz w:val="22"/>
          <w:szCs w:val="22"/>
        </w:rPr>
      </w:pPr>
      <w:proofErr w:type="spellStart"/>
      <w:r w:rsidRPr="008D7632">
        <w:rPr>
          <w:rFonts w:ascii="Arial" w:hAnsi="Arial" w:cs="Arial"/>
          <w:color w:val="000000"/>
          <w:sz w:val="22"/>
          <w:szCs w:val="22"/>
        </w:rPr>
        <w:t>Sarafem</w:t>
      </w:r>
      <w:proofErr w:type="spellEnd"/>
      <w:r w:rsidRPr="008D7632">
        <w:rPr>
          <w:rFonts w:ascii="Arial" w:hAnsi="Arial" w:cs="Arial"/>
          <w:color w:val="000000"/>
          <w:sz w:val="22"/>
          <w:szCs w:val="22"/>
        </w:rPr>
        <w:t xml:space="preserve"> # (fluoxetine 20 mg tablet for premenstrual dysphoric disorder) – </w:t>
      </w:r>
      <w:r w:rsidRPr="00FF36EF">
        <w:rPr>
          <w:rFonts w:ascii="Arial" w:hAnsi="Arial" w:cs="Arial"/>
          <w:b/>
          <w:color w:val="000000"/>
          <w:sz w:val="22"/>
          <w:szCs w:val="22"/>
        </w:rPr>
        <w:t>PA &lt; 6 years</w:t>
      </w:r>
    </w:p>
    <w:p w:rsidR="0037774F" w:rsidRPr="00FF36EF" w:rsidRDefault="008D7632" w:rsidP="00FF36EF">
      <w:pPr>
        <w:pStyle w:val="ListParagraph"/>
        <w:numPr>
          <w:ilvl w:val="0"/>
          <w:numId w:val="19"/>
        </w:numPr>
        <w:rPr>
          <w:rFonts w:ascii="Arial" w:hAnsi="Arial" w:cs="Arial"/>
          <w:color w:val="000000"/>
          <w:sz w:val="22"/>
          <w:szCs w:val="22"/>
        </w:rPr>
      </w:pPr>
      <w:r w:rsidRPr="0037774F">
        <w:rPr>
          <w:rFonts w:ascii="Arial" w:hAnsi="Arial" w:cs="Arial"/>
          <w:color w:val="000000"/>
          <w:sz w:val="22"/>
          <w:szCs w:val="22"/>
        </w:rPr>
        <w:t xml:space="preserve">Effective </w:t>
      </w:r>
      <w:r w:rsidR="0037774F" w:rsidRPr="0037774F">
        <w:rPr>
          <w:rFonts w:ascii="Arial" w:hAnsi="Arial" w:cs="Arial"/>
          <w:color w:val="000000"/>
          <w:sz w:val="22"/>
          <w:szCs w:val="22"/>
        </w:rPr>
        <w:t xml:space="preserve">April 6, 2020, the following intranasal corticosteroids will no longer require prior authorization when used within established quantity limits. </w:t>
      </w:r>
    </w:p>
    <w:p w:rsidR="000B4803" w:rsidRDefault="0037774F" w:rsidP="0037774F">
      <w:pPr>
        <w:pStyle w:val="ListParagraph"/>
        <w:numPr>
          <w:ilvl w:val="0"/>
          <w:numId w:val="28"/>
        </w:numPr>
        <w:ind w:left="1080"/>
        <w:rPr>
          <w:rFonts w:ascii="Arial" w:hAnsi="Arial" w:cs="Arial"/>
          <w:color w:val="000000"/>
          <w:sz w:val="22"/>
          <w:szCs w:val="22"/>
        </w:rPr>
        <w:sectPr w:rsidR="000B4803" w:rsidSect="003C1739">
          <w:footerReference w:type="default" r:id="rId16"/>
          <w:type w:val="continuous"/>
          <w:pgSz w:w="12240" w:h="15840" w:code="1"/>
          <w:pgMar w:top="360" w:right="907" w:bottom="432" w:left="907" w:header="720" w:footer="576" w:gutter="0"/>
          <w:cols w:num="2" w:sep="1" w:space="720"/>
          <w:docGrid w:linePitch="360"/>
        </w:sectPr>
      </w:pPr>
      <w:proofErr w:type="spellStart"/>
      <w:r w:rsidRPr="0037774F">
        <w:rPr>
          <w:rFonts w:ascii="Arial" w:hAnsi="Arial" w:cs="Arial"/>
          <w:color w:val="000000"/>
          <w:sz w:val="22"/>
          <w:szCs w:val="22"/>
        </w:rPr>
        <w:t>Beconase</w:t>
      </w:r>
      <w:proofErr w:type="spellEnd"/>
      <w:r w:rsidRPr="0037774F">
        <w:rPr>
          <w:rFonts w:ascii="Arial" w:hAnsi="Arial" w:cs="Arial"/>
          <w:color w:val="000000"/>
          <w:sz w:val="22"/>
          <w:szCs w:val="22"/>
        </w:rPr>
        <w:t xml:space="preserve"> AQ (beclomethasone nasal spray) – </w:t>
      </w:r>
      <w:r w:rsidRPr="00FF36EF">
        <w:rPr>
          <w:rFonts w:ascii="Arial" w:hAnsi="Arial" w:cs="Arial"/>
          <w:b/>
          <w:color w:val="000000"/>
          <w:sz w:val="22"/>
          <w:szCs w:val="22"/>
        </w:rPr>
        <w:t>PA &gt; 1 inhaler/month</w:t>
      </w:r>
    </w:p>
    <w:p w:rsidR="0037774F" w:rsidRPr="0037774F" w:rsidRDefault="0037774F" w:rsidP="0037774F">
      <w:pPr>
        <w:pStyle w:val="ListParagraph"/>
        <w:numPr>
          <w:ilvl w:val="0"/>
          <w:numId w:val="28"/>
        </w:numPr>
        <w:spacing w:after="60"/>
        <w:ind w:left="1080"/>
        <w:rPr>
          <w:rFonts w:ascii="Arial" w:hAnsi="Arial" w:cs="Arial"/>
          <w:color w:val="000000"/>
          <w:sz w:val="22"/>
          <w:szCs w:val="22"/>
        </w:rPr>
      </w:pPr>
      <w:proofErr w:type="spellStart"/>
      <w:r w:rsidRPr="0037774F">
        <w:rPr>
          <w:rFonts w:ascii="Arial" w:hAnsi="Arial" w:cs="Arial"/>
          <w:color w:val="000000"/>
          <w:sz w:val="22"/>
          <w:szCs w:val="22"/>
        </w:rPr>
        <w:lastRenderedPageBreak/>
        <w:t>Zetonna</w:t>
      </w:r>
      <w:proofErr w:type="spellEnd"/>
      <w:r w:rsidRPr="0037774F">
        <w:rPr>
          <w:rFonts w:ascii="Arial" w:hAnsi="Arial" w:cs="Arial"/>
          <w:color w:val="000000"/>
          <w:sz w:val="22"/>
          <w:szCs w:val="22"/>
        </w:rPr>
        <w:t xml:space="preserve"> (</w:t>
      </w:r>
      <w:proofErr w:type="spellStart"/>
      <w:r w:rsidRPr="0037774F">
        <w:rPr>
          <w:rFonts w:ascii="Arial" w:hAnsi="Arial" w:cs="Arial"/>
          <w:color w:val="000000"/>
          <w:sz w:val="22"/>
          <w:szCs w:val="22"/>
        </w:rPr>
        <w:t>ciclesonide</w:t>
      </w:r>
      <w:proofErr w:type="spellEnd"/>
      <w:r w:rsidRPr="0037774F">
        <w:rPr>
          <w:rFonts w:ascii="Arial" w:hAnsi="Arial" w:cs="Arial"/>
          <w:color w:val="000000"/>
          <w:sz w:val="22"/>
          <w:szCs w:val="22"/>
        </w:rPr>
        <w:t xml:space="preserve"> nasal aerosol, 37 mcg) – </w:t>
      </w:r>
      <w:r w:rsidRPr="009D32CB">
        <w:rPr>
          <w:rFonts w:ascii="Arial" w:hAnsi="Arial" w:cs="Arial"/>
          <w:b/>
          <w:color w:val="000000"/>
          <w:sz w:val="22"/>
          <w:szCs w:val="22"/>
        </w:rPr>
        <w:t>PA &gt; 1 inhaler/month</w:t>
      </w:r>
    </w:p>
    <w:p w:rsidR="00B503C7" w:rsidRPr="000713D3" w:rsidRDefault="0037774F" w:rsidP="0037774F">
      <w:pPr>
        <w:numPr>
          <w:ilvl w:val="0"/>
          <w:numId w:val="1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Effective</w:t>
      </w:r>
      <w:r w:rsidR="00905C46" w:rsidRPr="00905C46">
        <w:rPr>
          <w:rFonts w:ascii="Arial" w:hAnsi="Arial" w:cs="Arial"/>
          <w:color w:val="000000"/>
          <w:sz w:val="22"/>
          <w:szCs w:val="22"/>
        </w:rPr>
        <w:t xml:space="preserve"> </w:t>
      </w:r>
      <w:r w:rsidRPr="0037774F">
        <w:rPr>
          <w:rFonts w:ascii="Arial" w:hAnsi="Arial" w:cs="Arial"/>
          <w:color w:val="000000"/>
          <w:sz w:val="22"/>
          <w:szCs w:val="22"/>
        </w:rPr>
        <w:t xml:space="preserve">April 6, 2020, the following immunosuppressant will require prior authorization. </w:t>
      </w:r>
    </w:p>
    <w:p w:rsidR="00905C46" w:rsidRPr="0037774F" w:rsidRDefault="0037774F" w:rsidP="0037774F">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Pr>
          <w:rFonts w:ascii="Arial" w:hAnsi="Arial" w:cs="Arial"/>
          <w:color w:val="000000"/>
          <w:sz w:val="22"/>
          <w:szCs w:val="22"/>
        </w:rPr>
        <w:t>Envarsus</w:t>
      </w:r>
      <w:proofErr w:type="spellEnd"/>
      <w:r>
        <w:rPr>
          <w:rFonts w:ascii="Arial" w:hAnsi="Arial" w:cs="Arial"/>
          <w:color w:val="000000"/>
          <w:sz w:val="22"/>
          <w:szCs w:val="22"/>
        </w:rPr>
        <w:t xml:space="preserve"> XR</w:t>
      </w:r>
      <w:r w:rsidR="00905C46" w:rsidRPr="00140D3B">
        <w:rPr>
          <w:rFonts w:ascii="Arial" w:hAnsi="Arial" w:cs="Arial"/>
          <w:color w:val="000000"/>
          <w:sz w:val="22"/>
          <w:szCs w:val="22"/>
        </w:rPr>
        <w:t xml:space="preserve"> </w:t>
      </w:r>
      <w:r w:rsidRPr="0037774F">
        <w:rPr>
          <w:rFonts w:ascii="Arial" w:hAnsi="Arial" w:cs="Arial"/>
          <w:color w:val="000000"/>
          <w:sz w:val="22"/>
          <w:szCs w:val="22"/>
        </w:rPr>
        <w:t xml:space="preserve">(tacrolimus extended-release tablet) </w:t>
      </w:r>
      <w:r w:rsidR="00905C46" w:rsidRPr="0037774F">
        <w:rPr>
          <w:rFonts w:ascii="Arial" w:hAnsi="Arial" w:cs="Arial"/>
          <w:color w:val="000000"/>
          <w:sz w:val="22"/>
          <w:szCs w:val="22"/>
        </w:rPr>
        <w:t xml:space="preserve">– </w:t>
      </w:r>
      <w:r w:rsidR="00905C46" w:rsidRPr="0037774F">
        <w:rPr>
          <w:rFonts w:ascii="Arial" w:hAnsi="Arial" w:cs="Arial"/>
          <w:b/>
          <w:color w:val="000000"/>
          <w:sz w:val="22"/>
          <w:szCs w:val="22"/>
        </w:rPr>
        <w:t>PA</w:t>
      </w:r>
      <w:r w:rsidR="00905C46" w:rsidRPr="0037774F">
        <w:rPr>
          <w:rFonts w:ascii="Arial" w:hAnsi="Arial" w:cs="Arial"/>
          <w:color w:val="000000"/>
          <w:sz w:val="22"/>
          <w:szCs w:val="22"/>
        </w:rPr>
        <w:t xml:space="preserve"> </w:t>
      </w:r>
    </w:p>
    <w:p w:rsidR="00B313A3" w:rsidRDefault="008D7632" w:rsidP="0037774F">
      <w:pPr>
        <w:pStyle w:val="ListParagraph"/>
        <w:numPr>
          <w:ilvl w:val="0"/>
          <w:numId w:val="19"/>
        </w:numPr>
        <w:rPr>
          <w:rFonts w:ascii="Arial" w:hAnsi="Arial" w:cs="Arial"/>
          <w:color w:val="000000"/>
          <w:sz w:val="22"/>
          <w:szCs w:val="22"/>
          <w:lang w:val="fr-FR"/>
        </w:rPr>
      </w:pPr>
      <w:r w:rsidRPr="0037774F">
        <w:rPr>
          <w:rFonts w:ascii="Arial" w:hAnsi="Arial" w:cs="Arial"/>
          <w:sz w:val="22"/>
          <w:szCs w:val="22"/>
          <w:lang w:val="fr-FR"/>
        </w:rPr>
        <w:t>Effective</w:t>
      </w:r>
      <w:r w:rsidR="0057528C" w:rsidRPr="0037774F">
        <w:rPr>
          <w:rFonts w:ascii="Arial" w:hAnsi="Arial" w:cs="Arial"/>
          <w:sz w:val="22"/>
          <w:szCs w:val="22"/>
          <w:lang w:val="fr-FR"/>
        </w:rPr>
        <w:t xml:space="preserve"> </w:t>
      </w:r>
      <w:r w:rsidR="0037774F" w:rsidRPr="0037774F">
        <w:rPr>
          <w:rFonts w:ascii="Arial" w:hAnsi="Arial" w:cs="Arial"/>
          <w:color w:val="000000"/>
          <w:sz w:val="22"/>
          <w:szCs w:val="22"/>
          <w:lang w:val="fr-FR"/>
        </w:rPr>
        <w:t xml:space="preserve">April 6, 2020, the </w:t>
      </w:r>
      <w:proofErr w:type="spellStart"/>
      <w:r w:rsidR="0037774F" w:rsidRPr="0037774F">
        <w:rPr>
          <w:rFonts w:ascii="Arial" w:hAnsi="Arial" w:cs="Arial"/>
          <w:color w:val="000000"/>
          <w:sz w:val="22"/>
          <w:szCs w:val="22"/>
          <w:lang w:val="fr-FR"/>
        </w:rPr>
        <w:t>following</w:t>
      </w:r>
      <w:proofErr w:type="spellEnd"/>
      <w:r w:rsidR="0037774F" w:rsidRPr="0037774F">
        <w:rPr>
          <w:rFonts w:ascii="Arial" w:hAnsi="Arial" w:cs="Arial"/>
          <w:color w:val="000000"/>
          <w:sz w:val="22"/>
          <w:szCs w:val="22"/>
          <w:lang w:val="fr-FR"/>
        </w:rPr>
        <w:t xml:space="preserve"> </w:t>
      </w:r>
      <w:proofErr w:type="spellStart"/>
      <w:r w:rsidR="0037774F" w:rsidRPr="0037774F">
        <w:rPr>
          <w:rFonts w:ascii="Arial" w:hAnsi="Arial" w:cs="Arial"/>
          <w:color w:val="000000"/>
          <w:sz w:val="22"/>
          <w:szCs w:val="22"/>
          <w:lang w:val="fr-FR"/>
        </w:rPr>
        <w:t>ulcerative</w:t>
      </w:r>
      <w:proofErr w:type="spellEnd"/>
      <w:r w:rsidR="0037774F" w:rsidRPr="0037774F">
        <w:rPr>
          <w:rFonts w:ascii="Arial" w:hAnsi="Arial" w:cs="Arial"/>
          <w:color w:val="000000"/>
          <w:sz w:val="22"/>
          <w:szCs w:val="22"/>
          <w:lang w:val="fr-FR"/>
        </w:rPr>
        <w:t xml:space="preserve"> </w:t>
      </w:r>
      <w:proofErr w:type="spellStart"/>
      <w:r w:rsidR="0037774F" w:rsidRPr="0037774F">
        <w:rPr>
          <w:rFonts w:ascii="Arial" w:hAnsi="Arial" w:cs="Arial"/>
          <w:color w:val="000000"/>
          <w:sz w:val="22"/>
          <w:szCs w:val="22"/>
          <w:lang w:val="fr-FR"/>
        </w:rPr>
        <w:t>colitis</w:t>
      </w:r>
      <w:proofErr w:type="spellEnd"/>
      <w:r w:rsidR="0037774F" w:rsidRPr="0037774F">
        <w:rPr>
          <w:rFonts w:ascii="Arial" w:hAnsi="Arial" w:cs="Arial"/>
          <w:color w:val="000000"/>
          <w:sz w:val="22"/>
          <w:szCs w:val="22"/>
          <w:lang w:val="fr-FR"/>
        </w:rPr>
        <w:t xml:space="preserve"> agents </w:t>
      </w:r>
      <w:proofErr w:type="spellStart"/>
      <w:r w:rsidR="0037774F" w:rsidRPr="0037774F">
        <w:rPr>
          <w:rFonts w:ascii="Arial" w:hAnsi="Arial" w:cs="Arial"/>
          <w:color w:val="000000"/>
          <w:sz w:val="22"/>
          <w:szCs w:val="22"/>
          <w:lang w:val="fr-FR"/>
        </w:rPr>
        <w:t>will</w:t>
      </w:r>
      <w:proofErr w:type="spellEnd"/>
      <w:r w:rsidR="0037774F" w:rsidRPr="0037774F">
        <w:rPr>
          <w:rFonts w:ascii="Arial" w:hAnsi="Arial" w:cs="Arial"/>
          <w:color w:val="000000"/>
          <w:sz w:val="22"/>
          <w:szCs w:val="22"/>
          <w:lang w:val="fr-FR"/>
        </w:rPr>
        <w:t xml:space="preserve"> no </w:t>
      </w:r>
      <w:proofErr w:type="gramStart"/>
      <w:r w:rsidR="0037774F" w:rsidRPr="0037774F">
        <w:rPr>
          <w:rFonts w:ascii="Arial" w:hAnsi="Arial" w:cs="Arial"/>
          <w:color w:val="000000"/>
          <w:sz w:val="22"/>
          <w:szCs w:val="22"/>
          <w:lang w:val="fr-FR"/>
        </w:rPr>
        <w:t>longer</w:t>
      </w:r>
      <w:proofErr w:type="gramEnd"/>
      <w:r w:rsidR="0037774F" w:rsidRPr="0037774F">
        <w:rPr>
          <w:rFonts w:ascii="Arial" w:hAnsi="Arial" w:cs="Arial"/>
          <w:color w:val="000000"/>
          <w:sz w:val="22"/>
          <w:szCs w:val="22"/>
          <w:lang w:val="fr-FR"/>
        </w:rPr>
        <w:t xml:space="preserve"> </w:t>
      </w:r>
      <w:proofErr w:type="spellStart"/>
      <w:r w:rsidR="0037774F" w:rsidRPr="0037774F">
        <w:rPr>
          <w:rFonts w:ascii="Arial" w:hAnsi="Arial" w:cs="Arial"/>
          <w:color w:val="000000"/>
          <w:sz w:val="22"/>
          <w:szCs w:val="22"/>
          <w:lang w:val="fr-FR"/>
        </w:rPr>
        <w:t>require</w:t>
      </w:r>
      <w:proofErr w:type="spellEnd"/>
      <w:r w:rsidR="0037774F" w:rsidRPr="0037774F">
        <w:rPr>
          <w:rFonts w:ascii="Arial" w:hAnsi="Arial" w:cs="Arial"/>
          <w:color w:val="000000"/>
          <w:sz w:val="22"/>
          <w:szCs w:val="22"/>
          <w:lang w:val="fr-FR"/>
        </w:rPr>
        <w:t xml:space="preserve"> </w:t>
      </w:r>
      <w:proofErr w:type="spellStart"/>
      <w:r w:rsidR="0037774F" w:rsidRPr="0037774F">
        <w:rPr>
          <w:rFonts w:ascii="Arial" w:hAnsi="Arial" w:cs="Arial"/>
          <w:color w:val="000000"/>
          <w:sz w:val="22"/>
          <w:szCs w:val="22"/>
          <w:lang w:val="fr-FR"/>
        </w:rPr>
        <w:t>prior</w:t>
      </w:r>
      <w:proofErr w:type="spellEnd"/>
      <w:r w:rsidR="0037774F" w:rsidRPr="0037774F">
        <w:rPr>
          <w:rFonts w:ascii="Arial" w:hAnsi="Arial" w:cs="Arial"/>
          <w:color w:val="000000"/>
          <w:sz w:val="22"/>
          <w:szCs w:val="22"/>
          <w:lang w:val="fr-FR"/>
        </w:rPr>
        <w:t xml:space="preserve"> </w:t>
      </w:r>
      <w:proofErr w:type="spellStart"/>
      <w:r w:rsidR="0037774F" w:rsidRPr="0037774F">
        <w:rPr>
          <w:rFonts w:ascii="Arial" w:hAnsi="Arial" w:cs="Arial"/>
          <w:color w:val="000000"/>
          <w:sz w:val="22"/>
          <w:szCs w:val="22"/>
          <w:lang w:val="fr-FR"/>
        </w:rPr>
        <w:t>authorization</w:t>
      </w:r>
      <w:proofErr w:type="spellEnd"/>
      <w:r w:rsidR="0037774F" w:rsidRPr="0037774F">
        <w:rPr>
          <w:rFonts w:ascii="Arial" w:hAnsi="Arial" w:cs="Arial"/>
          <w:color w:val="000000"/>
          <w:sz w:val="22"/>
          <w:szCs w:val="22"/>
          <w:lang w:val="fr-FR"/>
        </w:rPr>
        <w:t>.</w:t>
      </w:r>
    </w:p>
    <w:p w:rsidR="00B313A3" w:rsidRPr="00B313A3" w:rsidRDefault="00B313A3" w:rsidP="00B313A3">
      <w:pPr>
        <w:pStyle w:val="ListParagraph"/>
        <w:numPr>
          <w:ilvl w:val="0"/>
          <w:numId w:val="12"/>
        </w:numPr>
        <w:tabs>
          <w:tab w:val="left" w:pos="1080"/>
        </w:tabs>
        <w:ind w:hanging="720"/>
        <w:rPr>
          <w:rFonts w:ascii="Arial" w:hAnsi="Arial" w:cs="Arial"/>
          <w:color w:val="000000"/>
          <w:sz w:val="22"/>
          <w:szCs w:val="22"/>
          <w:lang w:val="fr-FR"/>
        </w:rPr>
      </w:pPr>
      <w:proofErr w:type="spellStart"/>
      <w:r w:rsidRPr="00B313A3">
        <w:rPr>
          <w:rFonts w:ascii="Arial" w:hAnsi="Arial" w:cs="Arial"/>
          <w:color w:val="000000"/>
          <w:sz w:val="22"/>
          <w:szCs w:val="22"/>
          <w:lang w:val="fr-FR"/>
        </w:rPr>
        <w:t>Dipentum</w:t>
      </w:r>
      <w:proofErr w:type="spellEnd"/>
      <w:r w:rsidRPr="00B313A3">
        <w:rPr>
          <w:rFonts w:ascii="Arial" w:hAnsi="Arial" w:cs="Arial"/>
          <w:color w:val="000000"/>
          <w:sz w:val="22"/>
          <w:szCs w:val="22"/>
          <w:lang w:val="fr-FR"/>
        </w:rPr>
        <w:t xml:space="preserve"> (</w:t>
      </w:r>
      <w:proofErr w:type="spellStart"/>
      <w:r w:rsidRPr="00B313A3">
        <w:rPr>
          <w:rFonts w:ascii="Arial" w:hAnsi="Arial" w:cs="Arial"/>
          <w:color w:val="000000"/>
          <w:sz w:val="22"/>
          <w:szCs w:val="22"/>
          <w:lang w:val="fr-FR"/>
        </w:rPr>
        <w:t>olsalazine</w:t>
      </w:r>
      <w:proofErr w:type="spellEnd"/>
      <w:r w:rsidRPr="00B313A3">
        <w:rPr>
          <w:rFonts w:ascii="Arial" w:hAnsi="Arial" w:cs="Arial"/>
          <w:color w:val="000000"/>
          <w:sz w:val="22"/>
          <w:szCs w:val="22"/>
          <w:lang w:val="fr-FR"/>
        </w:rPr>
        <w:t>)</w:t>
      </w:r>
    </w:p>
    <w:p w:rsidR="0037774F" w:rsidRPr="0037774F" w:rsidRDefault="00B313A3" w:rsidP="00B313A3">
      <w:pPr>
        <w:pStyle w:val="ListParagraph"/>
        <w:numPr>
          <w:ilvl w:val="0"/>
          <w:numId w:val="12"/>
        </w:numPr>
        <w:ind w:left="1080"/>
        <w:rPr>
          <w:rFonts w:ascii="Arial" w:hAnsi="Arial" w:cs="Arial"/>
          <w:color w:val="000000"/>
          <w:sz w:val="22"/>
          <w:szCs w:val="22"/>
          <w:lang w:val="fr-FR"/>
        </w:rPr>
      </w:pPr>
      <w:proofErr w:type="spellStart"/>
      <w:r w:rsidRPr="00B313A3">
        <w:rPr>
          <w:rFonts w:ascii="Arial" w:hAnsi="Arial" w:cs="Arial"/>
          <w:color w:val="000000"/>
          <w:sz w:val="22"/>
          <w:szCs w:val="22"/>
          <w:lang w:val="fr-FR"/>
        </w:rPr>
        <w:t>Pentasa</w:t>
      </w:r>
      <w:proofErr w:type="spellEnd"/>
      <w:r w:rsidRPr="00B313A3">
        <w:rPr>
          <w:rFonts w:ascii="Arial" w:hAnsi="Arial" w:cs="Arial"/>
          <w:color w:val="000000"/>
          <w:sz w:val="22"/>
          <w:szCs w:val="22"/>
          <w:lang w:val="fr-FR"/>
        </w:rPr>
        <w:t xml:space="preserve"> (</w:t>
      </w:r>
      <w:proofErr w:type="spellStart"/>
      <w:r w:rsidRPr="00B313A3">
        <w:rPr>
          <w:rFonts w:ascii="Arial" w:hAnsi="Arial" w:cs="Arial"/>
          <w:color w:val="000000"/>
          <w:sz w:val="22"/>
          <w:szCs w:val="22"/>
          <w:lang w:val="fr-FR"/>
        </w:rPr>
        <w:t>mesalamine</w:t>
      </w:r>
      <w:proofErr w:type="spellEnd"/>
      <w:r w:rsidRPr="00B313A3">
        <w:rPr>
          <w:rFonts w:ascii="Arial" w:hAnsi="Arial" w:cs="Arial"/>
          <w:color w:val="000000"/>
          <w:sz w:val="22"/>
          <w:szCs w:val="22"/>
          <w:lang w:val="fr-FR"/>
        </w:rPr>
        <w:t xml:space="preserve"> </w:t>
      </w:r>
      <w:proofErr w:type="spellStart"/>
      <w:r w:rsidRPr="00B313A3">
        <w:rPr>
          <w:rFonts w:ascii="Arial" w:hAnsi="Arial" w:cs="Arial"/>
          <w:color w:val="000000"/>
          <w:sz w:val="22"/>
          <w:szCs w:val="22"/>
          <w:lang w:val="fr-FR"/>
        </w:rPr>
        <w:t>controlled</w:t>
      </w:r>
      <w:proofErr w:type="spellEnd"/>
      <w:r w:rsidRPr="00B313A3">
        <w:rPr>
          <w:rFonts w:ascii="Arial" w:hAnsi="Arial" w:cs="Arial"/>
          <w:color w:val="000000"/>
          <w:sz w:val="22"/>
          <w:szCs w:val="22"/>
          <w:lang w:val="fr-FR"/>
        </w:rPr>
        <w:t>-release)</w:t>
      </w:r>
      <w:r w:rsidR="0037774F" w:rsidRPr="0037774F">
        <w:rPr>
          <w:rFonts w:ascii="Arial" w:hAnsi="Arial" w:cs="Arial"/>
          <w:color w:val="000000"/>
          <w:sz w:val="22"/>
          <w:szCs w:val="22"/>
          <w:lang w:val="fr-FR"/>
        </w:rPr>
        <w:t xml:space="preserve"> </w:t>
      </w:r>
    </w:p>
    <w:p w:rsidR="000713D3" w:rsidRPr="0037774F" w:rsidRDefault="001466F1" w:rsidP="006051C1">
      <w:pPr>
        <w:pStyle w:val="BodyText1"/>
        <w:numPr>
          <w:ilvl w:val="0"/>
          <w:numId w:val="19"/>
        </w:numPr>
        <w:spacing w:after="0"/>
        <w:rPr>
          <w:sz w:val="22"/>
          <w:szCs w:val="22"/>
          <w:lang w:val="fr-FR"/>
        </w:rPr>
      </w:pPr>
      <w:r>
        <w:rPr>
          <w:sz w:val="22"/>
          <w:szCs w:val="22"/>
          <w:lang w:val="fr-FR"/>
        </w:rPr>
        <w:t xml:space="preserve">Effective </w:t>
      </w:r>
      <w:r w:rsidRPr="001466F1">
        <w:rPr>
          <w:sz w:val="22"/>
          <w:szCs w:val="22"/>
          <w:lang w:val="fr-FR"/>
        </w:rPr>
        <w:t xml:space="preserve">April 6, 2020, the </w:t>
      </w:r>
      <w:proofErr w:type="spellStart"/>
      <w:r w:rsidRPr="001466F1">
        <w:rPr>
          <w:sz w:val="22"/>
          <w:szCs w:val="22"/>
          <w:lang w:val="fr-FR"/>
        </w:rPr>
        <w:t>following</w:t>
      </w:r>
      <w:proofErr w:type="spellEnd"/>
      <w:r w:rsidRPr="001466F1">
        <w:rPr>
          <w:sz w:val="22"/>
          <w:szCs w:val="22"/>
          <w:lang w:val="fr-FR"/>
        </w:rPr>
        <w:t xml:space="preserve"> </w:t>
      </w:r>
      <w:proofErr w:type="spellStart"/>
      <w:r w:rsidRPr="001466F1">
        <w:rPr>
          <w:sz w:val="22"/>
          <w:szCs w:val="22"/>
          <w:lang w:val="fr-FR"/>
        </w:rPr>
        <w:t>antidiabetic</w:t>
      </w:r>
      <w:proofErr w:type="spellEnd"/>
      <w:r w:rsidRPr="001466F1">
        <w:rPr>
          <w:sz w:val="22"/>
          <w:szCs w:val="22"/>
          <w:lang w:val="fr-FR"/>
        </w:rPr>
        <w:t xml:space="preserve"> agent </w:t>
      </w:r>
      <w:proofErr w:type="spellStart"/>
      <w:r w:rsidRPr="001466F1">
        <w:rPr>
          <w:sz w:val="22"/>
          <w:szCs w:val="22"/>
          <w:lang w:val="fr-FR"/>
        </w:rPr>
        <w:t>will</w:t>
      </w:r>
      <w:proofErr w:type="spellEnd"/>
      <w:r w:rsidRPr="001466F1">
        <w:rPr>
          <w:sz w:val="22"/>
          <w:szCs w:val="22"/>
          <w:lang w:val="fr-FR"/>
        </w:rPr>
        <w:t xml:space="preserve"> no </w:t>
      </w:r>
      <w:proofErr w:type="gramStart"/>
      <w:r w:rsidRPr="001466F1">
        <w:rPr>
          <w:sz w:val="22"/>
          <w:szCs w:val="22"/>
          <w:lang w:val="fr-FR"/>
        </w:rPr>
        <w:t>longer</w:t>
      </w:r>
      <w:proofErr w:type="gramEnd"/>
      <w:r w:rsidRPr="001466F1">
        <w:rPr>
          <w:sz w:val="22"/>
          <w:szCs w:val="22"/>
          <w:lang w:val="fr-FR"/>
        </w:rPr>
        <w:t xml:space="preserve"> </w:t>
      </w:r>
      <w:proofErr w:type="spellStart"/>
      <w:r w:rsidRPr="001466F1">
        <w:rPr>
          <w:sz w:val="22"/>
          <w:szCs w:val="22"/>
          <w:lang w:val="fr-FR"/>
        </w:rPr>
        <w:t>require</w:t>
      </w:r>
      <w:proofErr w:type="spellEnd"/>
      <w:r w:rsidRPr="001466F1">
        <w:rPr>
          <w:sz w:val="22"/>
          <w:szCs w:val="22"/>
          <w:lang w:val="fr-FR"/>
        </w:rPr>
        <w:t xml:space="preserve"> </w:t>
      </w:r>
      <w:proofErr w:type="spellStart"/>
      <w:r w:rsidRPr="001466F1">
        <w:rPr>
          <w:sz w:val="22"/>
          <w:szCs w:val="22"/>
          <w:lang w:val="fr-FR"/>
        </w:rPr>
        <w:t>prior</w:t>
      </w:r>
      <w:proofErr w:type="spellEnd"/>
      <w:r w:rsidRPr="001466F1">
        <w:rPr>
          <w:sz w:val="22"/>
          <w:szCs w:val="22"/>
          <w:lang w:val="fr-FR"/>
        </w:rPr>
        <w:t xml:space="preserve"> </w:t>
      </w:r>
      <w:proofErr w:type="spellStart"/>
      <w:r w:rsidRPr="001466F1">
        <w:rPr>
          <w:sz w:val="22"/>
          <w:szCs w:val="22"/>
          <w:lang w:val="fr-FR"/>
        </w:rPr>
        <w:t>authorization</w:t>
      </w:r>
      <w:proofErr w:type="spellEnd"/>
      <w:r w:rsidRPr="001466F1">
        <w:rPr>
          <w:sz w:val="22"/>
          <w:szCs w:val="22"/>
          <w:lang w:val="fr-FR"/>
        </w:rPr>
        <w:t>.</w:t>
      </w:r>
      <w:r w:rsidR="00EB285E">
        <w:rPr>
          <w:sz w:val="22"/>
          <w:szCs w:val="22"/>
          <w:lang w:val="fr-FR"/>
        </w:rPr>
        <w:t xml:space="preserve"> </w:t>
      </w:r>
      <w:r w:rsidR="00B503C7" w:rsidRPr="0037774F">
        <w:rPr>
          <w:sz w:val="22"/>
          <w:szCs w:val="22"/>
          <w:lang w:val="fr-FR"/>
        </w:rPr>
        <w:t xml:space="preserve"> </w:t>
      </w:r>
    </w:p>
    <w:p w:rsidR="0057528C" w:rsidRPr="0057528C" w:rsidRDefault="00EB285E" w:rsidP="00413277">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Pr>
          <w:rFonts w:ascii="Arial" w:hAnsi="Arial" w:cs="Arial"/>
          <w:color w:val="000000"/>
          <w:sz w:val="22"/>
          <w:szCs w:val="22"/>
        </w:rPr>
        <w:t>Trulicity</w:t>
      </w:r>
      <w:proofErr w:type="spellEnd"/>
      <w:r w:rsidR="00413277">
        <w:rPr>
          <w:rFonts w:ascii="Arial" w:hAnsi="Arial" w:cs="Arial"/>
          <w:color w:val="000000"/>
          <w:sz w:val="22"/>
          <w:szCs w:val="22"/>
        </w:rPr>
        <w:t xml:space="preserve"> </w:t>
      </w:r>
      <w:r w:rsidR="00413277" w:rsidRPr="00413277">
        <w:rPr>
          <w:rFonts w:ascii="Arial" w:hAnsi="Arial" w:cs="Arial"/>
          <w:color w:val="000000"/>
          <w:sz w:val="22"/>
          <w:szCs w:val="22"/>
        </w:rPr>
        <w:t>(</w:t>
      </w:r>
      <w:proofErr w:type="spellStart"/>
      <w:r w:rsidR="00413277" w:rsidRPr="00413277">
        <w:rPr>
          <w:rFonts w:ascii="Arial" w:hAnsi="Arial" w:cs="Arial"/>
          <w:color w:val="000000"/>
          <w:sz w:val="22"/>
          <w:szCs w:val="22"/>
        </w:rPr>
        <w:t>dulaglutide</w:t>
      </w:r>
      <w:proofErr w:type="spellEnd"/>
      <w:r w:rsidR="00413277" w:rsidRPr="00413277">
        <w:rPr>
          <w:rFonts w:ascii="Arial" w:hAnsi="Arial" w:cs="Arial"/>
          <w:color w:val="000000"/>
          <w:sz w:val="22"/>
          <w:szCs w:val="22"/>
        </w:rPr>
        <w:t>)</w:t>
      </w:r>
      <w:bookmarkStart w:id="0" w:name="_GoBack"/>
      <w:bookmarkEnd w:id="0"/>
      <w:r w:rsidR="00413277" w:rsidRPr="00413277">
        <w:rPr>
          <w:rFonts w:ascii="Arial" w:hAnsi="Arial" w:cs="Arial"/>
          <w:color w:val="000000"/>
          <w:sz w:val="22"/>
          <w:szCs w:val="22"/>
        </w:rPr>
        <w:t xml:space="preserve"> </w:t>
      </w:r>
      <w:r>
        <w:rPr>
          <w:rFonts w:ascii="Arial" w:hAnsi="Arial" w:cs="Arial"/>
          <w:sz w:val="22"/>
          <w:szCs w:val="22"/>
          <w:vertAlign w:val="superscript"/>
        </w:rPr>
        <w:t>PD</w:t>
      </w:r>
      <w:r w:rsidR="00B503C7" w:rsidRPr="0057528C">
        <w:rPr>
          <w:rFonts w:ascii="Arial" w:hAnsi="Arial" w:cs="Arial"/>
          <w:color w:val="000000"/>
          <w:sz w:val="22"/>
          <w:szCs w:val="22"/>
        </w:rPr>
        <w:t xml:space="preserve"> </w:t>
      </w:r>
    </w:p>
    <w:p w:rsidR="00DB5DBC" w:rsidRPr="0057528C" w:rsidRDefault="001148AF" w:rsidP="00DB5DBC">
      <w:pPr>
        <w:pStyle w:val="Subtitle"/>
        <w:spacing w:line="240" w:lineRule="auto"/>
        <w:rPr>
          <w:rFonts w:cs="Arial"/>
          <w:b/>
          <w:bCs/>
        </w:rPr>
      </w:pPr>
      <w:r>
        <w:rPr>
          <w:rFonts w:cs="Arial"/>
          <w:b/>
          <w:bCs/>
        </w:rPr>
        <w:t>Updated</w:t>
      </w:r>
      <w:r w:rsidRPr="001148AF">
        <w:t xml:space="preserve"> </w:t>
      </w:r>
      <w:proofErr w:type="spellStart"/>
      <w:r w:rsidRPr="001148AF">
        <w:rPr>
          <w:rFonts w:cs="Arial"/>
          <w:b/>
          <w:bCs/>
        </w:rPr>
        <w:t>MassHealth</w:t>
      </w:r>
      <w:proofErr w:type="spellEnd"/>
      <w:r w:rsidRPr="001148AF">
        <w:rPr>
          <w:rFonts w:cs="Arial"/>
          <w:b/>
          <w:bCs/>
        </w:rPr>
        <w:t xml:space="preserve"> Brand Name Preferred Over Generic Drug List</w:t>
      </w:r>
    </w:p>
    <w:p w:rsidR="00DB5DBC" w:rsidRPr="00413277" w:rsidRDefault="00413277" w:rsidP="00413277">
      <w:pPr>
        <w:pStyle w:val="BodyText1"/>
        <w:rPr>
          <w:sz w:val="22"/>
          <w:szCs w:val="22"/>
        </w:rPr>
      </w:pPr>
      <w:r>
        <w:rPr>
          <w:sz w:val="22"/>
          <w:szCs w:val="22"/>
        </w:rPr>
        <w:t>The</w:t>
      </w:r>
      <w:r w:rsidR="00DB5DBC" w:rsidRPr="0057528C">
        <w:rPr>
          <w:sz w:val="22"/>
          <w:szCs w:val="22"/>
        </w:rPr>
        <w:t xml:space="preserve"> </w:t>
      </w:r>
      <w:proofErr w:type="spellStart"/>
      <w:r w:rsidRPr="00413277">
        <w:rPr>
          <w:sz w:val="22"/>
          <w:szCs w:val="22"/>
        </w:rPr>
        <w:t>MassHealth</w:t>
      </w:r>
      <w:proofErr w:type="spellEnd"/>
      <w:r w:rsidRPr="00413277">
        <w:rPr>
          <w:sz w:val="22"/>
          <w:szCs w:val="22"/>
        </w:rPr>
        <w:t xml:space="preserve"> Brand Name Preferred </w:t>
      </w:r>
      <w:proofErr w:type="gramStart"/>
      <w:r w:rsidRPr="00413277">
        <w:rPr>
          <w:sz w:val="22"/>
          <w:szCs w:val="22"/>
        </w:rPr>
        <w:t>Over</w:t>
      </w:r>
      <w:proofErr w:type="gramEnd"/>
      <w:r w:rsidRPr="00413277">
        <w:rPr>
          <w:sz w:val="22"/>
          <w:szCs w:val="22"/>
        </w:rPr>
        <w:t xml:space="preserve"> Generic Drug List has been updated to reflect recent chan</w:t>
      </w:r>
      <w:r>
        <w:rPr>
          <w:sz w:val="22"/>
          <w:szCs w:val="22"/>
        </w:rPr>
        <w:t xml:space="preserve">ges to the </w:t>
      </w:r>
      <w:proofErr w:type="spellStart"/>
      <w:r>
        <w:rPr>
          <w:sz w:val="22"/>
          <w:szCs w:val="22"/>
        </w:rPr>
        <w:t>MassHealth</w:t>
      </w:r>
      <w:proofErr w:type="spellEnd"/>
      <w:r>
        <w:rPr>
          <w:sz w:val="22"/>
          <w:szCs w:val="22"/>
        </w:rPr>
        <w:t xml:space="preserve"> Drug List.</w:t>
      </w:r>
      <w:r w:rsidR="00DB5DBC" w:rsidRPr="00413277">
        <w:rPr>
          <w:sz w:val="22"/>
          <w:szCs w:val="22"/>
        </w:rPr>
        <w:t xml:space="preserve"> </w:t>
      </w:r>
    </w:p>
    <w:p w:rsidR="00413277" w:rsidRDefault="00413277" w:rsidP="00413277">
      <w:pPr>
        <w:pStyle w:val="ListParagraph"/>
        <w:numPr>
          <w:ilvl w:val="0"/>
          <w:numId w:val="22"/>
        </w:numPr>
        <w:rPr>
          <w:rFonts w:ascii="Arial" w:hAnsi="Arial" w:cs="Arial"/>
          <w:color w:val="000000"/>
          <w:sz w:val="22"/>
          <w:szCs w:val="22"/>
        </w:rPr>
      </w:pPr>
      <w:proofErr w:type="gramStart"/>
      <w:r w:rsidRPr="00413277">
        <w:rPr>
          <w:rFonts w:ascii="Arial" w:hAnsi="Arial" w:cs="Arial"/>
          <w:sz w:val="22"/>
          <w:szCs w:val="22"/>
        </w:rPr>
        <w:t xml:space="preserve">Effective </w:t>
      </w:r>
      <w:r w:rsidR="00DB5DBC" w:rsidRPr="00413277">
        <w:rPr>
          <w:rFonts w:ascii="Arial" w:hAnsi="Arial" w:cs="Arial"/>
          <w:sz w:val="22"/>
          <w:szCs w:val="22"/>
        </w:rPr>
        <w:t xml:space="preserve"> </w:t>
      </w:r>
      <w:r w:rsidRPr="00413277">
        <w:rPr>
          <w:rFonts w:ascii="Arial" w:hAnsi="Arial" w:cs="Arial"/>
          <w:color w:val="000000"/>
          <w:sz w:val="22"/>
          <w:szCs w:val="22"/>
        </w:rPr>
        <w:t>April</w:t>
      </w:r>
      <w:proofErr w:type="gramEnd"/>
      <w:r w:rsidRPr="00413277">
        <w:rPr>
          <w:rFonts w:ascii="Arial" w:hAnsi="Arial" w:cs="Arial"/>
          <w:color w:val="000000"/>
          <w:sz w:val="22"/>
          <w:szCs w:val="22"/>
        </w:rPr>
        <w:t xml:space="preserve"> 6, 2020, the following agent will be added to the </w:t>
      </w:r>
      <w:proofErr w:type="spellStart"/>
      <w:r w:rsidRPr="00413277">
        <w:rPr>
          <w:rFonts w:ascii="Arial" w:hAnsi="Arial" w:cs="Arial"/>
          <w:color w:val="000000"/>
          <w:sz w:val="22"/>
          <w:szCs w:val="22"/>
        </w:rPr>
        <w:t>MassHealth</w:t>
      </w:r>
      <w:proofErr w:type="spellEnd"/>
      <w:r w:rsidRPr="00413277">
        <w:rPr>
          <w:rFonts w:ascii="Arial" w:hAnsi="Arial" w:cs="Arial"/>
          <w:color w:val="000000"/>
          <w:sz w:val="22"/>
          <w:szCs w:val="22"/>
        </w:rPr>
        <w:t xml:space="preserve"> Brand Name Preferred Over Generic Drug List. </w:t>
      </w:r>
    </w:p>
    <w:p w:rsidR="00413277" w:rsidRPr="00D25691" w:rsidRDefault="00413277" w:rsidP="00413277">
      <w:pPr>
        <w:pStyle w:val="Default"/>
        <w:numPr>
          <w:ilvl w:val="0"/>
          <w:numId w:val="29"/>
        </w:numPr>
        <w:spacing w:line="276" w:lineRule="auto"/>
        <w:rPr>
          <w:rFonts w:ascii="Arial" w:hAnsi="Arial" w:cs="Arial"/>
          <w:sz w:val="22"/>
          <w:szCs w:val="21"/>
        </w:rPr>
      </w:pPr>
      <w:r w:rsidRPr="00AF2109">
        <w:rPr>
          <w:rFonts w:ascii="Arial" w:hAnsi="Arial" w:cs="Arial"/>
          <w:sz w:val="22"/>
          <w:szCs w:val="21"/>
        </w:rPr>
        <w:t xml:space="preserve">Advair (fluticasone/salmeterol inhalation powder) </w:t>
      </w:r>
      <w:r w:rsidRPr="00AF2109">
        <w:rPr>
          <w:rFonts w:ascii="Arial" w:hAnsi="Arial" w:cs="Arial"/>
          <w:sz w:val="22"/>
          <w:szCs w:val="21"/>
          <w:vertAlign w:val="superscript"/>
        </w:rPr>
        <w:t>BP</w:t>
      </w:r>
      <w:r w:rsidRPr="00AF2109">
        <w:rPr>
          <w:rFonts w:ascii="Arial" w:hAnsi="Arial" w:cs="Arial"/>
          <w:sz w:val="22"/>
          <w:szCs w:val="21"/>
        </w:rPr>
        <w:t xml:space="preserve"> – </w:t>
      </w:r>
      <w:r w:rsidRPr="00AF2109">
        <w:rPr>
          <w:rFonts w:ascii="Arial" w:hAnsi="Arial" w:cs="Arial"/>
          <w:b/>
          <w:sz w:val="22"/>
          <w:szCs w:val="21"/>
        </w:rPr>
        <w:t>PA</w:t>
      </w:r>
    </w:p>
    <w:p w:rsidR="00413277" w:rsidRPr="00AC65DA" w:rsidRDefault="00413277" w:rsidP="00413277">
      <w:pPr>
        <w:pStyle w:val="Default"/>
        <w:numPr>
          <w:ilvl w:val="0"/>
          <w:numId w:val="29"/>
        </w:numPr>
        <w:spacing w:line="276" w:lineRule="auto"/>
        <w:rPr>
          <w:rFonts w:ascii="Arial" w:hAnsi="Arial" w:cs="Arial"/>
          <w:sz w:val="22"/>
          <w:szCs w:val="21"/>
        </w:rPr>
      </w:pPr>
      <w:proofErr w:type="spellStart"/>
      <w:r w:rsidRPr="00303FFA">
        <w:rPr>
          <w:rFonts w:ascii="Arial" w:hAnsi="Arial" w:cs="Arial"/>
          <w:sz w:val="22"/>
          <w:szCs w:val="21"/>
        </w:rPr>
        <w:t>Daraprim</w:t>
      </w:r>
      <w:proofErr w:type="spellEnd"/>
      <w:r w:rsidRPr="00303FFA">
        <w:rPr>
          <w:rFonts w:ascii="Arial" w:hAnsi="Arial" w:cs="Arial"/>
          <w:sz w:val="22"/>
          <w:szCs w:val="21"/>
        </w:rPr>
        <w:t xml:space="preserve"> (</w:t>
      </w:r>
      <w:proofErr w:type="spellStart"/>
      <w:r w:rsidRPr="00303FFA">
        <w:rPr>
          <w:rFonts w:ascii="Arial" w:hAnsi="Arial" w:cs="Arial"/>
          <w:sz w:val="22"/>
          <w:szCs w:val="21"/>
        </w:rPr>
        <w:t>pyrimethamine</w:t>
      </w:r>
      <w:proofErr w:type="spellEnd"/>
      <w:r w:rsidRPr="00303FFA">
        <w:rPr>
          <w:rFonts w:ascii="Arial" w:hAnsi="Arial" w:cs="Arial"/>
          <w:sz w:val="22"/>
          <w:szCs w:val="21"/>
        </w:rPr>
        <w:t xml:space="preserve">) </w:t>
      </w:r>
      <w:r w:rsidRPr="00303FFA">
        <w:rPr>
          <w:rFonts w:ascii="Arial" w:hAnsi="Arial" w:cs="Arial"/>
          <w:sz w:val="22"/>
          <w:szCs w:val="21"/>
          <w:vertAlign w:val="superscript"/>
        </w:rPr>
        <w:t>BP</w:t>
      </w:r>
      <w:r w:rsidRPr="00303FFA">
        <w:rPr>
          <w:rFonts w:ascii="Arial" w:hAnsi="Arial" w:cs="Arial"/>
          <w:sz w:val="22"/>
          <w:szCs w:val="21"/>
        </w:rPr>
        <w:t xml:space="preserve"> – </w:t>
      </w:r>
      <w:r w:rsidRPr="00303FFA">
        <w:rPr>
          <w:rFonts w:ascii="Arial" w:hAnsi="Arial" w:cs="Arial"/>
          <w:b/>
          <w:sz w:val="22"/>
          <w:szCs w:val="21"/>
        </w:rPr>
        <w:t>PA</w:t>
      </w:r>
    </w:p>
    <w:p w:rsidR="00AC65DA" w:rsidRDefault="00AC65DA" w:rsidP="00AC65DA">
      <w:pPr>
        <w:pStyle w:val="Default"/>
        <w:numPr>
          <w:ilvl w:val="0"/>
          <w:numId w:val="29"/>
        </w:numPr>
        <w:spacing w:line="276" w:lineRule="auto"/>
        <w:rPr>
          <w:rFonts w:ascii="Arial" w:hAnsi="Arial" w:cs="Arial"/>
          <w:sz w:val="22"/>
          <w:szCs w:val="21"/>
        </w:rPr>
      </w:pPr>
      <w:proofErr w:type="spellStart"/>
      <w:r w:rsidRPr="00AC65DA">
        <w:rPr>
          <w:rFonts w:ascii="Arial" w:hAnsi="Arial" w:cs="Arial"/>
          <w:sz w:val="22"/>
          <w:szCs w:val="21"/>
        </w:rPr>
        <w:t>Dymista</w:t>
      </w:r>
      <w:proofErr w:type="spellEnd"/>
      <w:r w:rsidRPr="00AC65DA">
        <w:rPr>
          <w:rFonts w:ascii="Arial" w:hAnsi="Arial" w:cs="Arial"/>
          <w:sz w:val="22"/>
          <w:szCs w:val="21"/>
        </w:rPr>
        <w:t xml:space="preserve"> (</w:t>
      </w:r>
      <w:proofErr w:type="spellStart"/>
      <w:r w:rsidRPr="00AC65DA">
        <w:rPr>
          <w:rFonts w:ascii="Arial" w:hAnsi="Arial" w:cs="Arial"/>
          <w:sz w:val="22"/>
          <w:szCs w:val="21"/>
        </w:rPr>
        <w:t>azelastine</w:t>
      </w:r>
      <w:proofErr w:type="spellEnd"/>
      <w:r w:rsidRPr="00AC65DA">
        <w:rPr>
          <w:rFonts w:ascii="Arial" w:hAnsi="Arial" w:cs="Arial"/>
          <w:sz w:val="22"/>
          <w:szCs w:val="21"/>
        </w:rPr>
        <w:t xml:space="preserve">/fluticasone propionate) </w:t>
      </w:r>
      <w:r w:rsidRPr="004F1D61">
        <w:rPr>
          <w:rFonts w:ascii="Arial" w:hAnsi="Arial" w:cs="Arial"/>
          <w:sz w:val="22"/>
          <w:szCs w:val="21"/>
          <w:vertAlign w:val="superscript"/>
        </w:rPr>
        <w:t>BP</w:t>
      </w:r>
    </w:p>
    <w:p w:rsidR="00351E19" w:rsidRDefault="00873765" w:rsidP="0083736A">
      <w:pPr>
        <w:pStyle w:val="Default"/>
        <w:spacing w:line="276" w:lineRule="auto"/>
        <w:ind w:left="720" w:hanging="360"/>
        <w:rPr>
          <w:rFonts w:ascii="Arial" w:hAnsi="Arial" w:cs="Arial"/>
          <w:sz w:val="22"/>
          <w:szCs w:val="21"/>
        </w:rPr>
      </w:pPr>
      <w:r>
        <w:rPr>
          <w:rFonts w:ascii="Arial" w:hAnsi="Arial" w:cs="Arial"/>
          <w:sz w:val="22"/>
          <w:szCs w:val="21"/>
        </w:rPr>
        <w:t>b.</w:t>
      </w:r>
      <w:r>
        <w:rPr>
          <w:rFonts w:ascii="Arial" w:hAnsi="Arial" w:cs="Arial"/>
          <w:sz w:val="22"/>
          <w:szCs w:val="21"/>
        </w:rPr>
        <w:tab/>
        <w:t xml:space="preserve">Effective </w:t>
      </w:r>
      <w:r w:rsidRPr="00873765">
        <w:rPr>
          <w:rFonts w:ascii="Arial" w:hAnsi="Arial" w:cs="Arial"/>
          <w:sz w:val="22"/>
          <w:szCs w:val="21"/>
        </w:rPr>
        <w:t xml:space="preserve">April 6, 2020, the following </w:t>
      </w:r>
      <w:r w:rsidR="0083736A">
        <w:rPr>
          <w:rFonts w:ascii="Arial" w:hAnsi="Arial" w:cs="Arial"/>
          <w:sz w:val="22"/>
          <w:szCs w:val="21"/>
        </w:rPr>
        <w:t xml:space="preserve">agents will be removed from </w:t>
      </w:r>
      <w:r>
        <w:rPr>
          <w:rFonts w:ascii="Arial" w:hAnsi="Arial" w:cs="Arial"/>
          <w:sz w:val="22"/>
          <w:szCs w:val="21"/>
        </w:rPr>
        <w:t>the</w:t>
      </w:r>
    </w:p>
    <w:p w:rsidR="00351E19" w:rsidRDefault="00351E19" w:rsidP="00351E19">
      <w:pPr>
        <w:pStyle w:val="Default"/>
        <w:spacing w:line="276" w:lineRule="auto"/>
        <w:ind w:left="720"/>
        <w:rPr>
          <w:rFonts w:ascii="Arial" w:hAnsi="Arial" w:cs="Arial"/>
          <w:sz w:val="22"/>
          <w:szCs w:val="21"/>
        </w:rPr>
      </w:pPr>
      <w:proofErr w:type="spellStart"/>
      <w:r>
        <w:rPr>
          <w:rFonts w:ascii="Arial" w:hAnsi="Arial" w:cs="Arial"/>
          <w:sz w:val="22"/>
          <w:szCs w:val="21"/>
        </w:rPr>
        <w:t>MassHealth</w:t>
      </w:r>
      <w:proofErr w:type="spellEnd"/>
      <w:r>
        <w:rPr>
          <w:rFonts w:ascii="Arial" w:hAnsi="Arial" w:cs="Arial"/>
          <w:sz w:val="22"/>
          <w:szCs w:val="21"/>
        </w:rPr>
        <w:t xml:space="preserve"> Brand Name Preferred</w:t>
      </w:r>
    </w:p>
    <w:p w:rsidR="00351E19" w:rsidRDefault="00351E19" w:rsidP="00351E19">
      <w:pPr>
        <w:pStyle w:val="Default"/>
        <w:spacing w:line="276" w:lineRule="auto"/>
        <w:ind w:left="720"/>
        <w:rPr>
          <w:rFonts w:ascii="Arial" w:hAnsi="Arial" w:cs="Arial"/>
          <w:sz w:val="22"/>
          <w:szCs w:val="21"/>
        </w:rPr>
      </w:pPr>
      <w:proofErr w:type="gramStart"/>
      <w:r>
        <w:rPr>
          <w:rFonts w:ascii="Arial" w:hAnsi="Arial" w:cs="Arial"/>
          <w:sz w:val="22"/>
          <w:szCs w:val="21"/>
        </w:rPr>
        <w:t>Over Generic Drug List.</w:t>
      </w:r>
      <w:proofErr w:type="gramEnd"/>
    </w:p>
    <w:p w:rsidR="00A67D17" w:rsidRDefault="00351E19" w:rsidP="00EB6479">
      <w:pPr>
        <w:pStyle w:val="Default"/>
        <w:numPr>
          <w:ilvl w:val="0"/>
          <w:numId w:val="33"/>
        </w:numPr>
        <w:tabs>
          <w:tab w:val="left" w:pos="1080"/>
        </w:tabs>
        <w:spacing w:line="276" w:lineRule="auto"/>
        <w:ind w:left="1080"/>
        <w:rPr>
          <w:rFonts w:ascii="Arial" w:hAnsi="Arial" w:cs="Arial"/>
          <w:sz w:val="22"/>
          <w:szCs w:val="21"/>
        </w:rPr>
      </w:pPr>
      <w:proofErr w:type="spellStart"/>
      <w:r>
        <w:rPr>
          <w:rFonts w:ascii="Arial" w:hAnsi="Arial" w:cs="Arial"/>
          <w:sz w:val="22"/>
          <w:szCs w:val="21"/>
        </w:rPr>
        <w:t>Solodyn</w:t>
      </w:r>
      <w:proofErr w:type="spellEnd"/>
      <w:r>
        <w:rPr>
          <w:rFonts w:ascii="Arial" w:hAnsi="Arial" w:cs="Arial"/>
          <w:sz w:val="22"/>
          <w:szCs w:val="21"/>
        </w:rPr>
        <w:t xml:space="preserve"> # (minocycline extended-</w:t>
      </w:r>
      <w:r w:rsidR="006150C0">
        <w:rPr>
          <w:rFonts w:ascii="Arial" w:hAnsi="Arial" w:cs="Arial"/>
          <w:sz w:val="22"/>
          <w:szCs w:val="21"/>
        </w:rPr>
        <w:t xml:space="preserve">release </w:t>
      </w:r>
      <w:r w:rsidR="006150C0">
        <w:rPr>
          <w:rFonts w:ascii="Arial" w:hAnsi="Arial" w:cs="Arial"/>
          <w:sz w:val="22"/>
          <w:szCs w:val="22"/>
        </w:rPr>
        <w:t>80 mg, 105 mg tablet)</w:t>
      </w:r>
    </w:p>
    <w:p w:rsidR="000B4803" w:rsidRPr="006150C0" w:rsidRDefault="000B4803" w:rsidP="006150C0">
      <w:pPr>
        <w:pStyle w:val="Default"/>
        <w:numPr>
          <w:ilvl w:val="0"/>
          <w:numId w:val="33"/>
        </w:numPr>
        <w:spacing w:line="276" w:lineRule="auto"/>
        <w:ind w:left="1080"/>
        <w:rPr>
          <w:rFonts w:ascii="Arial" w:hAnsi="Arial" w:cs="Arial"/>
          <w:b/>
          <w:sz w:val="22"/>
          <w:szCs w:val="22"/>
        </w:rPr>
      </w:pPr>
      <w:proofErr w:type="spellStart"/>
      <w:r w:rsidRPr="000B4803">
        <w:rPr>
          <w:rFonts w:ascii="Arial" w:hAnsi="Arial" w:cs="Arial"/>
          <w:sz w:val="22"/>
          <w:szCs w:val="22"/>
        </w:rPr>
        <w:t>Treximet</w:t>
      </w:r>
      <w:proofErr w:type="spellEnd"/>
      <w:r w:rsidRPr="000B4803">
        <w:rPr>
          <w:rFonts w:ascii="Arial" w:hAnsi="Arial" w:cs="Arial"/>
          <w:sz w:val="22"/>
          <w:szCs w:val="22"/>
        </w:rPr>
        <w:t xml:space="preserve"> (</w:t>
      </w:r>
      <w:proofErr w:type="spellStart"/>
      <w:r w:rsidRPr="000B4803">
        <w:rPr>
          <w:rFonts w:ascii="Arial" w:hAnsi="Arial" w:cs="Arial"/>
          <w:sz w:val="22"/>
          <w:szCs w:val="22"/>
        </w:rPr>
        <w:t>sumatriptan</w:t>
      </w:r>
      <w:proofErr w:type="spellEnd"/>
      <w:r w:rsidRPr="000B4803">
        <w:rPr>
          <w:rFonts w:ascii="Arial" w:hAnsi="Arial" w:cs="Arial"/>
          <w:sz w:val="22"/>
          <w:szCs w:val="22"/>
        </w:rPr>
        <w:t>/naproxen)</w:t>
      </w:r>
      <w:r>
        <w:rPr>
          <w:rFonts w:ascii="Arial" w:hAnsi="Arial" w:cs="Arial"/>
          <w:sz w:val="22"/>
          <w:szCs w:val="22"/>
        </w:rPr>
        <w:t xml:space="preserve"> </w:t>
      </w:r>
      <w:r w:rsidRPr="000B4803">
        <w:rPr>
          <w:rFonts w:ascii="Arial" w:hAnsi="Arial" w:cs="Arial"/>
          <w:sz w:val="22"/>
          <w:szCs w:val="22"/>
        </w:rPr>
        <w:t xml:space="preserve">– </w:t>
      </w:r>
      <w:r w:rsidRPr="000B4803">
        <w:rPr>
          <w:rFonts w:ascii="Arial" w:hAnsi="Arial" w:cs="Arial"/>
          <w:b/>
          <w:sz w:val="22"/>
          <w:szCs w:val="22"/>
        </w:rPr>
        <w:t>PA</w:t>
      </w:r>
    </w:p>
    <w:p w:rsidR="00351E19" w:rsidRDefault="00351E19" w:rsidP="00351E19">
      <w:pPr>
        <w:pStyle w:val="Default"/>
        <w:numPr>
          <w:ilvl w:val="0"/>
          <w:numId w:val="33"/>
        </w:numPr>
        <w:tabs>
          <w:tab w:val="left" w:pos="1080"/>
          <w:tab w:val="left" w:pos="1350"/>
        </w:tabs>
        <w:spacing w:line="276" w:lineRule="auto"/>
        <w:ind w:left="1080"/>
        <w:rPr>
          <w:rFonts w:ascii="Arial" w:hAnsi="Arial" w:cs="Arial"/>
          <w:sz w:val="22"/>
          <w:szCs w:val="22"/>
        </w:rPr>
      </w:pPr>
      <w:proofErr w:type="spellStart"/>
      <w:r>
        <w:rPr>
          <w:rFonts w:ascii="Arial" w:hAnsi="Arial" w:cs="Arial"/>
          <w:sz w:val="22"/>
          <w:szCs w:val="22"/>
        </w:rPr>
        <w:t>Uceris</w:t>
      </w:r>
      <w:proofErr w:type="spellEnd"/>
      <w:r>
        <w:rPr>
          <w:rFonts w:ascii="Arial" w:hAnsi="Arial" w:cs="Arial"/>
          <w:sz w:val="22"/>
          <w:szCs w:val="22"/>
        </w:rPr>
        <w:t xml:space="preserve"> (budesonide extended-release</w:t>
      </w:r>
    </w:p>
    <w:p w:rsidR="00351E19" w:rsidRDefault="00351E19" w:rsidP="00351E19">
      <w:pPr>
        <w:pStyle w:val="Default"/>
        <w:tabs>
          <w:tab w:val="left" w:pos="1080"/>
          <w:tab w:val="left" w:pos="1350"/>
        </w:tabs>
        <w:spacing w:line="276" w:lineRule="auto"/>
        <w:ind w:left="1080"/>
        <w:rPr>
          <w:rFonts w:ascii="Arial" w:hAnsi="Arial" w:cs="Arial"/>
          <w:sz w:val="22"/>
          <w:szCs w:val="22"/>
        </w:rPr>
      </w:pPr>
      <w:proofErr w:type="gramStart"/>
      <w:r>
        <w:rPr>
          <w:rFonts w:ascii="Arial" w:hAnsi="Arial" w:cs="Arial"/>
          <w:sz w:val="22"/>
          <w:szCs w:val="22"/>
        </w:rPr>
        <w:t>tablet</w:t>
      </w:r>
      <w:proofErr w:type="gramEnd"/>
      <w:r>
        <w:rPr>
          <w:rFonts w:ascii="Arial" w:hAnsi="Arial" w:cs="Arial"/>
          <w:sz w:val="22"/>
          <w:szCs w:val="22"/>
        </w:rPr>
        <w:t xml:space="preserve">) </w:t>
      </w:r>
      <w:r w:rsidRPr="00351E19">
        <w:rPr>
          <w:rFonts w:ascii="Arial" w:hAnsi="Arial" w:cs="Arial"/>
          <w:sz w:val="22"/>
          <w:szCs w:val="22"/>
        </w:rPr>
        <w:t xml:space="preserve">– </w:t>
      </w:r>
      <w:r w:rsidRPr="00351E19">
        <w:rPr>
          <w:rFonts w:ascii="Arial" w:hAnsi="Arial" w:cs="Arial"/>
          <w:b/>
          <w:sz w:val="22"/>
          <w:szCs w:val="22"/>
        </w:rPr>
        <w:t>PA</w:t>
      </w:r>
    </w:p>
    <w:p w:rsidR="00351E19" w:rsidRPr="00AC65DA" w:rsidRDefault="000B4803" w:rsidP="000B4803">
      <w:pPr>
        <w:pStyle w:val="Default"/>
        <w:tabs>
          <w:tab w:val="left" w:pos="1080"/>
          <w:tab w:val="left" w:pos="1350"/>
        </w:tabs>
        <w:spacing w:line="276" w:lineRule="auto"/>
        <w:jc w:val="center"/>
        <w:rPr>
          <w:rFonts w:ascii="Arial" w:hAnsi="Arial"/>
          <w:b/>
          <w:bCs/>
          <w:sz w:val="18"/>
          <w:szCs w:val="18"/>
        </w:rPr>
      </w:pPr>
      <w:r>
        <w:rPr>
          <w:rFonts w:ascii="Arial" w:hAnsi="Arial" w:cs="Arial"/>
          <w:sz w:val="22"/>
          <w:szCs w:val="21"/>
        </w:rPr>
        <w:br w:type="column"/>
      </w:r>
      <w:r w:rsidR="00351E19">
        <w:rPr>
          <w:rFonts w:ascii="Arial" w:hAnsi="Arial"/>
          <w:b/>
          <w:bCs/>
          <w:sz w:val="18"/>
          <w:szCs w:val="18"/>
        </w:rPr>
        <w:lastRenderedPageBreak/>
        <w:t>L</w:t>
      </w:r>
      <w:r w:rsidR="00351E19" w:rsidRPr="006E1C33">
        <w:rPr>
          <w:rFonts w:ascii="Arial" w:hAnsi="Arial"/>
          <w:b/>
          <w:bCs/>
          <w:sz w:val="18"/>
          <w:szCs w:val="18"/>
        </w:rPr>
        <w:t>egend</w:t>
      </w:r>
    </w:p>
    <w:p w:rsidR="00351E19" w:rsidRPr="000B4803" w:rsidRDefault="00351E19" w:rsidP="00351E19">
      <w:pPr>
        <w:shd w:val="clear" w:color="auto" w:fill="FFFFFF"/>
        <w:tabs>
          <w:tab w:val="left" w:pos="180"/>
          <w:tab w:val="left" w:pos="360"/>
        </w:tabs>
        <w:ind w:left="270" w:hanging="360"/>
        <w:rPr>
          <w:rFonts w:ascii="Arial" w:hAnsi="Arial"/>
          <w:b/>
          <w:bCs/>
          <w:sz w:val="18"/>
          <w:szCs w:val="18"/>
        </w:rPr>
      </w:pPr>
    </w:p>
    <w:p w:rsidR="00351E19" w:rsidRDefault="00351E19" w:rsidP="00351E19">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in order for the pharmacy to receive payment. Note: PA applies to both the </w:t>
      </w:r>
      <w:proofErr w:type="gramStart"/>
      <w:r>
        <w:rPr>
          <w:rFonts w:ascii="Arial" w:hAnsi="Arial"/>
          <w:bCs/>
          <w:sz w:val="18"/>
          <w:szCs w:val="18"/>
        </w:rPr>
        <w:t>brand-name</w:t>
      </w:r>
      <w:proofErr w:type="gramEnd"/>
      <w:r>
        <w:rPr>
          <w:rFonts w:ascii="Arial" w:hAnsi="Arial"/>
          <w:bCs/>
          <w:sz w:val="18"/>
          <w:szCs w:val="18"/>
        </w:rPr>
        <w:t xml:space="preserve"> and the FDA “A”-rated generic equivalent of listed product.</w:t>
      </w:r>
    </w:p>
    <w:p w:rsidR="00351E19" w:rsidRDefault="00351E19" w:rsidP="00351E19">
      <w:pPr>
        <w:shd w:val="clear" w:color="auto" w:fill="FFFFFF"/>
        <w:tabs>
          <w:tab w:val="left" w:pos="360"/>
        </w:tabs>
        <w:ind w:left="270" w:hanging="360"/>
        <w:rPr>
          <w:rFonts w:ascii="Arial" w:hAnsi="Arial"/>
          <w:bCs/>
          <w:sz w:val="18"/>
          <w:szCs w:val="18"/>
        </w:rPr>
      </w:pPr>
    </w:p>
    <w:p w:rsidR="00351E19" w:rsidRPr="009D6D73" w:rsidRDefault="00351E19" w:rsidP="006024B9">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w:t>
      </w:r>
      <w:r w:rsidR="00A05897">
        <w:rPr>
          <w:rFonts w:ascii="Arial" w:hAnsi="Arial"/>
          <w:bCs/>
          <w:sz w:val="22"/>
          <w:szCs w:val="22"/>
        </w:rPr>
        <w:tab/>
      </w:r>
      <w:r>
        <w:rPr>
          <w:rFonts w:ascii="Arial" w:hAnsi="Arial"/>
          <w:bCs/>
          <w:sz w:val="18"/>
          <w:szCs w:val="18"/>
        </w:rPr>
        <w:t>D</w:t>
      </w:r>
      <w:r w:rsidRPr="009D6D73">
        <w:rPr>
          <w:rFonts w:ascii="Arial" w:hAnsi="Arial"/>
          <w:bCs/>
          <w:sz w:val="18"/>
          <w:szCs w:val="18"/>
        </w:rPr>
        <w:t>esignates a brand-name drug with FDA “A”-rated generic equivalents. </w:t>
      </w:r>
      <w:bookmarkStart w:id="1" w:name="Prior_Authorization"/>
      <w:r w:rsidRPr="009D6D73">
        <w:rPr>
          <w:rFonts w:ascii="Arial" w:hAnsi="Arial"/>
          <w:bCs/>
          <w:sz w:val="18"/>
          <w:szCs w:val="18"/>
        </w:rPr>
        <w:t>Prior authorization</w:t>
      </w:r>
      <w:bookmarkEnd w:id="1"/>
      <w:r w:rsidRPr="009D6D73">
        <w:rPr>
          <w:rFonts w:ascii="Arial" w:hAnsi="Arial"/>
          <w:bCs/>
          <w:sz w:val="18"/>
          <w:szCs w:val="18"/>
        </w:rPr>
        <w:t xml:space="preserve"> is required for the brand, unless a particular form of that drug (for example, tablet, capsule, or liquid) does not have an FDA “A”-rated generic equivalent. </w:t>
      </w:r>
    </w:p>
    <w:p w:rsidR="00351E19" w:rsidRPr="005B15B3" w:rsidRDefault="00351E19" w:rsidP="00351E19">
      <w:pPr>
        <w:shd w:val="clear" w:color="auto" w:fill="FFFFFF"/>
        <w:tabs>
          <w:tab w:val="left" w:pos="360"/>
        </w:tabs>
        <w:ind w:left="540" w:hanging="630"/>
        <w:rPr>
          <w:rFonts w:ascii="Arial" w:hAnsi="Arial"/>
          <w:bCs/>
          <w:sz w:val="22"/>
          <w:szCs w:val="22"/>
        </w:rPr>
      </w:pPr>
    </w:p>
    <w:p w:rsidR="00351E19" w:rsidRDefault="00351E19" w:rsidP="00351E19">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A05897">
        <w:rPr>
          <w:rFonts w:ascii="Arial" w:hAnsi="Arial"/>
          <w:b/>
          <w:sz w:val="22"/>
          <w:szCs w:val="22"/>
          <w:vertAlign w:val="superscript"/>
        </w:rPr>
        <w:tab/>
      </w:r>
      <w:r>
        <w:rPr>
          <w:rFonts w:ascii="Arial" w:hAnsi="Arial"/>
          <w:bCs/>
          <w:sz w:val="18"/>
          <w:szCs w:val="18"/>
        </w:rPr>
        <w:t xml:space="preserve">Brand preferred over generic equivalents. In general, </w:t>
      </w:r>
      <w:proofErr w:type="spellStart"/>
      <w:r>
        <w:rPr>
          <w:rFonts w:ascii="Arial" w:hAnsi="Arial"/>
          <w:bCs/>
          <w:sz w:val="18"/>
          <w:szCs w:val="18"/>
        </w:rPr>
        <w:t>MassHealth</w:t>
      </w:r>
      <w:proofErr w:type="spellEnd"/>
      <w:r>
        <w:rPr>
          <w:rFonts w:ascii="Arial" w:hAnsi="Arial"/>
          <w:bCs/>
          <w:sz w:val="18"/>
          <w:szCs w:val="18"/>
        </w:rPr>
        <w:t xml:space="preserve"> requires a trial of the preferred drug or clinical rationale for prescribing the </w:t>
      </w:r>
      <w:proofErr w:type="spellStart"/>
      <w:r>
        <w:rPr>
          <w:rFonts w:ascii="Arial" w:hAnsi="Arial"/>
          <w:bCs/>
          <w:sz w:val="18"/>
          <w:szCs w:val="18"/>
        </w:rPr>
        <w:t>nonpreferred</w:t>
      </w:r>
      <w:proofErr w:type="spellEnd"/>
      <w:r>
        <w:rPr>
          <w:rFonts w:ascii="Arial" w:hAnsi="Arial"/>
          <w:bCs/>
          <w:sz w:val="18"/>
          <w:szCs w:val="18"/>
        </w:rPr>
        <w:t xml:space="preserve"> drug generic equivalent.</w:t>
      </w:r>
    </w:p>
    <w:p w:rsidR="00351E19" w:rsidRDefault="00351E19" w:rsidP="00351E19">
      <w:pPr>
        <w:shd w:val="clear" w:color="auto" w:fill="FFFFFF"/>
        <w:ind w:left="270" w:hanging="441"/>
        <w:rPr>
          <w:rFonts w:ascii="Arial" w:hAnsi="Arial"/>
          <w:bCs/>
          <w:sz w:val="18"/>
          <w:szCs w:val="18"/>
        </w:rPr>
      </w:pPr>
    </w:p>
    <w:p w:rsidR="00351E19" w:rsidRDefault="00351E19" w:rsidP="00351E19">
      <w:pPr>
        <w:shd w:val="clear" w:color="auto" w:fill="FFFFFF"/>
        <w:ind w:left="270" w:hanging="441"/>
        <w:rPr>
          <w:rFonts w:ascii="Arial" w:hAnsi="Arial"/>
          <w:bCs/>
          <w:sz w:val="18"/>
          <w:szCs w:val="18"/>
        </w:rPr>
      </w:pPr>
      <w:r>
        <w:rPr>
          <w:rFonts w:ascii="Arial" w:hAnsi="Arial"/>
          <w:b/>
          <w:bCs/>
          <w:sz w:val="22"/>
          <w:szCs w:val="22"/>
          <w:vertAlign w:val="superscript"/>
        </w:rPr>
        <w:t>CO</w:t>
      </w:r>
      <w:r w:rsidR="00A05897">
        <w:rPr>
          <w:rFonts w:ascii="Arial" w:hAnsi="Arial"/>
          <w:bCs/>
          <w:sz w:val="22"/>
          <w:szCs w:val="22"/>
        </w:rPr>
        <w:tab/>
      </w:r>
      <w:r w:rsidRPr="000E6B9D">
        <w:rPr>
          <w:rFonts w:ascii="Arial" w:hAnsi="Arial"/>
          <w:bCs/>
          <w:sz w:val="18"/>
          <w:szCs w:val="18"/>
        </w:rPr>
        <w:t>This agent is listed on the Acute Hospital Carve-Out Drugs List and is subject to additional monitoring and billing requirements</w:t>
      </w:r>
    </w:p>
    <w:p w:rsidR="00351E19" w:rsidRDefault="00351E19" w:rsidP="00351E19">
      <w:pPr>
        <w:shd w:val="clear" w:color="auto" w:fill="FFFFFF"/>
        <w:tabs>
          <w:tab w:val="left" w:pos="360"/>
        </w:tabs>
        <w:ind w:left="729" w:hanging="630"/>
        <w:rPr>
          <w:rFonts w:ascii="Arial" w:hAnsi="Arial"/>
          <w:bCs/>
          <w:sz w:val="18"/>
          <w:szCs w:val="18"/>
        </w:rPr>
      </w:pPr>
    </w:p>
    <w:p w:rsidR="00212622" w:rsidRPr="0041065E" w:rsidRDefault="00351E19" w:rsidP="00212622">
      <w:pPr>
        <w:shd w:val="clear" w:color="auto" w:fill="FFFFFF"/>
        <w:ind w:left="270" w:hanging="441"/>
        <w:rPr>
          <w:rFonts w:ascii="Arial" w:hAnsi="Arial" w:cs="Arial"/>
          <w:b/>
          <w:sz w:val="18"/>
          <w:szCs w:val="18"/>
          <w:vertAlign w:val="superscript"/>
        </w:rPr>
      </w:pPr>
      <w:r w:rsidRPr="00B645C9">
        <w:rPr>
          <w:rFonts w:ascii="Arial" w:hAnsi="Arial"/>
          <w:b/>
          <w:sz w:val="22"/>
          <w:szCs w:val="22"/>
          <w:vertAlign w:val="superscript"/>
        </w:rPr>
        <w:t>PD</w:t>
      </w:r>
      <w:r w:rsidR="00A05897">
        <w:rPr>
          <w:rFonts w:ascii="Arial" w:hAnsi="Arial"/>
          <w:b/>
          <w:sz w:val="18"/>
          <w:szCs w:val="18"/>
          <w:vertAlign w:val="superscript"/>
        </w:rPr>
        <w:tab/>
      </w:r>
      <w:r w:rsidRPr="004D79B2">
        <w:rPr>
          <w:rFonts w:ascii="Arial" w:eastAsia="Calibri" w:hAnsi="Arial" w:cs="Arial"/>
          <w:sz w:val="18"/>
          <w:szCs w:val="18"/>
        </w:rPr>
        <w:t xml:space="preserve">In general, </w:t>
      </w:r>
      <w:proofErr w:type="spellStart"/>
      <w:r w:rsidRPr="004D79B2">
        <w:rPr>
          <w:rFonts w:ascii="Arial" w:eastAsia="Calibri" w:hAnsi="Arial" w:cs="Arial"/>
          <w:sz w:val="18"/>
          <w:szCs w:val="18"/>
        </w:rPr>
        <w:t>MassHealth</w:t>
      </w:r>
      <w:proofErr w:type="spellEnd"/>
      <w:r w:rsidRPr="004D79B2">
        <w:rPr>
          <w:rFonts w:ascii="Arial" w:eastAsia="Calibri" w:hAnsi="Arial" w:cs="Arial"/>
          <w:sz w:val="18"/>
          <w:szCs w:val="18"/>
        </w:rPr>
        <w:t xml:space="preserve"> requires a trial of the preferred drug (PD) or a clinical rationale for prescribing a non</w:t>
      </w:r>
      <w:r w:rsidR="004C184C">
        <w:rPr>
          <w:rFonts w:ascii="Arial" w:eastAsia="Calibri" w:hAnsi="Arial" w:cs="Arial"/>
          <w:sz w:val="18"/>
          <w:szCs w:val="18"/>
        </w:rPr>
        <w:t>-</w:t>
      </w:r>
      <w:r w:rsidRPr="004D79B2">
        <w:rPr>
          <w:rFonts w:ascii="Arial" w:eastAsia="Calibri" w:hAnsi="Arial" w:cs="Arial"/>
          <w:sz w:val="18"/>
          <w:szCs w:val="18"/>
        </w:rPr>
        <w:t>preferred drug within a therapeutic class.</w:t>
      </w:r>
      <w:r w:rsidR="002155A9" w:rsidRPr="0041065E">
        <w:rPr>
          <w:rFonts w:ascii="Arial" w:hAnsi="Arial" w:cs="Arial"/>
          <w:b/>
          <w:sz w:val="18"/>
          <w:szCs w:val="18"/>
          <w:vertAlign w:val="superscript"/>
        </w:rPr>
        <w:t xml:space="preserve"> </w:t>
      </w:r>
    </w:p>
    <w:p w:rsidR="0041065E" w:rsidRDefault="0041065E" w:rsidP="00835D27">
      <w:pPr>
        <w:shd w:val="clear" w:color="auto" w:fill="FFFFFF"/>
        <w:rPr>
          <w:bCs/>
          <w:sz w:val="18"/>
          <w:szCs w:val="18"/>
        </w:rPr>
        <w:sectPr w:rsidR="0041065E" w:rsidSect="000B4803">
          <w:footerReference w:type="even" r:id="rId17"/>
          <w:type w:val="continuous"/>
          <w:pgSz w:w="12240" w:h="15840" w:code="1"/>
          <w:pgMar w:top="360" w:right="907" w:bottom="432" w:left="907" w:header="720" w:footer="576" w:gutter="0"/>
          <w:cols w:num="2" w:sep="1" w:space="720"/>
          <w:docGrid w:linePitch="360"/>
        </w:sectPr>
      </w:pPr>
    </w:p>
    <w:p w:rsidR="000B4803" w:rsidRPr="000B4803" w:rsidRDefault="000B4803" w:rsidP="000B4803">
      <w:pPr>
        <w:pStyle w:val="Default"/>
        <w:spacing w:line="276" w:lineRule="auto"/>
        <w:ind w:left="720" w:hanging="360"/>
        <w:rPr>
          <w:rFonts w:ascii="Arial" w:hAnsi="Arial" w:cs="Arial"/>
          <w:sz w:val="22"/>
          <w:szCs w:val="22"/>
        </w:rPr>
      </w:pPr>
    </w:p>
    <w:sectPr w:rsidR="000B4803" w:rsidRPr="000B4803"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508" w:rsidRDefault="00C80508" w:rsidP="00492602">
      <w:r>
        <w:separator/>
      </w:r>
    </w:p>
  </w:endnote>
  <w:endnote w:type="continuationSeparator" w:id="0">
    <w:p w:rsidR="00C80508" w:rsidRDefault="00C80508"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22" w:rsidRPr="005C7622" w:rsidRDefault="005C7622" w:rsidP="005C7622">
    <w:pPr>
      <w:tabs>
        <w:tab w:val="left" w:pos="-90"/>
      </w:tabs>
      <w:autoSpaceDE w:val="0"/>
      <w:autoSpaceDN w:val="0"/>
      <w:adjustRightInd w:val="0"/>
      <w:jc w:val="center"/>
      <w:textAlignment w:val="baseline"/>
      <w:rPr>
        <w:rFonts w:ascii="Arial" w:hAnsi="Arial" w:cs="Arial"/>
        <w:iCs/>
        <w:sz w:val="18"/>
        <w:szCs w:val="18"/>
      </w:rPr>
    </w:pPr>
    <w:r w:rsidRPr="005C7622">
      <w:rPr>
        <w:rFonts w:ascii="Arial" w:hAnsi="Arial" w:cs="Arial"/>
        <w:iCs/>
        <w:sz w:val="18"/>
        <w:szCs w:val="18"/>
      </w:rPr>
      <w:t xml:space="preserve">If you have questions or comments, or want to be removed from this fax distribution, </w:t>
    </w:r>
  </w:p>
  <w:p w:rsidR="003C1739" w:rsidRPr="00E24139" w:rsidRDefault="005C7622" w:rsidP="005C7622">
    <w:pPr>
      <w:tabs>
        <w:tab w:val="left" w:pos="-90"/>
      </w:tabs>
      <w:autoSpaceDE w:val="0"/>
      <w:autoSpaceDN w:val="0"/>
      <w:adjustRightInd w:val="0"/>
      <w:jc w:val="center"/>
      <w:textAlignment w:val="baseline"/>
    </w:pPr>
    <w:proofErr w:type="gramStart"/>
    <w:r w:rsidRPr="005C7622">
      <w:rPr>
        <w:rFonts w:ascii="Arial" w:hAnsi="Arial" w:cs="Arial"/>
        <w:iCs/>
        <w:sz w:val="18"/>
        <w:szCs w:val="18"/>
      </w:rPr>
      <w:t>please</w:t>
    </w:r>
    <w:proofErr w:type="gramEnd"/>
    <w:r w:rsidRPr="005C7622">
      <w:rPr>
        <w:rFonts w:ascii="Arial" w:hAnsi="Arial" w:cs="Arial"/>
        <w:iCs/>
        <w:sz w:val="18"/>
        <w:szCs w:val="18"/>
      </w:rPr>
      <w:t xml:space="preserve"> contact </w:t>
    </w:r>
    <w:proofErr w:type="spellStart"/>
    <w:r w:rsidRPr="005C7622">
      <w:rPr>
        <w:rFonts w:ascii="Arial" w:hAnsi="Arial" w:cs="Arial"/>
        <w:iCs/>
        <w:sz w:val="18"/>
        <w:szCs w:val="18"/>
      </w:rPr>
      <w:t>Josel</w:t>
    </w:r>
    <w:proofErr w:type="spellEnd"/>
    <w:r w:rsidRPr="005C7622">
      <w:rPr>
        <w:rFonts w:ascii="Arial" w:hAnsi="Arial" w:cs="Arial"/>
        <w:iCs/>
        <w:sz w:val="18"/>
        <w:szCs w:val="18"/>
      </w:rPr>
      <w:t xml:space="preserve"> </w:t>
    </w:r>
    <w:proofErr w:type="spellStart"/>
    <w:r w:rsidRPr="005C7622">
      <w:rPr>
        <w:rFonts w:ascii="Arial" w:hAnsi="Arial" w:cs="Arial"/>
        <w:iCs/>
        <w:sz w:val="18"/>
        <w:szCs w:val="18"/>
      </w:rPr>
      <w:t>Fernandes</w:t>
    </w:r>
    <w:proofErr w:type="spellEnd"/>
    <w:r w:rsidRPr="005C7622">
      <w:rPr>
        <w:rFonts w:ascii="Arial" w:hAnsi="Arial" w:cs="Arial"/>
        <w:iCs/>
        <w:sz w:val="18"/>
        <w:szCs w:val="18"/>
      </w:rPr>
      <w:t xml:space="preserve"> at (617) 423-9842.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9C" w:rsidRPr="00207DE3" w:rsidRDefault="00FF409C" w:rsidP="00FF409C">
    <w:pPr>
      <w:pBdr>
        <w:top w:val="single" w:sz="18" w:space="1" w:color="auto"/>
      </w:pBd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rsidR="00FF409C" w:rsidRDefault="00FF409C" w:rsidP="00FF409C">
    <w:pPr>
      <w:tabs>
        <w:tab w:val="left" w:pos="-90"/>
      </w:tabs>
      <w:autoSpaceDE w:val="0"/>
      <w:autoSpaceDN w:val="0"/>
      <w:adjustRightInd w:val="0"/>
      <w:jc w:val="center"/>
      <w:textAlignment w:val="baseline"/>
    </w:pPr>
    <w:proofErr w:type="gramStart"/>
    <w:r w:rsidRPr="00207DE3">
      <w:rPr>
        <w:rFonts w:ascii="Arial" w:hAnsi="Arial" w:cs="Arial"/>
        <w:iCs/>
        <w:sz w:val="18"/>
        <w:szCs w:val="18"/>
      </w:rPr>
      <w:t>please</w:t>
    </w:r>
    <w:proofErr w:type="gramEnd"/>
    <w:r w:rsidRPr="00207DE3">
      <w:rPr>
        <w:rFonts w:ascii="Arial" w:hAnsi="Arial" w:cs="Arial"/>
        <w:iCs/>
        <w:sz w:val="18"/>
        <w:szCs w:val="18"/>
      </w:rPr>
      <w:t xml:space="preserve"> contact </w:t>
    </w:r>
    <w:proofErr w:type="spellStart"/>
    <w:r w:rsidRPr="00207DE3">
      <w:rPr>
        <w:rFonts w:ascii="Arial" w:hAnsi="Arial" w:cs="Arial"/>
        <w:iCs/>
        <w:sz w:val="18"/>
        <w:szCs w:val="18"/>
      </w:rPr>
      <w:t>Josel</w:t>
    </w:r>
    <w:proofErr w:type="spellEnd"/>
    <w:r w:rsidRPr="00207DE3">
      <w:rPr>
        <w:rFonts w:ascii="Arial" w:hAnsi="Arial" w:cs="Arial"/>
        <w:iCs/>
        <w:sz w:val="18"/>
        <w:szCs w:val="18"/>
      </w:rPr>
      <w:t xml:space="preserve"> </w:t>
    </w:r>
    <w:proofErr w:type="spellStart"/>
    <w:r w:rsidRPr="00207DE3">
      <w:rPr>
        <w:rFonts w:ascii="Arial" w:hAnsi="Arial" w:cs="Arial"/>
        <w:iCs/>
        <w:sz w:val="18"/>
        <w:szCs w:val="18"/>
      </w:rPr>
      <w:t>Fernandes</w:t>
    </w:r>
    <w:proofErr w:type="spellEnd"/>
    <w:r w:rsidRPr="00207DE3">
      <w:rPr>
        <w:rFonts w:ascii="Arial" w:hAnsi="Arial" w:cs="Arial"/>
        <w:iCs/>
        <w:sz w:val="18"/>
        <w:szCs w:val="18"/>
      </w:rPr>
      <w:t xml:space="preserve"> at (617) 423-9842.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508" w:rsidRDefault="00C80508" w:rsidP="00492602">
      <w:r>
        <w:separator/>
      </w:r>
    </w:p>
  </w:footnote>
  <w:footnote w:type="continuationSeparator" w:id="0">
    <w:p w:rsidR="00C80508" w:rsidRDefault="00C80508"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803" w:rsidRDefault="000B4803" w:rsidP="000B4803">
    <w:pPr>
      <w:pStyle w:val="Default"/>
      <w:pBdr>
        <w:bottom w:val="single" w:sz="18" w:space="1" w:color="auto"/>
      </w:pBdr>
      <w:tabs>
        <w:tab w:val="right" w:pos="10440"/>
      </w:tabs>
      <w:spacing w:after="240"/>
    </w:pPr>
    <w:r w:rsidRPr="00AD18B8">
      <w:rPr>
        <w:sz w:val="18"/>
        <w:szCs w:val="18"/>
      </w:rPr>
      <w:t>P</w:t>
    </w:r>
    <w:r>
      <w:rPr>
        <w:sz w:val="18"/>
        <w:szCs w:val="18"/>
      </w:rPr>
      <w:t xml:space="preserve">harmacy Facts, Number </w:t>
    </w:r>
    <w:r w:rsidRPr="000B4803">
      <w:rPr>
        <w:sz w:val="18"/>
        <w:szCs w:val="18"/>
      </w:rPr>
      <w:t>144</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sidR="00754932">
      <w:rPr>
        <w:noProof/>
        <w:color w:val="auto"/>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E35F1"/>
    <w:multiLevelType w:val="hybridMultilevel"/>
    <w:tmpl w:val="19E00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F7073"/>
    <w:multiLevelType w:val="hybridMultilevel"/>
    <w:tmpl w:val="18444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A7A5C"/>
    <w:multiLevelType w:val="hybridMultilevel"/>
    <w:tmpl w:val="3C7CB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303625"/>
    <w:multiLevelType w:val="hybridMultilevel"/>
    <w:tmpl w:val="CF9E8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DD55CF"/>
    <w:multiLevelType w:val="hybridMultilevel"/>
    <w:tmpl w:val="7E4EE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8953D9"/>
    <w:multiLevelType w:val="hybridMultilevel"/>
    <w:tmpl w:val="D46CA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8F533F"/>
    <w:multiLevelType w:val="hybridMultilevel"/>
    <w:tmpl w:val="9EE08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530F0"/>
    <w:multiLevelType w:val="hybridMultilevel"/>
    <w:tmpl w:val="46CEE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7342F8"/>
    <w:multiLevelType w:val="hybridMultilevel"/>
    <w:tmpl w:val="B49E8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6"/>
  </w:num>
  <w:num w:numId="4">
    <w:abstractNumId w:val="10"/>
  </w:num>
  <w:num w:numId="5">
    <w:abstractNumId w:val="13"/>
  </w:num>
  <w:num w:numId="6">
    <w:abstractNumId w:val="20"/>
  </w:num>
  <w:num w:numId="7">
    <w:abstractNumId w:val="27"/>
  </w:num>
  <w:num w:numId="8">
    <w:abstractNumId w:val="3"/>
  </w:num>
  <w:num w:numId="9">
    <w:abstractNumId w:val="0"/>
  </w:num>
  <w:num w:numId="10">
    <w:abstractNumId w:val="24"/>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6"/>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12"/>
  </w:num>
  <w:num w:numId="22">
    <w:abstractNumId w:val="28"/>
  </w:num>
  <w:num w:numId="23">
    <w:abstractNumId w:val="29"/>
  </w:num>
  <w:num w:numId="24">
    <w:abstractNumId w:val="18"/>
  </w:num>
  <w:num w:numId="25">
    <w:abstractNumId w:val="25"/>
  </w:num>
  <w:num w:numId="26">
    <w:abstractNumId w:val="21"/>
  </w:num>
  <w:num w:numId="27">
    <w:abstractNumId w:val="1"/>
  </w:num>
  <w:num w:numId="28">
    <w:abstractNumId w:val="11"/>
  </w:num>
  <w:num w:numId="29">
    <w:abstractNumId w:val="19"/>
  </w:num>
  <w:num w:numId="30">
    <w:abstractNumId w:val="7"/>
  </w:num>
  <w:num w:numId="31">
    <w:abstractNumId w:val="14"/>
  </w:num>
  <w:num w:numId="32">
    <w:abstractNumId w:val="9"/>
  </w:num>
  <w:num w:numId="33">
    <w:abstractNumId w:va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148F"/>
    <w:rsid w:val="00054839"/>
    <w:rsid w:val="00060560"/>
    <w:rsid w:val="00063DDE"/>
    <w:rsid w:val="000713D3"/>
    <w:rsid w:val="000735C4"/>
    <w:rsid w:val="00074014"/>
    <w:rsid w:val="00081E8E"/>
    <w:rsid w:val="000A6318"/>
    <w:rsid w:val="000B4803"/>
    <w:rsid w:val="000D1502"/>
    <w:rsid w:val="000E6B9D"/>
    <w:rsid w:val="000F5C22"/>
    <w:rsid w:val="001148AF"/>
    <w:rsid w:val="00123D58"/>
    <w:rsid w:val="00137D3D"/>
    <w:rsid w:val="00140D08"/>
    <w:rsid w:val="001466F1"/>
    <w:rsid w:val="00147437"/>
    <w:rsid w:val="00157A49"/>
    <w:rsid w:val="00171445"/>
    <w:rsid w:val="001721D8"/>
    <w:rsid w:val="0018357E"/>
    <w:rsid w:val="001864A9"/>
    <w:rsid w:val="001A125B"/>
    <w:rsid w:val="001C1481"/>
    <w:rsid w:val="001E779F"/>
    <w:rsid w:val="0021214A"/>
    <w:rsid w:val="00212622"/>
    <w:rsid w:val="002155A9"/>
    <w:rsid w:val="002275AE"/>
    <w:rsid w:val="00230996"/>
    <w:rsid w:val="002509E9"/>
    <w:rsid w:val="002727AB"/>
    <w:rsid w:val="00276F3A"/>
    <w:rsid w:val="00286CBE"/>
    <w:rsid w:val="00291397"/>
    <w:rsid w:val="002C7C67"/>
    <w:rsid w:val="002D0AAC"/>
    <w:rsid w:val="002D390F"/>
    <w:rsid w:val="002D3C44"/>
    <w:rsid w:val="002D738C"/>
    <w:rsid w:val="002E2F9E"/>
    <w:rsid w:val="002F4E7B"/>
    <w:rsid w:val="00301620"/>
    <w:rsid w:val="003152DA"/>
    <w:rsid w:val="0033053B"/>
    <w:rsid w:val="00334D14"/>
    <w:rsid w:val="00351E19"/>
    <w:rsid w:val="00360067"/>
    <w:rsid w:val="0036343A"/>
    <w:rsid w:val="0037373E"/>
    <w:rsid w:val="00375713"/>
    <w:rsid w:val="0037774F"/>
    <w:rsid w:val="00382054"/>
    <w:rsid w:val="00387C1F"/>
    <w:rsid w:val="003911FC"/>
    <w:rsid w:val="003B6839"/>
    <w:rsid w:val="003C1739"/>
    <w:rsid w:val="003D2B74"/>
    <w:rsid w:val="003F533B"/>
    <w:rsid w:val="003F589B"/>
    <w:rsid w:val="0041065E"/>
    <w:rsid w:val="00413277"/>
    <w:rsid w:val="004400B4"/>
    <w:rsid w:val="00447A5F"/>
    <w:rsid w:val="00453E30"/>
    <w:rsid w:val="00453F3E"/>
    <w:rsid w:val="00456B5A"/>
    <w:rsid w:val="004664D3"/>
    <w:rsid w:val="00477916"/>
    <w:rsid w:val="004910B8"/>
    <w:rsid w:val="00492602"/>
    <w:rsid w:val="004A3BAA"/>
    <w:rsid w:val="004A7395"/>
    <w:rsid w:val="004B5211"/>
    <w:rsid w:val="004C184C"/>
    <w:rsid w:val="004D1BC7"/>
    <w:rsid w:val="004D79B2"/>
    <w:rsid w:val="004F1D61"/>
    <w:rsid w:val="004F5612"/>
    <w:rsid w:val="005052D9"/>
    <w:rsid w:val="00516394"/>
    <w:rsid w:val="0052118E"/>
    <w:rsid w:val="00527F95"/>
    <w:rsid w:val="005314A6"/>
    <w:rsid w:val="00535D11"/>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6024B9"/>
    <w:rsid w:val="006051C1"/>
    <w:rsid w:val="00605722"/>
    <w:rsid w:val="00607CFA"/>
    <w:rsid w:val="006150C0"/>
    <w:rsid w:val="00623469"/>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16DF3"/>
    <w:rsid w:val="007319D7"/>
    <w:rsid w:val="00731FAF"/>
    <w:rsid w:val="007426BF"/>
    <w:rsid w:val="00754932"/>
    <w:rsid w:val="00760FDF"/>
    <w:rsid w:val="007757E7"/>
    <w:rsid w:val="00781D3B"/>
    <w:rsid w:val="007A41F5"/>
    <w:rsid w:val="007B2F2D"/>
    <w:rsid w:val="007B4429"/>
    <w:rsid w:val="007B7425"/>
    <w:rsid w:val="007E4380"/>
    <w:rsid w:val="007F5417"/>
    <w:rsid w:val="00804116"/>
    <w:rsid w:val="00812480"/>
    <w:rsid w:val="00821937"/>
    <w:rsid w:val="008340D0"/>
    <w:rsid w:val="00835D27"/>
    <w:rsid w:val="0083736A"/>
    <w:rsid w:val="008403CA"/>
    <w:rsid w:val="008445DC"/>
    <w:rsid w:val="0085395A"/>
    <w:rsid w:val="00853F8E"/>
    <w:rsid w:val="0086142C"/>
    <w:rsid w:val="00872E7F"/>
    <w:rsid w:val="00873765"/>
    <w:rsid w:val="00880FA9"/>
    <w:rsid w:val="0089082D"/>
    <w:rsid w:val="008930F1"/>
    <w:rsid w:val="00893F45"/>
    <w:rsid w:val="008C5414"/>
    <w:rsid w:val="008C63DD"/>
    <w:rsid w:val="008D7632"/>
    <w:rsid w:val="008F0130"/>
    <w:rsid w:val="008F2E4C"/>
    <w:rsid w:val="00905C46"/>
    <w:rsid w:val="00906EEC"/>
    <w:rsid w:val="009166DF"/>
    <w:rsid w:val="009204C7"/>
    <w:rsid w:val="00922030"/>
    <w:rsid w:val="0093532E"/>
    <w:rsid w:val="00941258"/>
    <w:rsid w:val="00942245"/>
    <w:rsid w:val="00956812"/>
    <w:rsid w:val="00963957"/>
    <w:rsid w:val="009725E5"/>
    <w:rsid w:val="00974CFD"/>
    <w:rsid w:val="00981567"/>
    <w:rsid w:val="009C3981"/>
    <w:rsid w:val="009C3CFF"/>
    <w:rsid w:val="009D1341"/>
    <w:rsid w:val="009D32CB"/>
    <w:rsid w:val="009D6D73"/>
    <w:rsid w:val="009D79C6"/>
    <w:rsid w:val="009F0440"/>
    <w:rsid w:val="009F0526"/>
    <w:rsid w:val="00A01DE3"/>
    <w:rsid w:val="00A05897"/>
    <w:rsid w:val="00A11371"/>
    <w:rsid w:val="00A120E1"/>
    <w:rsid w:val="00A319AD"/>
    <w:rsid w:val="00A31FAA"/>
    <w:rsid w:val="00A343A9"/>
    <w:rsid w:val="00A5239C"/>
    <w:rsid w:val="00A650DC"/>
    <w:rsid w:val="00A6764A"/>
    <w:rsid w:val="00A67D17"/>
    <w:rsid w:val="00A84255"/>
    <w:rsid w:val="00A93734"/>
    <w:rsid w:val="00AC1AC7"/>
    <w:rsid w:val="00AC65DA"/>
    <w:rsid w:val="00AD18B8"/>
    <w:rsid w:val="00AD33D5"/>
    <w:rsid w:val="00AE21FC"/>
    <w:rsid w:val="00AE7072"/>
    <w:rsid w:val="00B01BAA"/>
    <w:rsid w:val="00B07BD7"/>
    <w:rsid w:val="00B13AA5"/>
    <w:rsid w:val="00B3099B"/>
    <w:rsid w:val="00B313A3"/>
    <w:rsid w:val="00B40A71"/>
    <w:rsid w:val="00B41B0C"/>
    <w:rsid w:val="00B503C7"/>
    <w:rsid w:val="00B54AB5"/>
    <w:rsid w:val="00B645C9"/>
    <w:rsid w:val="00B92C96"/>
    <w:rsid w:val="00BA625B"/>
    <w:rsid w:val="00BA68F0"/>
    <w:rsid w:val="00BD08CA"/>
    <w:rsid w:val="00BE1214"/>
    <w:rsid w:val="00BE3015"/>
    <w:rsid w:val="00C15672"/>
    <w:rsid w:val="00C31421"/>
    <w:rsid w:val="00C33753"/>
    <w:rsid w:val="00C35B94"/>
    <w:rsid w:val="00C558B6"/>
    <w:rsid w:val="00C80508"/>
    <w:rsid w:val="00C82FA4"/>
    <w:rsid w:val="00CA0669"/>
    <w:rsid w:val="00CA1E7C"/>
    <w:rsid w:val="00CB0030"/>
    <w:rsid w:val="00CB7521"/>
    <w:rsid w:val="00CC57AC"/>
    <w:rsid w:val="00CC776C"/>
    <w:rsid w:val="00CD6D68"/>
    <w:rsid w:val="00CE3864"/>
    <w:rsid w:val="00D0584B"/>
    <w:rsid w:val="00D2467C"/>
    <w:rsid w:val="00D2695E"/>
    <w:rsid w:val="00D335C5"/>
    <w:rsid w:val="00D521FA"/>
    <w:rsid w:val="00D5685A"/>
    <w:rsid w:val="00D56897"/>
    <w:rsid w:val="00D81121"/>
    <w:rsid w:val="00D83FDF"/>
    <w:rsid w:val="00DB5DBC"/>
    <w:rsid w:val="00DB6A12"/>
    <w:rsid w:val="00E02354"/>
    <w:rsid w:val="00E10EA0"/>
    <w:rsid w:val="00E24139"/>
    <w:rsid w:val="00E34C02"/>
    <w:rsid w:val="00E3616D"/>
    <w:rsid w:val="00E50862"/>
    <w:rsid w:val="00E60ABB"/>
    <w:rsid w:val="00E62D91"/>
    <w:rsid w:val="00E67611"/>
    <w:rsid w:val="00E67713"/>
    <w:rsid w:val="00E72DFF"/>
    <w:rsid w:val="00E82EB9"/>
    <w:rsid w:val="00E86B3A"/>
    <w:rsid w:val="00E92E47"/>
    <w:rsid w:val="00E9576D"/>
    <w:rsid w:val="00EB285E"/>
    <w:rsid w:val="00EB6479"/>
    <w:rsid w:val="00EC08AC"/>
    <w:rsid w:val="00EC1948"/>
    <w:rsid w:val="00ED4639"/>
    <w:rsid w:val="00EE54D2"/>
    <w:rsid w:val="00EF7C8A"/>
    <w:rsid w:val="00F14594"/>
    <w:rsid w:val="00F25E7F"/>
    <w:rsid w:val="00F26E4F"/>
    <w:rsid w:val="00F307D6"/>
    <w:rsid w:val="00F45E31"/>
    <w:rsid w:val="00F512EE"/>
    <w:rsid w:val="00F53492"/>
    <w:rsid w:val="00F643E6"/>
    <w:rsid w:val="00F76D69"/>
    <w:rsid w:val="00F80E73"/>
    <w:rsid w:val="00F9012C"/>
    <w:rsid w:val="00F9097E"/>
    <w:rsid w:val="00F92F5C"/>
    <w:rsid w:val="00F93C6C"/>
    <w:rsid w:val="00FA5147"/>
    <w:rsid w:val="00FB0C11"/>
    <w:rsid w:val="00FD4894"/>
    <w:rsid w:val="00FE6B9E"/>
    <w:rsid w:val="00FF36EF"/>
    <w:rsid w:val="00FF409C"/>
    <w:rsid w:val="00FF40A0"/>
    <w:rsid w:val="00FF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4B52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4B5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562522816">
      <w:bodyDiv w:val="1"/>
      <w:marLeft w:val="0"/>
      <w:marRight w:val="0"/>
      <w:marTop w:val="0"/>
      <w:marBottom w:val="0"/>
      <w:divBdr>
        <w:top w:val="none" w:sz="0" w:space="0" w:color="auto"/>
        <w:left w:val="none" w:sz="0" w:space="0" w:color="auto"/>
        <w:bottom w:val="none" w:sz="0" w:space="0" w:color="auto"/>
        <w:right w:val="none" w:sz="0" w:space="0" w:color="auto"/>
      </w:divBdr>
    </w:div>
    <w:div w:id="1650010443">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rugli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ass.gov/druglist"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ss.gov/drug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CE6F-8F0C-4980-AB74-9A44101B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2020-04-02T18:14:00Z</dcterms:created>
  <dcterms:modified xsi:type="dcterms:W3CDTF">2020-04-02T18:15:00Z</dcterms:modified>
</cp:coreProperties>
</file>