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4DFBE" w14:textId="77777777" w:rsidR="007E4380" w:rsidRPr="000F482D" w:rsidRDefault="007E4380" w:rsidP="007E4380">
      <w:pPr>
        <w:pStyle w:val="Noparagraphstyle"/>
        <w:rPr>
          <w:rFonts w:ascii="Arial Narrow" w:hAnsi="Arial Narrow"/>
          <w:b/>
          <w:color w:val="auto"/>
          <w:sz w:val="20"/>
          <w:szCs w:val="20"/>
        </w:rPr>
      </w:pPr>
      <w:bookmarkStart w:id="0" w:name="_GoBack"/>
      <w:bookmarkEnd w:id="0"/>
      <w:r w:rsidRPr="000F482D">
        <w:rPr>
          <w:rFonts w:ascii="Arial Narrow" w:hAnsi="Arial Narrow"/>
          <w:b/>
          <w:color w:val="auto"/>
          <w:sz w:val="20"/>
          <w:szCs w:val="20"/>
        </w:rPr>
        <w:t xml:space="preserve">Number </w:t>
      </w:r>
      <w:r w:rsidR="00780F43" w:rsidRPr="000F482D">
        <w:rPr>
          <w:rFonts w:ascii="Arial Narrow" w:hAnsi="Arial Narrow"/>
          <w:b/>
          <w:color w:val="auto"/>
          <w:sz w:val="20"/>
          <w:szCs w:val="20"/>
        </w:rPr>
        <w:t>149, June 26, 2020</w:t>
      </w:r>
    </w:p>
    <w:p w14:paraId="40783651" w14:textId="77777777" w:rsidR="006F35F9" w:rsidRDefault="007E4380" w:rsidP="007E4380">
      <w:pPr>
        <w:tabs>
          <w:tab w:val="left" w:pos="10530"/>
        </w:tabs>
        <w:ind w:right="720"/>
        <w:rPr>
          <w:rFonts w:ascii="Arial" w:hAnsi="Arial" w:cs="Arial"/>
          <w:color w:val="000000"/>
          <w:sz w:val="21"/>
          <w:szCs w:val="21"/>
        </w:rPr>
        <w:sectPr w:rsidR="006F35F9" w:rsidSect="000F482D">
          <w:footerReference w:type="default" r:id="rId9"/>
          <w:pgSz w:w="12240" w:h="15840" w:code="1"/>
          <w:pgMar w:top="360" w:right="907" w:bottom="446" w:left="907" w:header="432" w:footer="576" w:gutter="0"/>
          <w:cols w:space="720"/>
          <w:docGrid w:linePitch="360"/>
        </w:sectPr>
      </w:pPr>
      <w:r>
        <w:rPr>
          <w:b/>
          <w:noProof/>
        </w:rPr>
        <w:drawing>
          <wp:inline distT="0" distB="0" distL="0" distR="0" wp14:anchorId="3299BAE6" wp14:editId="4EA3CD11">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14:paraId="5EC8A767" w14:textId="77777777" w:rsidR="007872E1" w:rsidRPr="00A31159" w:rsidRDefault="007872E1" w:rsidP="00A31159">
      <w:pPr>
        <w:pStyle w:val="Heading2"/>
      </w:pPr>
      <w:r w:rsidRPr="00A31159">
        <w:lastRenderedPageBreak/>
        <w:t>MHDL Update</w:t>
      </w:r>
    </w:p>
    <w:p w14:paraId="52CAFC6C" w14:textId="77777777" w:rsidR="007872E1" w:rsidRPr="00C60193" w:rsidRDefault="007872E1" w:rsidP="007872E1">
      <w:pPr>
        <w:rPr>
          <w:sz w:val="22"/>
          <w:szCs w:val="22"/>
        </w:rPr>
      </w:pPr>
    </w:p>
    <w:p w14:paraId="5042AB8D" w14:textId="77777777" w:rsidR="007872E1" w:rsidRPr="002C52B8" w:rsidRDefault="007872E1" w:rsidP="003F4BC1">
      <w:pPr>
        <w:rPr>
          <w:rFonts w:ascii="Arial" w:hAnsi="Arial" w:cs="Arial"/>
          <w:sz w:val="22"/>
          <w:szCs w:val="22"/>
        </w:rPr>
      </w:pPr>
      <w:r w:rsidRPr="002C52B8">
        <w:rPr>
          <w:rFonts w:ascii="Arial" w:hAnsi="Arial" w:cs="Arial"/>
          <w:sz w:val="22"/>
          <w:szCs w:val="22"/>
        </w:rPr>
        <w:t>Below are certain updates to the MassHealth Drug List (MHDL).  See the MHDL for a complete listing of updates.</w:t>
      </w:r>
    </w:p>
    <w:p w14:paraId="28BC24C7" w14:textId="77777777" w:rsidR="007872E1" w:rsidRPr="00A31159" w:rsidRDefault="007872E1" w:rsidP="00A31159">
      <w:pPr>
        <w:pStyle w:val="Heading3"/>
      </w:pPr>
      <w:r w:rsidRPr="00A31159">
        <w:t>Additions</w:t>
      </w:r>
    </w:p>
    <w:p w14:paraId="54DBB6FD" w14:textId="77777777" w:rsidR="007872E1" w:rsidRPr="00D161D7" w:rsidRDefault="007872E1" w:rsidP="003F4BC1">
      <w:pPr>
        <w:pStyle w:val="Default"/>
        <w:spacing w:after="120"/>
        <w:rPr>
          <w:rFonts w:ascii="Arial" w:hAnsi="Arial" w:cs="Arial"/>
          <w:sz w:val="22"/>
          <w:szCs w:val="21"/>
        </w:rPr>
      </w:pPr>
      <w:r w:rsidRPr="001E4EA6">
        <w:rPr>
          <w:rFonts w:ascii="Arial" w:hAnsi="Arial" w:cs="Arial"/>
          <w:sz w:val="22"/>
          <w:szCs w:val="21"/>
        </w:rPr>
        <w:t>Effective June 29, 2020, the following newly marketed drugs have been added to the MassHealth Drug List.</w:t>
      </w:r>
      <w:r w:rsidRPr="00F67059">
        <w:rPr>
          <w:rFonts w:ascii="Arial" w:hAnsi="Arial" w:cs="Arial"/>
          <w:sz w:val="22"/>
          <w:szCs w:val="21"/>
        </w:rPr>
        <w:t xml:space="preserve"> </w:t>
      </w:r>
    </w:p>
    <w:p w14:paraId="0C07F9CE" w14:textId="77777777" w:rsidR="007872E1" w:rsidRPr="007D0C99" w:rsidRDefault="007872E1" w:rsidP="007872E1">
      <w:pPr>
        <w:pStyle w:val="Default"/>
        <w:numPr>
          <w:ilvl w:val="0"/>
          <w:numId w:val="2"/>
        </w:numPr>
        <w:spacing w:line="276" w:lineRule="auto"/>
        <w:rPr>
          <w:rFonts w:ascii="Arial" w:hAnsi="Arial" w:cs="Arial"/>
          <w:sz w:val="22"/>
          <w:szCs w:val="22"/>
        </w:rPr>
      </w:pPr>
      <w:r w:rsidRPr="007D0C99">
        <w:rPr>
          <w:rFonts w:ascii="Arial" w:hAnsi="Arial" w:cs="Arial"/>
          <w:sz w:val="22"/>
          <w:szCs w:val="22"/>
        </w:rPr>
        <w:t xml:space="preserve">Ayvakit (avapritinib) – </w:t>
      </w:r>
      <w:r w:rsidRPr="007D0C99">
        <w:rPr>
          <w:rFonts w:ascii="Arial" w:hAnsi="Arial" w:cs="Arial"/>
          <w:b/>
          <w:sz w:val="22"/>
          <w:szCs w:val="22"/>
        </w:rPr>
        <w:t>PA</w:t>
      </w:r>
      <w:r w:rsidRPr="007D0C99">
        <w:rPr>
          <w:rFonts w:ascii="Arial" w:hAnsi="Arial" w:cs="Arial"/>
          <w:sz w:val="22"/>
          <w:szCs w:val="22"/>
        </w:rPr>
        <w:t xml:space="preserve"> </w:t>
      </w:r>
    </w:p>
    <w:p w14:paraId="29070AE9" w14:textId="77777777" w:rsidR="007872E1" w:rsidRPr="00761E69" w:rsidRDefault="007872E1" w:rsidP="007872E1">
      <w:pPr>
        <w:pStyle w:val="Default"/>
        <w:numPr>
          <w:ilvl w:val="0"/>
          <w:numId w:val="2"/>
        </w:numPr>
        <w:spacing w:line="276" w:lineRule="auto"/>
        <w:rPr>
          <w:rFonts w:ascii="Arial" w:hAnsi="Arial" w:cs="Arial"/>
          <w:sz w:val="22"/>
          <w:szCs w:val="22"/>
        </w:rPr>
      </w:pPr>
      <w:r w:rsidRPr="00761E69">
        <w:rPr>
          <w:rFonts w:ascii="Arial" w:hAnsi="Arial" w:cs="Arial"/>
          <w:sz w:val="22"/>
          <w:szCs w:val="22"/>
        </w:rPr>
        <w:t xml:space="preserve">Caplyta (lumateperone) – </w:t>
      </w:r>
      <w:r w:rsidRPr="00761E69">
        <w:rPr>
          <w:rFonts w:ascii="Arial" w:hAnsi="Arial" w:cs="Arial"/>
          <w:b/>
          <w:sz w:val="22"/>
          <w:szCs w:val="22"/>
        </w:rPr>
        <w:t>PA</w:t>
      </w:r>
      <w:r w:rsidRPr="00761E69">
        <w:rPr>
          <w:rFonts w:ascii="Arial" w:hAnsi="Arial" w:cs="Arial"/>
          <w:sz w:val="22"/>
          <w:szCs w:val="22"/>
        </w:rPr>
        <w:t xml:space="preserve"> </w:t>
      </w:r>
    </w:p>
    <w:p w14:paraId="0E3A5388" w14:textId="77777777" w:rsidR="007872E1" w:rsidRDefault="007872E1" w:rsidP="007872E1">
      <w:pPr>
        <w:pStyle w:val="Default"/>
        <w:numPr>
          <w:ilvl w:val="0"/>
          <w:numId w:val="2"/>
        </w:numPr>
        <w:spacing w:line="276" w:lineRule="auto"/>
        <w:rPr>
          <w:rFonts w:ascii="Arial" w:hAnsi="Arial" w:cs="Arial"/>
          <w:sz w:val="22"/>
          <w:szCs w:val="22"/>
        </w:rPr>
      </w:pPr>
      <w:r w:rsidRPr="00073BBB">
        <w:rPr>
          <w:rFonts w:ascii="Arial" w:hAnsi="Arial" w:cs="Arial"/>
          <w:sz w:val="22"/>
          <w:szCs w:val="22"/>
        </w:rPr>
        <w:t xml:space="preserve">Gvoke (glucagon </w:t>
      </w:r>
      <w:r>
        <w:rPr>
          <w:rFonts w:ascii="Arial" w:hAnsi="Arial" w:cs="Arial"/>
          <w:sz w:val="22"/>
          <w:szCs w:val="22"/>
        </w:rPr>
        <w:t xml:space="preserve">auto-injection, </w:t>
      </w:r>
      <w:r w:rsidRPr="00073BBB">
        <w:rPr>
          <w:rFonts w:ascii="Arial" w:hAnsi="Arial" w:cs="Arial"/>
          <w:sz w:val="22"/>
          <w:szCs w:val="22"/>
        </w:rPr>
        <w:t xml:space="preserve">prefilled syringe) – </w:t>
      </w:r>
      <w:r w:rsidRPr="00073BBB">
        <w:rPr>
          <w:rFonts w:ascii="Arial" w:hAnsi="Arial" w:cs="Arial"/>
          <w:b/>
          <w:sz w:val="22"/>
          <w:szCs w:val="22"/>
        </w:rPr>
        <w:t>PA</w:t>
      </w:r>
    </w:p>
    <w:p w14:paraId="6EA33570" w14:textId="77777777" w:rsidR="007872E1" w:rsidRPr="00675E8D" w:rsidRDefault="007872E1" w:rsidP="007872E1">
      <w:pPr>
        <w:pStyle w:val="Default"/>
        <w:numPr>
          <w:ilvl w:val="0"/>
          <w:numId w:val="2"/>
        </w:numPr>
        <w:spacing w:line="276" w:lineRule="auto"/>
        <w:rPr>
          <w:rFonts w:ascii="Arial" w:hAnsi="Arial" w:cs="Arial"/>
          <w:sz w:val="22"/>
          <w:szCs w:val="22"/>
        </w:rPr>
      </w:pPr>
      <w:r w:rsidRPr="00675E8D">
        <w:rPr>
          <w:rFonts w:ascii="Arial" w:hAnsi="Arial" w:cs="Arial"/>
          <w:sz w:val="22"/>
          <w:szCs w:val="22"/>
        </w:rPr>
        <w:t>Jatenzo (</w:t>
      </w:r>
      <w:r>
        <w:rPr>
          <w:rFonts w:ascii="Arial" w:hAnsi="Arial" w:cs="Arial"/>
          <w:sz w:val="22"/>
          <w:szCs w:val="22"/>
        </w:rPr>
        <w:t>testosterone undecanoate capsule</w:t>
      </w:r>
      <w:r w:rsidRPr="00675E8D">
        <w:rPr>
          <w:rFonts w:ascii="Arial" w:hAnsi="Arial" w:cs="Arial"/>
          <w:sz w:val="22"/>
          <w:szCs w:val="22"/>
        </w:rPr>
        <w:t xml:space="preserve">) – </w:t>
      </w:r>
      <w:r w:rsidRPr="00675E8D">
        <w:rPr>
          <w:rFonts w:ascii="Arial" w:hAnsi="Arial" w:cs="Arial"/>
          <w:b/>
          <w:sz w:val="22"/>
          <w:szCs w:val="22"/>
        </w:rPr>
        <w:t xml:space="preserve">PA </w:t>
      </w:r>
    </w:p>
    <w:p w14:paraId="0645E9E6" w14:textId="77777777" w:rsidR="007872E1" w:rsidRPr="00833085" w:rsidRDefault="007872E1" w:rsidP="007872E1">
      <w:pPr>
        <w:pStyle w:val="Default"/>
        <w:numPr>
          <w:ilvl w:val="0"/>
          <w:numId w:val="2"/>
        </w:numPr>
        <w:spacing w:line="276" w:lineRule="auto"/>
        <w:rPr>
          <w:rFonts w:ascii="Arial" w:hAnsi="Arial" w:cs="Arial"/>
          <w:sz w:val="22"/>
          <w:szCs w:val="22"/>
        </w:rPr>
      </w:pPr>
      <w:r w:rsidRPr="00833085">
        <w:rPr>
          <w:rFonts w:ascii="Arial" w:hAnsi="Arial" w:cs="Arial"/>
          <w:sz w:val="22"/>
          <w:szCs w:val="22"/>
        </w:rPr>
        <w:t xml:space="preserve">Nexletol (bempedoic acid) – </w:t>
      </w:r>
      <w:r w:rsidRPr="00833085">
        <w:rPr>
          <w:rFonts w:ascii="Arial" w:hAnsi="Arial" w:cs="Arial"/>
          <w:b/>
          <w:sz w:val="22"/>
          <w:szCs w:val="22"/>
        </w:rPr>
        <w:t>PA</w:t>
      </w:r>
      <w:r w:rsidRPr="00833085">
        <w:rPr>
          <w:rFonts w:ascii="Arial" w:hAnsi="Arial" w:cs="Arial"/>
          <w:sz w:val="22"/>
          <w:szCs w:val="22"/>
        </w:rPr>
        <w:t xml:space="preserve"> </w:t>
      </w:r>
    </w:p>
    <w:p w14:paraId="432AD8B9" w14:textId="77777777" w:rsidR="007872E1" w:rsidRDefault="007872E1" w:rsidP="007872E1">
      <w:pPr>
        <w:pStyle w:val="Default"/>
        <w:numPr>
          <w:ilvl w:val="0"/>
          <w:numId w:val="2"/>
        </w:numPr>
        <w:spacing w:line="276" w:lineRule="auto"/>
        <w:rPr>
          <w:rFonts w:ascii="Arial" w:hAnsi="Arial" w:cs="Arial"/>
          <w:sz w:val="22"/>
          <w:szCs w:val="22"/>
        </w:rPr>
      </w:pPr>
      <w:r w:rsidRPr="00C663BE">
        <w:rPr>
          <w:rFonts w:ascii="Arial" w:hAnsi="Arial" w:cs="Arial"/>
          <w:sz w:val="22"/>
          <w:szCs w:val="22"/>
        </w:rPr>
        <w:t>Palforzia (</w:t>
      </w:r>
      <w:r>
        <w:rPr>
          <w:rFonts w:ascii="Arial" w:hAnsi="Arial" w:cs="Arial"/>
          <w:sz w:val="22"/>
          <w:szCs w:val="22"/>
        </w:rPr>
        <w:t>peanut allergen powder-dnfp</w:t>
      </w:r>
      <w:r w:rsidRPr="00C663BE">
        <w:rPr>
          <w:rFonts w:ascii="Arial" w:hAnsi="Arial" w:cs="Arial"/>
          <w:sz w:val="22"/>
          <w:szCs w:val="22"/>
        </w:rPr>
        <w:t xml:space="preserve">) – </w:t>
      </w:r>
      <w:r w:rsidRPr="00C663BE">
        <w:rPr>
          <w:rFonts w:ascii="Arial" w:hAnsi="Arial" w:cs="Arial"/>
          <w:b/>
          <w:sz w:val="22"/>
          <w:szCs w:val="22"/>
        </w:rPr>
        <w:t>PA</w:t>
      </w:r>
      <w:r w:rsidRPr="00C663BE">
        <w:rPr>
          <w:rFonts w:ascii="Arial" w:hAnsi="Arial" w:cs="Arial"/>
          <w:sz w:val="22"/>
          <w:szCs w:val="22"/>
        </w:rPr>
        <w:t xml:space="preserve"> </w:t>
      </w:r>
    </w:p>
    <w:p w14:paraId="5DC90593" w14:textId="77777777" w:rsidR="007872E1" w:rsidRPr="00F6362E" w:rsidRDefault="007872E1" w:rsidP="007872E1">
      <w:pPr>
        <w:pStyle w:val="Default"/>
        <w:numPr>
          <w:ilvl w:val="0"/>
          <w:numId w:val="2"/>
        </w:numPr>
        <w:spacing w:line="276" w:lineRule="auto"/>
        <w:rPr>
          <w:rFonts w:ascii="Arial" w:hAnsi="Arial" w:cs="Arial"/>
          <w:sz w:val="22"/>
          <w:szCs w:val="22"/>
        </w:rPr>
      </w:pPr>
      <w:r w:rsidRPr="00E477FD">
        <w:rPr>
          <w:rFonts w:ascii="Arial" w:hAnsi="Arial" w:cs="Arial"/>
          <w:sz w:val="22"/>
          <w:szCs w:val="22"/>
        </w:rPr>
        <w:t xml:space="preserve">Procysbi (cysteamine delayed-release </w:t>
      </w:r>
      <w:r w:rsidRPr="00555E3C">
        <w:rPr>
          <w:rFonts w:ascii="Arial" w:hAnsi="Arial" w:cs="Arial"/>
          <w:sz w:val="22"/>
          <w:szCs w:val="22"/>
        </w:rPr>
        <w:t xml:space="preserve">granule) – </w:t>
      </w:r>
      <w:r w:rsidRPr="00555E3C">
        <w:rPr>
          <w:rFonts w:ascii="Arial" w:hAnsi="Arial" w:cs="Arial"/>
          <w:b/>
          <w:sz w:val="22"/>
          <w:szCs w:val="22"/>
        </w:rPr>
        <w:t>PA</w:t>
      </w:r>
    </w:p>
    <w:p w14:paraId="03E7C67A" w14:textId="77777777" w:rsidR="007872E1" w:rsidRDefault="007872E1" w:rsidP="007872E1">
      <w:pPr>
        <w:pStyle w:val="Default"/>
        <w:numPr>
          <w:ilvl w:val="0"/>
          <w:numId w:val="2"/>
        </w:numPr>
        <w:spacing w:line="276" w:lineRule="auto"/>
        <w:rPr>
          <w:rFonts w:ascii="Arial" w:hAnsi="Arial" w:cs="Arial"/>
          <w:sz w:val="22"/>
          <w:szCs w:val="22"/>
        </w:rPr>
      </w:pPr>
      <w:r w:rsidRPr="006725A0">
        <w:rPr>
          <w:rFonts w:ascii="Arial" w:hAnsi="Arial" w:cs="Arial"/>
          <w:sz w:val="22"/>
          <w:szCs w:val="22"/>
        </w:rPr>
        <w:t xml:space="preserve">Quzyttir (cetirizine injection) ^ </w:t>
      </w:r>
      <w:r w:rsidRPr="00E477FD">
        <w:rPr>
          <w:rFonts w:ascii="Arial" w:hAnsi="Arial" w:cs="Arial"/>
          <w:sz w:val="22"/>
          <w:szCs w:val="22"/>
        </w:rPr>
        <w:t xml:space="preserve">– </w:t>
      </w:r>
      <w:r w:rsidRPr="00E477FD">
        <w:rPr>
          <w:rFonts w:ascii="Arial" w:hAnsi="Arial" w:cs="Arial"/>
          <w:b/>
          <w:sz w:val="22"/>
          <w:szCs w:val="22"/>
        </w:rPr>
        <w:t>PA</w:t>
      </w:r>
    </w:p>
    <w:p w14:paraId="6DB5E346" w14:textId="77777777" w:rsidR="007872E1" w:rsidRPr="00F35E86" w:rsidRDefault="007872E1" w:rsidP="007872E1">
      <w:pPr>
        <w:pStyle w:val="Default"/>
        <w:numPr>
          <w:ilvl w:val="0"/>
          <w:numId w:val="2"/>
        </w:numPr>
        <w:spacing w:line="276" w:lineRule="auto"/>
        <w:rPr>
          <w:rFonts w:ascii="Arial" w:hAnsi="Arial" w:cs="Arial"/>
          <w:sz w:val="22"/>
          <w:szCs w:val="22"/>
        </w:rPr>
      </w:pPr>
      <w:r w:rsidRPr="00F6362E">
        <w:rPr>
          <w:rFonts w:ascii="Arial" w:hAnsi="Arial" w:cs="Arial"/>
          <w:sz w:val="22"/>
          <w:szCs w:val="22"/>
        </w:rPr>
        <w:t xml:space="preserve">Recarbrio (imipenem/cilastatin/relebactam) – </w:t>
      </w:r>
      <w:r w:rsidRPr="00F6362E">
        <w:rPr>
          <w:rFonts w:ascii="Arial" w:hAnsi="Arial" w:cs="Arial"/>
          <w:b/>
          <w:sz w:val="22"/>
          <w:szCs w:val="22"/>
        </w:rPr>
        <w:t>PA</w:t>
      </w:r>
    </w:p>
    <w:p w14:paraId="75DCF408" w14:textId="77777777" w:rsidR="007872E1" w:rsidRPr="001E4EA6" w:rsidRDefault="007872E1" w:rsidP="007872E1">
      <w:pPr>
        <w:pStyle w:val="Default"/>
        <w:numPr>
          <w:ilvl w:val="0"/>
          <w:numId w:val="2"/>
        </w:numPr>
        <w:spacing w:line="276" w:lineRule="auto"/>
        <w:rPr>
          <w:rFonts w:ascii="Arial" w:hAnsi="Arial" w:cs="Arial"/>
          <w:sz w:val="22"/>
          <w:szCs w:val="22"/>
        </w:rPr>
      </w:pPr>
      <w:r w:rsidRPr="00761B92">
        <w:rPr>
          <w:rFonts w:ascii="Arial" w:hAnsi="Arial" w:cs="Arial"/>
          <w:sz w:val="22"/>
          <w:szCs w:val="22"/>
        </w:rPr>
        <w:t>Reyvow (</w:t>
      </w:r>
      <w:r w:rsidRPr="001E4EA6">
        <w:rPr>
          <w:rFonts w:ascii="Arial" w:hAnsi="Arial" w:cs="Arial"/>
          <w:sz w:val="22"/>
          <w:szCs w:val="22"/>
        </w:rPr>
        <w:t xml:space="preserve">lasmiditan) – </w:t>
      </w:r>
      <w:r w:rsidRPr="001E4EA6">
        <w:rPr>
          <w:rFonts w:ascii="Arial" w:hAnsi="Arial" w:cs="Arial"/>
          <w:b/>
          <w:sz w:val="22"/>
          <w:szCs w:val="22"/>
        </w:rPr>
        <w:t>PA</w:t>
      </w:r>
    </w:p>
    <w:p w14:paraId="388ABDA2" w14:textId="77777777" w:rsidR="007872E1" w:rsidRPr="001E4EA6" w:rsidRDefault="007872E1" w:rsidP="007872E1">
      <w:pPr>
        <w:pStyle w:val="Default"/>
        <w:numPr>
          <w:ilvl w:val="0"/>
          <w:numId w:val="2"/>
        </w:numPr>
        <w:spacing w:line="276" w:lineRule="auto"/>
        <w:rPr>
          <w:rFonts w:ascii="Arial" w:hAnsi="Arial" w:cs="Arial"/>
          <w:sz w:val="22"/>
          <w:szCs w:val="22"/>
        </w:rPr>
      </w:pPr>
      <w:r w:rsidRPr="001E4EA6">
        <w:rPr>
          <w:rFonts w:ascii="Arial" w:hAnsi="Arial" w:cs="Arial"/>
          <w:sz w:val="22"/>
          <w:szCs w:val="22"/>
        </w:rPr>
        <w:t xml:space="preserve">romidepsin - </w:t>
      </w:r>
      <w:r w:rsidRPr="001E4EA6">
        <w:rPr>
          <w:rFonts w:ascii="Arial" w:hAnsi="Arial" w:cs="Arial"/>
          <w:b/>
          <w:sz w:val="22"/>
          <w:szCs w:val="22"/>
        </w:rPr>
        <w:t>PA</w:t>
      </w:r>
    </w:p>
    <w:p w14:paraId="3D99CAE4" w14:textId="77777777" w:rsidR="007872E1" w:rsidRPr="001E4EA6" w:rsidRDefault="007872E1" w:rsidP="007872E1">
      <w:pPr>
        <w:pStyle w:val="Default"/>
        <w:numPr>
          <w:ilvl w:val="0"/>
          <w:numId w:val="2"/>
        </w:numPr>
        <w:spacing w:line="276" w:lineRule="auto"/>
        <w:rPr>
          <w:rFonts w:ascii="Arial" w:hAnsi="Arial" w:cs="Arial"/>
          <w:sz w:val="22"/>
          <w:szCs w:val="22"/>
        </w:rPr>
      </w:pPr>
      <w:r w:rsidRPr="001E4EA6">
        <w:rPr>
          <w:rFonts w:ascii="Arial" w:hAnsi="Arial" w:cs="Arial"/>
          <w:sz w:val="22"/>
          <w:szCs w:val="22"/>
        </w:rPr>
        <w:t xml:space="preserve">Ruxience (rituximab-pvvr) – </w:t>
      </w:r>
      <w:r w:rsidRPr="001E4EA6">
        <w:rPr>
          <w:rFonts w:ascii="Arial" w:hAnsi="Arial" w:cs="Arial"/>
          <w:b/>
          <w:sz w:val="22"/>
          <w:szCs w:val="22"/>
        </w:rPr>
        <w:t>PA</w:t>
      </w:r>
      <w:r w:rsidRPr="001E4EA6">
        <w:rPr>
          <w:rFonts w:ascii="Arial" w:hAnsi="Arial" w:cs="Arial"/>
          <w:sz w:val="22"/>
          <w:szCs w:val="22"/>
        </w:rPr>
        <w:t xml:space="preserve"> </w:t>
      </w:r>
    </w:p>
    <w:p w14:paraId="50095AE7" w14:textId="77777777" w:rsidR="007872E1" w:rsidRPr="001E4EA6" w:rsidRDefault="007872E1" w:rsidP="007872E1">
      <w:pPr>
        <w:pStyle w:val="Default"/>
        <w:numPr>
          <w:ilvl w:val="0"/>
          <w:numId w:val="2"/>
        </w:numPr>
        <w:spacing w:line="276" w:lineRule="auto"/>
        <w:rPr>
          <w:rFonts w:ascii="Arial" w:hAnsi="Arial" w:cs="Arial"/>
          <w:sz w:val="22"/>
          <w:szCs w:val="22"/>
        </w:rPr>
      </w:pPr>
      <w:r w:rsidRPr="001E4EA6">
        <w:rPr>
          <w:rFonts w:ascii="Arial" w:hAnsi="Arial" w:cs="Arial"/>
          <w:sz w:val="22"/>
          <w:szCs w:val="22"/>
        </w:rPr>
        <w:t>Talicia (</w:t>
      </w:r>
      <w:bookmarkStart w:id="1" w:name="_Hlk39152809"/>
      <w:r w:rsidRPr="001E4EA6">
        <w:rPr>
          <w:rFonts w:ascii="Arial" w:hAnsi="Arial" w:cs="Arial"/>
          <w:sz w:val="22"/>
          <w:szCs w:val="22"/>
        </w:rPr>
        <w:t>omeprazole/amoxicillin/rifabutin</w:t>
      </w:r>
      <w:bookmarkEnd w:id="1"/>
      <w:r w:rsidRPr="001E4EA6">
        <w:rPr>
          <w:rFonts w:ascii="Arial" w:hAnsi="Arial" w:cs="Arial"/>
          <w:sz w:val="22"/>
          <w:szCs w:val="22"/>
        </w:rPr>
        <w:t xml:space="preserve">) – </w:t>
      </w:r>
      <w:r w:rsidRPr="001E4EA6">
        <w:rPr>
          <w:rFonts w:ascii="Arial" w:hAnsi="Arial" w:cs="Arial"/>
          <w:b/>
          <w:sz w:val="22"/>
          <w:szCs w:val="22"/>
        </w:rPr>
        <w:t>PA</w:t>
      </w:r>
      <w:r w:rsidRPr="001E4EA6">
        <w:rPr>
          <w:rFonts w:ascii="Arial" w:hAnsi="Arial" w:cs="Arial"/>
          <w:sz w:val="22"/>
          <w:szCs w:val="22"/>
        </w:rPr>
        <w:t xml:space="preserve"> </w:t>
      </w:r>
    </w:p>
    <w:p w14:paraId="11F1341A" w14:textId="77777777" w:rsidR="007872E1" w:rsidRPr="001E4EA6" w:rsidRDefault="007872E1" w:rsidP="007872E1">
      <w:pPr>
        <w:pStyle w:val="Default"/>
        <w:numPr>
          <w:ilvl w:val="0"/>
          <w:numId w:val="2"/>
        </w:numPr>
        <w:spacing w:line="276" w:lineRule="auto"/>
        <w:rPr>
          <w:rFonts w:ascii="Arial" w:hAnsi="Arial" w:cs="Arial"/>
          <w:sz w:val="22"/>
          <w:szCs w:val="22"/>
        </w:rPr>
      </w:pPr>
      <w:r w:rsidRPr="001E4EA6">
        <w:rPr>
          <w:rFonts w:ascii="Arial" w:hAnsi="Arial" w:cs="Arial"/>
          <w:sz w:val="22"/>
          <w:szCs w:val="22"/>
        </w:rPr>
        <w:t xml:space="preserve">Tazverik (tazemetostat) – </w:t>
      </w:r>
      <w:r w:rsidRPr="001E4EA6">
        <w:rPr>
          <w:rFonts w:ascii="Arial" w:hAnsi="Arial" w:cs="Arial"/>
          <w:b/>
          <w:sz w:val="22"/>
          <w:szCs w:val="22"/>
        </w:rPr>
        <w:t>PA</w:t>
      </w:r>
    </w:p>
    <w:p w14:paraId="6D68774D" w14:textId="77777777" w:rsidR="007872E1" w:rsidRPr="00B27700" w:rsidRDefault="007872E1" w:rsidP="007872E1">
      <w:pPr>
        <w:pStyle w:val="Default"/>
        <w:numPr>
          <w:ilvl w:val="0"/>
          <w:numId w:val="2"/>
        </w:numPr>
        <w:spacing w:line="276" w:lineRule="auto"/>
        <w:rPr>
          <w:rFonts w:ascii="Arial" w:hAnsi="Arial" w:cs="Arial"/>
          <w:sz w:val="22"/>
          <w:szCs w:val="22"/>
        </w:rPr>
      </w:pPr>
      <w:r w:rsidRPr="00B27700">
        <w:rPr>
          <w:rFonts w:ascii="Arial" w:hAnsi="Arial" w:cs="Arial"/>
          <w:sz w:val="22"/>
          <w:szCs w:val="22"/>
        </w:rPr>
        <w:t xml:space="preserve">Truxima (rituximab-abbs) – </w:t>
      </w:r>
      <w:r w:rsidRPr="00B27700">
        <w:rPr>
          <w:rFonts w:ascii="Arial" w:hAnsi="Arial" w:cs="Arial"/>
          <w:b/>
          <w:sz w:val="22"/>
          <w:szCs w:val="22"/>
        </w:rPr>
        <w:t>PA</w:t>
      </w:r>
    </w:p>
    <w:p w14:paraId="5BB5A51B" w14:textId="77777777" w:rsidR="007872E1" w:rsidRPr="001E4EA6" w:rsidRDefault="007872E1" w:rsidP="007872E1">
      <w:pPr>
        <w:pStyle w:val="Default"/>
        <w:numPr>
          <w:ilvl w:val="0"/>
          <w:numId w:val="2"/>
        </w:numPr>
        <w:spacing w:line="276" w:lineRule="auto"/>
        <w:rPr>
          <w:rFonts w:ascii="Arial" w:hAnsi="Arial" w:cs="Arial"/>
          <w:sz w:val="22"/>
          <w:szCs w:val="22"/>
        </w:rPr>
      </w:pPr>
      <w:r w:rsidRPr="001E4EA6">
        <w:rPr>
          <w:rFonts w:ascii="Arial" w:hAnsi="Arial" w:cs="Arial"/>
          <w:sz w:val="22"/>
          <w:szCs w:val="22"/>
        </w:rPr>
        <w:t xml:space="preserve">Ubrelvy (ubrogepant) – </w:t>
      </w:r>
      <w:r w:rsidRPr="001E4EA6">
        <w:rPr>
          <w:rFonts w:ascii="Arial" w:hAnsi="Arial" w:cs="Arial"/>
          <w:b/>
          <w:sz w:val="22"/>
          <w:szCs w:val="22"/>
        </w:rPr>
        <w:t>PA</w:t>
      </w:r>
      <w:r w:rsidRPr="001E4EA6">
        <w:rPr>
          <w:rFonts w:ascii="Arial" w:hAnsi="Arial" w:cs="Arial"/>
          <w:sz w:val="22"/>
          <w:szCs w:val="22"/>
        </w:rPr>
        <w:t xml:space="preserve"> </w:t>
      </w:r>
    </w:p>
    <w:p w14:paraId="628BD872" w14:textId="77777777" w:rsidR="007872E1" w:rsidRPr="001E4EA6" w:rsidRDefault="007872E1" w:rsidP="007872E1">
      <w:pPr>
        <w:pStyle w:val="Default"/>
        <w:numPr>
          <w:ilvl w:val="0"/>
          <w:numId w:val="2"/>
        </w:numPr>
        <w:spacing w:line="276" w:lineRule="auto"/>
        <w:rPr>
          <w:rFonts w:ascii="Arial" w:hAnsi="Arial" w:cs="Arial"/>
          <w:sz w:val="22"/>
          <w:szCs w:val="22"/>
        </w:rPr>
      </w:pPr>
      <w:r w:rsidRPr="001E4EA6">
        <w:rPr>
          <w:rFonts w:ascii="Arial" w:hAnsi="Arial" w:cs="Arial"/>
          <w:sz w:val="22"/>
          <w:szCs w:val="22"/>
        </w:rPr>
        <w:t xml:space="preserve">Valtoco (diazepam nasal spray) – </w:t>
      </w:r>
      <w:r w:rsidRPr="001E4EA6">
        <w:rPr>
          <w:rFonts w:ascii="Arial" w:hAnsi="Arial" w:cs="Arial"/>
          <w:b/>
          <w:sz w:val="22"/>
          <w:szCs w:val="22"/>
        </w:rPr>
        <w:t>PA &gt; 10 units/month</w:t>
      </w:r>
    </w:p>
    <w:p w14:paraId="29FB6CE0" w14:textId="153C5940" w:rsidR="007872E1" w:rsidRPr="007038BD" w:rsidRDefault="007038BD" w:rsidP="00A31159">
      <w:pPr>
        <w:pStyle w:val="Heading3"/>
      </w:pPr>
      <w:r>
        <w:rPr>
          <w:bCs/>
          <w:sz w:val="22"/>
          <w:szCs w:val="22"/>
        </w:rPr>
        <w:br w:type="column"/>
      </w:r>
      <w:r w:rsidR="007872E1" w:rsidRPr="007038BD">
        <w:lastRenderedPageBreak/>
        <w:t>Change in Prior-Authorization Status</w:t>
      </w:r>
    </w:p>
    <w:p w14:paraId="2D8C9096" w14:textId="77777777" w:rsidR="007872E1" w:rsidRPr="00E477FD" w:rsidRDefault="007872E1" w:rsidP="007038BD">
      <w:pPr>
        <w:pStyle w:val="Default"/>
        <w:numPr>
          <w:ilvl w:val="0"/>
          <w:numId w:val="4"/>
        </w:numPr>
        <w:spacing w:line="276" w:lineRule="auto"/>
        <w:ind w:left="360"/>
        <w:rPr>
          <w:rFonts w:ascii="Arial" w:hAnsi="Arial" w:cs="Arial"/>
          <w:sz w:val="22"/>
          <w:szCs w:val="22"/>
        </w:rPr>
      </w:pPr>
      <w:bookmarkStart w:id="2" w:name="_Hlk30086979"/>
      <w:r w:rsidRPr="001E4EA6">
        <w:rPr>
          <w:rFonts w:ascii="Arial" w:hAnsi="Arial" w:cs="Arial"/>
          <w:sz w:val="22"/>
          <w:szCs w:val="22"/>
        </w:rPr>
        <w:t xml:space="preserve">Effective </w:t>
      </w:r>
      <w:r w:rsidRPr="001E4EA6">
        <w:rPr>
          <w:rFonts w:ascii="Arial" w:hAnsi="Arial" w:cs="Arial"/>
          <w:sz w:val="22"/>
          <w:szCs w:val="21"/>
        </w:rPr>
        <w:t>June 29</w:t>
      </w:r>
      <w:r w:rsidRPr="00E477FD">
        <w:rPr>
          <w:rFonts w:ascii="Arial" w:hAnsi="Arial" w:cs="Arial"/>
          <w:sz w:val="22"/>
          <w:szCs w:val="22"/>
        </w:rPr>
        <w:t xml:space="preserve">, the following </w:t>
      </w:r>
      <w:r>
        <w:rPr>
          <w:rFonts w:ascii="Arial" w:hAnsi="Arial" w:cs="Arial"/>
          <w:sz w:val="22"/>
          <w:szCs w:val="22"/>
        </w:rPr>
        <w:t>topical antiviral agents</w:t>
      </w:r>
      <w:r w:rsidRPr="00E477FD">
        <w:rPr>
          <w:rFonts w:ascii="Arial" w:hAnsi="Arial" w:cs="Arial"/>
          <w:sz w:val="22"/>
          <w:szCs w:val="22"/>
        </w:rPr>
        <w:t xml:space="preserve"> will no longer require prior authorization.</w:t>
      </w:r>
    </w:p>
    <w:p w14:paraId="0493A1B6" w14:textId="77777777" w:rsidR="007872E1" w:rsidRDefault="007872E1" w:rsidP="007038BD">
      <w:pPr>
        <w:pStyle w:val="Default"/>
        <w:numPr>
          <w:ilvl w:val="0"/>
          <w:numId w:val="26"/>
        </w:numPr>
        <w:spacing w:line="276" w:lineRule="auto"/>
        <w:ind w:left="720"/>
        <w:rPr>
          <w:rFonts w:ascii="Arial" w:hAnsi="Arial" w:cs="Arial"/>
          <w:sz w:val="22"/>
          <w:szCs w:val="22"/>
        </w:rPr>
      </w:pPr>
      <w:r w:rsidRPr="00E477FD">
        <w:rPr>
          <w:rFonts w:ascii="Arial" w:hAnsi="Arial" w:cs="Arial"/>
          <w:sz w:val="22"/>
          <w:szCs w:val="22"/>
        </w:rPr>
        <w:t>Xerese (acyclovir/hydrocortisone)</w:t>
      </w:r>
    </w:p>
    <w:p w14:paraId="2EAF8714" w14:textId="77777777" w:rsidR="007872E1" w:rsidRPr="00E477FD" w:rsidRDefault="007872E1" w:rsidP="007038BD">
      <w:pPr>
        <w:pStyle w:val="Default"/>
        <w:numPr>
          <w:ilvl w:val="0"/>
          <w:numId w:val="26"/>
        </w:numPr>
        <w:spacing w:line="276" w:lineRule="auto"/>
        <w:ind w:left="720"/>
        <w:rPr>
          <w:rFonts w:ascii="Arial" w:hAnsi="Arial" w:cs="Arial"/>
          <w:sz w:val="22"/>
          <w:szCs w:val="22"/>
        </w:rPr>
      </w:pPr>
      <w:r w:rsidRPr="00E477FD">
        <w:rPr>
          <w:rFonts w:ascii="Arial" w:hAnsi="Arial" w:cs="Arial"/>
          <w:sz w:val="22"/>
          <w:szCs w:val="22"/>
        </w:rPr>
        <w:t>Zovirax (acyclovir cream</w:t>
      </w:r>
      <w:r>
        <w:rPr>
          <w:rFonts w:ascii="Arial" w:hAnsi="Arial" w:cs="Arial"/>
          <w:sz w:val="22"/>
          <w:szCs w:val="22"/>
        </w:rPr>
        <w:t xml:space="preserve">, </w:t>
      </w:r>
      <w:r w:rsidRPr="00E477FD">
        <w:rPr>
          <w:rFonts w:ascii="Arial" w:hAnsi="Arial" w:cs="Arial"/>
          <w:sz w:val="22"/>
          <w:szCs w:val="22"/>
        </w:rPr>
        <w:t xml:space="preserve">ointment) </w:t>
      </w:r>
      <w:r>
        <w:rPr>
          <w:rFonts w:ascii="Arial" w:hAnsi="Arial" w:cs="Arial"/>
          <w:sz w:val="22"/>
          <w:szCs w:val="22"/>
          <w:vertAlign w:val="superscript"/>
        </w:rPr>
        <w:t>BP</w:t>
      </w:r>
    </w:p>
    <w:p w14:paraId="1EDDDA71" w14:textId="77777777" w:rsidR="007872E1" w:rsidRPr="0085037E" w:rsidRDefault="007872E1" w:rsidP="007038BD">
      <w:pPr>
        <w:pStyle w:val="Default"/>
        <w:numPr>
          <w:ilvl w:val="0"/>
          <w:numId w:val="4"/>
        </w:numPr>
        <w:spacing w:line="276" w:lineRule="auto"/>
        <w:ind w:left="360"/>
        <w:rPr>
          <w:rFonts w:ascii="Arial" w:hAnsi="Arial" w:cs="Arial"/>
          <w:sz w:val="22"/>
          <w:szCs w:val="22"/>
        </w:rPr>
      </w:pPr>
      <w:r w:rsidRPr="0085037E">
        <w:rPr>
          <w:rFonts w:ascii="Arial" w:hAnsi="Arial" w:cs="Arial"/>
          <w:sz w:val="22"/>
          <w:szCs w:val="22"/>
        </w:rPr>
        <w:t xml:space="preserve">Effective </w:t>
      </w:r>
      <w:r w:rsidRPr="001E4EA6">
        <w:rPr>
          <w:rFonts w:ascii="Arial" w:hAnsi="Arial" w:cs="Arial"/>
          <w:sz w:val="22"/>
          <w:szCs w:val="21"/>
        </w:rPr>
        <w:t>June 29</w:t>
      </w:r>
      <w:r w:rsidRPr="0085037E">
        <w:rPr>
          <w:rFonts w:ascii="Arial" w:hAnsi="Arial" w:cs="Arial"/>
          <w:sz w:val="22"/>
          <w:szCs w:val="22"/>
        </w:rPr>
        <w:t xml:space="preserve">, the following triptan will no longer require prior authorization when used within established quantity limits. </w:t>
      </w:r>
    </w:p>
    <w:p w14:paraId="4011E22A" w14:textId="77777777" w:rsidR="007872E1" w:rsidRPr="0085037E" w:rsidRDefault="007872E1" w:rsidP="007038BD">
      <w:pPr>
        <w:pStyle w:val="Default"/>
        <w:numPr>
          <w:ilvl w:val="0"/>
          <w:numId w:val="26"/>
        </w:numPr>
        <w:spacing w:line="276" w:lineRule="auto"/>
        <w:ind w:left="720"/>
        <w:rPr>
          <w:rFonts w:ascii="Arial" w:hAnsi="Arial" w:cs="Arial"/>
          <w:sz w:val="22"/>
          <w:szCs w:val="22"/>
        </w:rPr>
      </w:pPr>
      <w:r w:rsidRPr="0085037E">
        <w:rPr>
          <w:rFonts w:ascii="Arial" w:hAnsi="Arial" w:cs="Arial"/>
          <w:sz w:val="22"/>
          <w:szCs w:val="22"/>
        </w:rPr>
        <w:t>Zomig (zolmitriptan tablet)</w:t>
      </w:r>
      <w:r>
        <w:rPr>
          <w:rFonts w:ascii="Arial" w:hAnsi="Arial" w:cs="Arial"/>
          <w:sz w:val="22"/>
          <w:szCs w:val="22"/>
        </w:rPr>
        <w:t xml:space="preserve"> </w:t>
      </w:r>
      <w:r>
        <w:rPr>
          <w:rFonts w:ascii="Arial" w:hAnsi="Arial" w:cs="Arial"/>
          <w:sz w:val="22"/>
          <w:szCs w:val="22"/>
          <w:vertAlign w:val="superscript"/>
        </w:rPr>
        <w:t>BP</w:t>
      </w:r>
      <w:r w:rsidRPr="0085037E">
        <w:rPr>
          <w:rFonts w:ascii="Arial" w:hAnsi="Arial" w:cs="Arial"/>
          <w:sz w:val="22"/>
          <w:szCs w:val="22"/>
        </w:rPr>
        <w:t xml:space="preserve"> – </w:t>
      </w:r>
      <w:r w:rsidRPr="0085037E">
        <w:rPr>
          <w:rFonts w:ascii="Arial" w:hAnsi="Arial" w:cs="Arial"/>
          <w:b/>
          <w:sz w:val="22"/>
          <w:szCs w:val="22"/>
        </w:rPr>
        <w:t>PA</w:t>
      </w:r>
      <w:r w:rsidRPr="0085037E">
        <w:rPr>
          <w:rFonts w:ascii="Arial" w:hAnsi="Arial" w:cs="Arial"/>
          <w:sz w:val="22"/>
          <w:szCs w:val="22"/>
        </w:rPr>
        <w:t xml:space="preserve"> </w:t>
      </w:r>
      <w:r w:rsidRPr="0085037E">
        <w:rPr>
          <w:rFonts w:ascii="Arial" w:hAnsi="Arial" w:cs="Arial"/>
          <w:b/>
          <w:sz w:val="22"/>
          <w:szCs w:val="22"/>
        </w:rPr>
        <w:t>&gt; 18 units/month</w:t>
      </w:r>
    </w:p>
    <w:p w14:paraId="091E392E" w14:textId="77777777" w:rsidR="007872E1" w:rsidRPr="00F6362E" w:rsidRDefault="007872E1" w:rsidP="007038BD">
      <w:pPr>
        <w:pStyle w:val="Default"/>
        <w:numPr>
          <w:ilvl w:val="0"/>
          <w:numId w:val="4"/>
        </w:numPr>
        <w:spacing w:line="276" w:lineRule="auto"/>
        <w:ind w:left="360"/>
        <w:rPr>
          <w:rFonts w:ascii="Arial" w:hAnsi="Arial" w:cs="Arial"/>
          <w:sz w:val="22"/>
          <w:szCs w:val="22"/>
        </w:rPr>
      </w:pPr>
      <w:r w:rsidRPr="00F6362E">
        <w:rPr>
          <w:rFonts w:ascii="Arial" w:hAnsi="Arial" w:cs="Arial"/>
          <w:sz w:val="22"/>
          <w:szCs w:val="22"/>
        </w:rPr>
        <w:t xml:space="preserve">Effective </w:t>
      </w:r>
      <w:r w:rsidRPr="001E4EA6">
        <w:rPr>
          <w:rFonts w:ascii="Arial" w:hAnsi="Arial" w:cs="Arial"/>
          <w:sz w:val="22"/>
          <w:szCs w:val="21"/>
        </w:rPr>
        <w:t>June 29</w:t>
      </w:r>
      <w:r w:rsidRPr="00F6362E">
        <w:rPr>
          <w:rFonts w:ascii="Arial" w:hAnsi="Arial" w:cs="Arial"/>
          <w:sz w:val="22"/>
          <w:szCs w:val="22"/>
        </w:rPr>
        <w:t xml:space="preserve">, the following </w:t>
      </w:r>
      <w:r>
        <w:rPr>
          <w:rFonts w:ascii="Arial" w:hAnsi="Arial" w:cs="Arial"/>
          <w:sz w:val="22"/>
          <w:szCs w:val="22"/>
        </w:rPr>
        <w:t>o</w:t>
      </w:r>
      <w:r w:rsidRPr="00F6362E">
        <w:rPr>
          <w:rFonts w:ascii="Arial" w:hAnsi="Arial" w:cs="Arial"/>
          <w:sz w:val="22"/>
          <w:szCs w:val="22"/>
        </w:rPr>
        <w:t>phthalmic</w:t>
      </w:r>
      <w:r>
        <w:rPr>
          <w:rFonts w:ascii="Arial" w:hAnsi="Arial" w:cs="Arial"/>
          <w:sz w:val="22"/>
          <w:szCs w:val="22"/>
        </w:rPr>
        <w:t xml:space="preserve"> a</w:t>
      </w:r>
      <w:r w:rsidRPr="00F6362E">
        <w:rPr>
          <w:rFonts w:ascii="Arial" w:hAnsi="Arial" w:cs="Arial"/>
          <w:sz w:val="22"/>
          <w:szCs w:val="22"/>
        </w:rPr>
        <w:t xml:space="preserve">nti-inflammatory </w:t>
      </w:r>
      <w:r>
        <w:rPr>
          <w:rFonts w:ascii="Arial" w:hAnsi="Arial" w:cs="Arial"/>
          <w:sz w:val="22"/>
          <w:szCs w:val="22"/>
        </w:rPr>
        <w:t xml:space="preserve">agents </w:t>
      </w:r>
      <w:r w:rsidRPr="00F6362E">
        <w:rPr>
          <w:rFonts w:ascii="Arial" w:hAnsi="Arial" w:cs="Arial"/>
          <w:sz w:val="22"/>
          <w:szCs w:val="22"/>
        </w:rPr>
        <w:t>will no longer require prior authorization.</w:t>
      </w:r>
    </w:p>
    <w:p w14:paraId="67845DF8" w14:textId="77777777" w:rsidR="007872E1" w:rsidRPr="00F6362E" w:rsidRDefault="007872E1" w:rsidP="007038BD">
      <w:pPr>
        <w:pStyle w:val="Default"/>
        <w:numPr>
          <w:ilvl w:val="0"/>
          <w:numId w:val="27"/>
        </w:numPr>
        <w:spacing w:line="276" w:lineRule="auto"/>
        <w:ind w:left="720"/>
        <w:rPr>
          <w:rFonts w:ascii="Arial" w:hAnsi="Arial" w:cs="Arial"/>
          <w:sz w:val="22"/>
          <w:szCs w:val="22"/>
        </w:rPr>
      </w:pPr>
      <w:r w:rsidRPr="00F6362E">
        <w:rPr>
          <w:rFonts w:ascii="Arial" w:hAnsi="Arial" w:cs="Arial"/>
          <w:sz w:val="22"/>
          <w:szCs w:val="22"/>
        </w:rPr>
        <w:t>Acuvail (ketorolac 0.45% ophthalmic solution)</w:t>
      </w:r>
    </w:p>
    <w:p w14:paraId="5C15DF24" w14:textId="77777777" w:rsidR="007872E1" w:rsidRPr="00F6362E" w:rsidRDefault="007872E1" w:rsidP="007038BD">
      <w:pPr>
        <w:pStyle w:val="Default"/>
        <w:numPr>
          <w:ilvl w:val="0"/>
          <w:numId w:val="27"/>
        </w:numPr>
        <w:spacing w:line="276" w:lineRule="auto"/>
        <w:ind w:left="720"/>
        <w:rPr>
          <w:rFonts w:ascii="Arial" w:hAnsi="Arial" w:cs="Arial"/>
          <w:sz w:val="22"/>
          <w:szCs w:val="22"/>
        </w:rPr>
      </w:pPr>
      <w:r w:rsidRPr="00F6362E">
        <w:rPr>
          <w:rFonts w:ascii="Arial" w:hAnsi="Arial" w:cs="Arial"/>
          <w:sz w:val="22"/>
          <w:szCs w:val="22"/>
        </w:rPr>
        <w:t>Maxidex (dexamethasone ophthalmic suspension)</w:t>
      </w:r>
    </w:p>
    <w:p w14:paraId="4E1E3F12" w14:textId="77777777" w:rsidR="007872E1" w:rsidRPr="00F6362E" w:rsidRDefault="007872E1" w:rsidP="007038BD">
      <w:pPr>
        <w:pStyle w:val="Default"/>
        <w:numPr>
          <w:ilvl w:val="0"/>
          <w:numId w:val="27"/>
        </w:numPr>
        <w:spacing w:line="276" w:lineRule="auto"/>
        <w:ind w:left="720"/>
        <w:rPr>
          <w:rFonts w:ascii="Arial" w:hAnsi="Arial" w:cs="Arial"/>
          <w:sz w:val="22"/>
          <w:szCs w:val="22"/>
        </w:rPr>
      </w:pPr>
      <w:r w:rsidRPr="00F6362E">
        <w:rPr>
          <w:rFonts w:ascii="Arial" w:hAnsi="Arial" w:cs="Arial"/>
          <w:sz w:val="22"/>
          <w:szCs w:val="22"/>
        </w:rPr>
        <w:t>Nevanac (nepafenac 0.1% ophthalmic suspension)</w:t>
      </w:r>
    </w:p>
    <w:bookmarkEnd w:id="2"/>
    <w:p w14:paraId="79666AF4" w14:textId="77777777" w:rsidR="007872E1" w:rsidRDefault="007872E1" w:rsidP="007038BD">
      <w:pPr>
        <w:pStyle w:val="Default"/>
        <w:numPr>
          <w:ilvl w:val="0"/>
          <w:numId w:val="4"/>
        </w:numPr>
        <w:spacing w:line="276" w:lineRule="auto"/>
        <w:ind w:left="360"/>
        <w:rPr>
          <w:rFonts w:ascii="Arial" w:hAnsi="Arial" w:cs="Arial"/>
          <w:sz w:val="22"/>
          <w:szCs w:val="22"/>
        </w:rPr>
      </w:pPr>
      <w:r w:rsidRPr="00EC5ED6">
        <w:rPr>
          <w:rFonts w:ascii="Arial" w:hAnsi="Arial" w:cs="Arial"/>
          <w:sz w:val="22"/>
          <w:szCs w:val="22"/>
        </w:rPr>
        <w:t xml:space="preserve">Effective </w:t>
      </w:r>
      <w:r w:rsidRPr="001E4EA6">
        <w:rPr>
          <w:rFonts w:ascii="Arial" w:hAnsi="Arial" w:cs="Arial"/>
          <w:sz w:val="22"/>
          <w:szCs w:val="21"/>
        </w:rPr>
        <w:t>June 29</w:t>
      </w:r>
      <w:r w:rsidRPr="00EC5ED6">
        <w:rPr>
          <w:rFonts w:ascii="Arial" w:hAnsi="Arial" w:cs="Arial"/>
          <w:sz w:val="22"/>
          <w:szCs w:val="22"/>
        </w:rPr>
        <w:t>, 2020, the</w:t>
      </w:r>
      <w:r>
        <w:rPr>
          <w:rFonts w:ascii="Arial" w:hAnsi="Arial" w:cs="Arial"/>
          <w:sz w:val="22"/>
          <w:szCs w:val="22"/>
        </w:rPr>
        <w:t xml:space="preserve"> following combination H. Pylori medication will no longer require prior authorization. </w:t>
      </w:r>
    </w:p>
    <w:p w14:paraId="6922158A" w14:textId="77777777" w:rsidR="007872E1" w:rsidRPr="00C26679" w:rsidRDefault="007872E1" w:rsidP="007038BD">
      <w:pPr>
        <w:pStyle w:val="Default"/>
        <w:numPr>
          <w:ilvl w:val="1"/>
          <w:numId w:val="11"/>
        </w:numPr>
        <w:spacing w:line="276" w:lineRule="auto"/>
        <w:ind w:left="720"/>
        <w:rPr>
          <w:rFonts w:ascii="Arial" w:hAnsi="Arial" w:cs="Arial"/>
          <w:sz w:val="22"/>
          <w:szCs w:val="22"/>
        </w:rPr>
      </w:pPr>
      <w:r>
        <w:rPr>
          <w:rFonts w:ascii="Arial" w:hAnsi="Arial" w:cs="Arial"/>
          <w:sz w:val="22"/>
          <w:szCs w:val="22"/>
        </w:rPr>
        <w:t>Pylera (bismuth subcitrate/metronidazole/tetracycline)</w:t>
      </w:r>
    </w:p>
    <w:p w14:paraId="52909467" w14:textId="420FE4D7" w:rsidR="00C4719E" w:rsidRDefault="00C4719E" w:rsidP="007038BD">
      <w:pPr>
        <w:pStyle w:val="Default"/>
        <w:numPr>
          <w:ilvl w:val="0"/>
          <w:numId w:val="11"/>
        </w:numPr>
        <w:spacing w:line="276" w:lineRule="auto"/>
        <w:ind w:left="360"/>
        <w:rPr>
          <w:rFonts w:ascii="Arial" w:hAnsi="Arial" w:cs="Arial"/>
          <w:sz w:val="22"/>
          <w:szCs w:val="22"/>
        </w:rPr>
      </w:pPr>
      <w:r w:rsidRPr="00EC5ED6">
        <w:rPr>
          <w:rFonts w:ascii="Arial" w:hAnsi="Arial" w:cs="Arial"/>
          <w:sz w:val="22"/>
          <w:szCs w:val="22"/>
        </w:rPr>
        <w:t xml:space="preserve">Effective </w:t>
      </w:r>
      <w:r w:rsidRPr="001E4EA6">
        <w:rPr>
          <w:rFonts w:ascii="Arial" w:hAnsi="Arial" w:cs="Arial"/>
          <w:sz w:val="22"/>
          <w:szCs w:val="21"/>
        </w:rPr>
        <w:t>June 29</w:t>
      </w:r>
      <w:r w:rsidRPr="00EC5ED6">
        <w:rPr>
          <w:rFonts w:ascii="Arial" w:hAnsi="Arial" w:cs="Arial"/>
          <w:sz w:val="22"/>
          <w:szCs w:val="22"/>
        </w:rPr>
        <w:t xml:space="preserve">, 2020, the following </w:t>
      </w:r>
      <w:r w:rsidRPr="00906A2C">
        <w:rPr>
          <w:rFonts w:ascii="Arial" w:hAnsi="Arial" w:cs="Arial"/>
          <w:sz w:val="22"/>
          <w:szCs w:val="22"/>
        </w:rPr>
        <w:t>antiretroviral</w:t>
      </w:r>
      <w:r>
        <w:rPr>
          <w:rFonts w:ascii="Arial" w:hAnsi="Arial" w:cs="Arial"/>
          <w:sz w:val="22"/>
          <w:szCs w:val="22"/>
        </w:rPr>
        <w:t xml:space="preserve"> </w:t>
      </w:r>
      <w:r w:rsidRPr="00EC5ED6">
        <w:rPr>
          <w:rFonts w:ascii="Arial" w:hAnsi="Arial" w:cs="Arial"/>
          <w:sz w:val="22"/>
          <w:szCs w:val="22"/>
        </w:rPr>
        <w:t xml:space="preserve">agent will no longer require prior authorization. </w:t>
      </w:r>
    </w:p>
    <w:p w14:paraId="1866D24B" w14:textId="77777777" w:rsidR="00310804" w:rsidRDefault="00310804" w:rsidP="007038BD">
      <w:pPr>
        <w:pStyle w:val="Default"/>
        <w:numPr>
          <w:ilvl w:val="0"/>
          <w:numId w:val="32"/>
        </w:numPr>
        <w:ind w:left="720"/>
        <w:rPr>
          <w:rFonts w:ascii="Arial" w:hAnsi="Arial" w:cs="Arial"/>
          <w:sz w:val="22"/>
          <w:szCs w:val="22"/>
        </w:rPr>
      </w:pPr>
      <w:r>
        <w:rPr>
          <w:rFonts w:ascii="Arial" w:hAnsi="Arial" w:cs="Arial"/>
          <w:sz w:val="22"/>
          <w:szCs w:val="22"/>
        </w:rPr>
        <w:t xml:space="preserve">Symtuza </w:t>
      </w:r>
      <w:r w:rsidRPr="00906A2C">
        <w:rPr>
          <w:rFonts w:ascii="Arial" w:hAnsi="Arial" w:cs="Arial"/>
          <w:sz w:val="22"/>
          <w:szCs w:val="22"/>
        </w:rPr>
        <w:t>(darunavir/cobicistat/</w:t>
      </w:r>
    </w:p>
    <w:p w14:paraId="0D681B1A" w14:textId="45C02CE2" w:rsidR="00310804" w:rsidRPr="00EC5ED6" w:rsidRDefault="00310804" w:rsidP="007038BD">
      <w:pPr>
        <w:pStyle w:val="Default"/>
        <w:ind w:left="360" w:firstLine="360"/>
        <w:rPr>
          <w:rFonts w:ascii="Arial" w:hAnsi="Arial" w:cs="Arial"/>
          <w:sz w:val="22"/>
          <w:szCs w:val="22"/>
        </w:rPr>
      </w:pPr>
      <w:r w:rsidRPr="00906A2C">
        <w:rPr>
          <w:rFonts w:ascii="Arial" w:hAnsi="Arial" w:cs="Arial"/>
          <w:sz w:val="22"/>
          <w:szCs w:val="22"/>
        </w:rPr>
        <w:t>emtricitabine/tenofovir alafenamide</w:t>
      </w:r>
      <w:r w:rsidRPr="00EC5ED6">
        <w:rPr>
          <w:rFonts w:ascii="Arial" w:hAnsi="Arial" w:cs="Arial"/>
          <w:sz w:val="22"/>
          <w:szCs w:val="22"/>
        </w:rPr>
        <w:t>)</w:t>
      </w:r>
      <w:r>
        <w:rPr>
          <w:rFonts w:ascii="Arial" w:hAnsi="Arial" w:cs="Arial"/>
          <w:sz w:val="22"/>
          <w:szCs w:val="22"/>
        </w:rPr>
        <w:t xml:space="preserve"> </w:t>
      </w:r>
      <w:r w:rsidRPr="00B157B4">
        <w:rPr>
          <w:rFonts w:ascii="Arial" w:hAnsi="Arial" w:cs="Arial"/>
          <w:sz w:val="22"/>
          <w:szCs w:val="22"/>
          <w:vertAlign w:val="superscript"/>
        </w:rPr>
        <w:t>PD</w:t>
      </w:r>
    </w:p>
    <w:p w14:paraId="390629F5" w14:textId="419286AA" w:rsidR="00A31159" w:rsidRPr="00A31159" w:rsidRDefault="00A31159" w:rsidP="008E1A83">
      <w:pPr>
        <w:spacing w:before="240"/>
        <w:jc w:val="right"/>
        <w:rPr>
          <w:rFonts w:ascii="Arial" w:hAnsi="Arial" w:cs="Arial"/>
          <w:color w:val="000000"/>
          <w:sz w:val="22"/>
          <w:szCs w:val="22"/>
        </w:rPr>
      </w:pPr>
      <w:r w:rsidRPr="00A31159">
        <w:rPr>
          <w:rFonts w:ascii="Arial" w:hAnsi="Arial" w:cs="Arial"/>
          <w:color w:val="000000"/>
          <w:sz w:val="22"/>
          <w:szCs w:val="22"/>
        </w:rPr>
        <w:t>(continued)</w:t>
      </w:r>
    </w:p>
    <w:p w14:paraId="23A53288" w14:textId="27426414" w:rsidR="007872E1" w:rsidRDefault="00A31159" w:rsidP="00B80B4A">
      <w:pPr>
        <w:pStyle w:val="Heading3"/>
        <w:spacing w:before="0"/>
      </w:pPr>
      <w:r>
        <w:br w:type="column"/>
      </w:r>
      <w:r w:rsidR="007872E1" w:rsidRPr="000D2D2B">
        <w:lastRenderedPageBreak/>
        <w:t>Updated MassHealth Brand Name Preferred Over Generic Drug List</w:t>
      </w:r>
    </w:p>
    <w:p w14:paraId="139046FA" w14:textId="77777777" w:rsidR="007872E1" w:rsidRPr="000D2D2B" w:rsidRDefault="007872E1" w:rsidP="003F4BC1">
      <w:pPr>
        <w:rPr>
          <w:sz w:val="22"/>
          <w:szCs w:val="22"/>
        </w:rPr>
      </w:pPr>
    </w:p>
    <w:p w14:paraId="20FFA7CF" w14:textId="77777777" w:rsidR="007872E1" w:rsidRPr="000D2D2B" w:rsidRDefault="007872E1" w:rsidP="003F4BC1">
      <w:pPr>
        <w:autoSpaceDE w:val="0"/>
        <w:autoSpaceDN w:val="0"/>
        <w:adjustRightInd w:val="0"/>
        <w:rPr>
          <w:rFonts w:ascii="Arial" w:hAnsi="Arial" w:cs="Arial"/>
          <w:sz w:val="22"/>
          <w:szCs w:val="22"/>
        </w:rPr>
      </w:pPr>
      <w:r w:rsidRPr="000D2D2B">
        <w:rPr>
          <w:rFonts w:ascii="Arial" w:hAnsi="Arial" w:cs="Arial"/>
          <w:sz w:val="22"/>
          <w:szCs w:val="22"/>
        </w:rPr>
        <w:t>The MassHealth Brand Name Preferred Over Generic Drug List has been updated to reflect recent changes to the MassHealth Drug List.</w:t>
      </w:r>
    </w:p>
    <w:p w14:paraId="0AD57284" w14:textId="77777777" w:rsidR="007872E1" w:rsidRPr="000D2D2B" w:rsidRDefault="007872E1" w:rsidP="007038BD">
      <w:pPr>
        <w:numPr>
          <w:ilvl w:val="0"/>
          <w:numId w:val="28"/>
        </w:numPr>
        <w:autoSpaceDE w:val="0"/>
        <w:autoSpaceDN w:val="0"/>
        <w:adjustRightInd w:val="0"/>
        <w:ind w:left="360"/>
        <w:rPr>
          <w:rFonts w:ascii="Arial" w:hAnsi="Arial" w:cs="Arial"/>
          <w:sz w:val="22"/>
          <w:szCs w:val="22"/>
        </w:rPr>
      </w:pPr>
      <w:r w:rsidRPr="000D2D2B">
        <w:rPr>
          <w:rFonts w:ascii="Arial" w:hAnsi="Arial" w:cs="Arial"/>
          <w:sz w:val="22"/>
          <w:szCs w:val="22"/>
        </w:rPr>
        <w:t xml:space="preserve">Effective June 29, 2020, the following agent will be added to the MassHealth Brand Name Preferred Over Generic Drug List. </w:t>
      </w:r>
    </w:p>
    <w:p w14:paraId="644141D2" w14:textId="70CCFF0F" w:rsidR="00E61B1C" w:rsidRPr="00B847B1" w:rsidRDefault="007872E1" w:rsidP="00DB6F97">
      <w:pPr>
        <w:numPr>
          <w:ilvl w:val="0"/>
          <w:numId w:val="6"/>
        </w:numPr>
        <w:autoSpaceDE w:val="0"/>
        <w:autoSpaceDN w:val="0"/>
        <w:adjustRightInd w:val="0"/>
        <w:ind w:left="720"/>
        <w:rPr>
          <w:rFonts w:ascii="Arial" w:hAnsi="Arial" w:cs="Arial"/>
          <w:sz w:val="22"/>
          <w:szCs w:val="22"/>
        </w:rPr>
      </w:pPr>
      <w:r w:rsidRPr="00B847B1">
        <w:rPr>
          <w:rFonts w:ascii="Arial" w:hAnsi="Arial" w:cs="Arial"/>
          <w:sz w:val="22"/>
          <w:szCs w:val="22"/>
        </w:rPr>
        <w:t>Kitabis Pak (tobramycin inhalation solution)</w:t>
      </w:r>
      <w:r w:rsidRPr="00B847B1">
        <w:rPr>
          <w:rFonts w:ascii="Arial" w:hAnsi="Arial" w:cs="Arial"/>
          <w:sz w:val="22"/>
          <w:szCs w:val="22"/>
          <w:vertAlign w:val="superscript"/>
        </w:rPr>
        <w:t xml:space="preserve"> BP</w:t>
      </w:r>
    </w:p>
    <w:p w14:paraId="6B7F6F0E" w14:textId="6745D964" w:rsidR="00DC6216" w:rsidRPr="009C7ACB" w:rsidRDefault="007872E1" w:rsidP="007038BD">
      <w:pPr>
        <w:pStyle w:val="ListParagraph"/>
        <w:numPr>
          <w:ilvl w:val="0"/>
          <w:numId w:val="28"/>
        </w:numPr>
        <w:autoSpaceDE w:val="0"/>
        <w:autoSpaceDN w:val="0"/>
        <w:adjustRightInd w:val="0"/>
        <w:ind w:left="360"/>
        <w:rPr>
          <w:rFonts w:ascii="Arial" w:hAnsi="Arial" w:cs="Arial"/>
          <w:sz w:val="22"/>
          <w:szCs w:val="22"/>
        </w:rPr>
      </w:pPr>
      <w:r w:rsidRPr="009C7ACB">
        <w:rPr>
          <w:rFonts w:ascii="Arial" w:hAnsi="Arial" w:cs="Arial"/>
          <w:sz w:val="22"/>
          <w:szCs w:val="22"/>
        </w:rPr>
        <w:t xml:space="preserve">Effective June 29, 2020, the following agent will be removed from the </w:t>
      </w:r>
      <w:r w:rsidR="00DC6216" w:rsidRPr="009C7ACB">
        <w:rPr>
          <w:rFonts w:ascii="Arial" w:hAnsi="Arial" w:cs="Arial"/>
          <w:sz w:val="22"/>
          <w:szCs w:val="22"/>
        </w:rPr>
        <w:t xml:space="preserve">MassHealth Brand Name Preferred Over Generic Drug List. </w:t>
      </w:r>
    </w:p>
    <w:p w14:paraId="12D45E21" w14:textId="78FE00CC" w:rsidR="004F68F7" w:rsidRDefault="002C52B8" w:rsidP="00116AA7">
      <w:pPr>
        <w:pStyle w:val="ListParagraph"/>
        <w:numPr>
          <w:ilvl w:val="0"/>
          <w:numId w:val="31"/>
        </w:numPr>
        <w:tabs>
          <w:tab w:val="left" w:pos="720"/>
        </w:tabs>
        <w:autoSpaceDE w:val="0"/>
        <w:autoSpaceDN w:val="0"/>
        <w:adjustRightInd w:val="0"/>
        <w:ind w:left="360" w:firstLine="0"/>
        <w:rPr>
          <w:rFonts w:ascii="Arial" w:hAnsi="Arial" w:cs="Arial"/>
          <w:sz w:val="22"/>
          <w:szCs w:val="22"/>
        </w:rPr>
      </w:pPr>
      <w:r w:rsidRPr="000D2D2B">
        <w:rPr>
          <w:rFonts w:ascii="Arial" w:hAnsi="Arial" w:cs="Arial"/>
          <w:sz w:val="22"/>
          <w:szCs w:val="22"/>
        </w:rPr>
        <w:t>Coly-Mycin S (colistin/neomycin/</w:t>
      </w:r>
    </w:p>
    <w:p w14:paraId="782BDD25" w14:textId="31887014" w:rsidR="002C52B8" w:rsidRPr="000D2D2B" w:rsidRDefault="00872B31" w:rsidP="00116AA7">
      <w:pPr>
        <w:pStyle w:val="ListParagraph"/>
        <w:tabs>
          <w:tab w:val="left" w:pos="720"/>
        </w:tabs>
        <w:autoSpaceDE w:val="0"/>
        <w:autoSpaceDN w:val="0"/>
        <w:adjustRightInd w:val="0"/>
        <w:ind w:left="360"/>
        <w:rPr>
          <w:rFonts w:ascii="Arial" w:hAnsi="Arial" w:cs="Arial"/>
          <w:sz w:val="22"/>
          <w:szCs w:val="22"/>
        </w:rPr>
      </w:pPr>
      <w:r>
        <w:rPr>
          <w:rFonts w:ascii="Arial" w:hAnsi="Arial" w:cs="Arial"/>
          <w:sz w:val="22"/>
          <w:szCs w:val="22"/>
        </w:rPr>
        <w:tab/>
      </w:r>
      <w:r w:rsidR="002C52B8" w:rsidRPr="000D2D2B">
        <w:rPr>
          <w:rFonts w:ascii="Arial" w:hAnsi="Arial" w:cs="Arial"/>
          <w:sz w:val="22"/>
          <w:szCs w:val="22"/>
        </w:rPr>
        <w:t xml:space="preserve">thonzonium/hydrocortisone) </w:t>
      </w:r>
    </w:p>
    <w:p w14:paraId="149619F5" w14:textId="7ABA44C9" w:rsidR="000667B9" w:rsidRPr="00B80B4A" w:rsidRDefault="000667B9" w:rsidP="00B80B4A">
      <w:pPr>
        <w:pStyle w:val="Heading3"/>
        <w:jc w:val="center"/>
      </w:pPr>
      <w:r w:rsidRPr="00B80B4A">
        <w:t>Legend</w:t>
      </w:r>
    </w:p>
    <w:p w14:paraId="3771DC85" w14:textId="30BED649" w:rsidR="00780F43" w:rsidRPr="008E1A83" w:rsidRDefault="00780F43" w:rsidP="008E1A83">
      <w:pPr>
        <w:shd w:val="clear" w:color="auto" w:fill="FFFFFF"/>
        <w:spacing w:after="120"/>
        <w:ind w:left="273" w:hanging="446"/>
        <w:rPr>
          <w:rFonts w:ascii="Arial" w:hAnsi="Arial"/>
          <w:sz w:val="18"/>
          <w:szCs w:val="18"/>
        </w:rPr>
      </w:pPr>
      <w:r w:rsidRPr="00431468">
        <w:rPr>
          <w:rFonts w:ascii="Arial" w:hAnsi="Arial"/>
          <w:b/>
          <w:sz w:val="18"/>
          <w:szCs w:val="18"/>
          <w:vertAlign w:val="superscript"/>
        </w:rPr>
        <w:t>PA</w:t>
      </w:r>
      <w:r w:rsidR="008E1A83">
        <w:rPr>
          <w:rFonts w:ascii="Arial" w:hAnsi="Arial"/>
          <w:b/>
          <w:sz w:val="18"/>
          <w:szCs w:val="18"/>
          <w:vertAlign w:val="superscript"/>
        </w:rPr>
        <w:tab/>
      </w:r>
      <w:r w:rsidRPr="008E1A83">
        <w:rPr>
          <w:rFonts w:ascii="Arial" w:hAnsi="Arial"/>
          <w:sz w:val="18"/>
          <w:szCs w:val="18"/>
        </w:rPr>
        <w:t>Prior authorization is required. The prescriber must obtain prior authorization for the drug in order for the pharmacy to receive payment. Note: PA applies to both the brand-</w:t>
      </w:r>
      <w:r w:rsidR="004F68F7" w:rsidRPr="008E1A83">
        <w:rPr>
          <w:rFonts w:ascii="Arial" w:hAnsi="Arial"/>
          <w:sz w:val="18"/>
          <w:szCs w:val="18"/>
        </w:rPr>
        <w:t xml:space="preserve"> name and the FDA “A”-rated generic equivalent of listed </w:t>
      </w:r>
      <w:r w:rsidRPr="008E1A83">
        <w:rPr>
          <w:rFonts w:ascii="Arial" w:hAnsi="Arial"/>
          <w:sz w:val="18"/>
          <w:szCs w:val="18"/>
        </w:rPr>
        <w:t>product.</w:t>
      </w:r>
    </w:p>
    <w:p w14:paraId="576C2FD3" w14:textId="131AB11B" w:rsidR="004F68F7" w:rsidRPr="008E1A83" w:rsidRDefault="00DB5DBC" w:rsidP="008E1A83">
      <w:pPr>
        <w:shd w:val="clear" w:color="auto" w:fill="FFFFFF"/>
        <w:spacing w:after="120"/>
        <w:ind w:left="273" w:hanging="446"/>
        <w:rPr>
          <w:rFonts w:ascii="Arial" w:hAnsi="Arial"/>
          <w:b/>
          <w:sz w:val="18"/>
          <w:szCs w:val="18"/>
          <w:vertAlign w:val="superscript"/>
        </w:rPr>
      </w:pPr>
      <w:r w:rsidRPr="008E1A83">
        <w:rPr>
          <w:rFonts w:ascii="Arial" w:hAnsi="Arial"/>
          <w:b/>
          <w:sz w:val="18"/>
          <w:szCs w:val="18"/>
          <w:vertAlign w:val="superscript"/>
        </w:rPr>
        <w:t xml:space="preserve"> </w:t>
      </w:r>
      <w:r w:rsidR="004F68F7" w:rsidRPr="00431468">
        <w:rPr>
          <w:rFonts w:ascii="Arial" w:hAnsi="Arial"/>
          <w:b/>
          <w:sz w:val="18"/>
          <w:szCs w:val="18"/>
          <w:vertAlign w:val="superscript"/>
        </w:rPr>
        <w:t>#</w:t>
      </w:r>
      <w:r w:rsidR="008E1A83">
        <w:rPr>
          <w:rFonts w:ascii="Arial" w:hAnsi="Arial"/>
          <w:b/>
          <w:sz w:val="18"/>
          <w:szCs w:val="18"/>
          <w:vertAlign w:val="superscript"/>
        </w:rPr>
        <w:tab/>
      </w:r>
      <w:r w:rsidR="004F68F7" w:rsidRPr="008E1A83">
        <w:rPr>
          <w:rFonts w:ascii="Arial" w:hAnsi="Arial"/>
          <w:sz w:val="18"/>
          <w:szCs w:val="18"/>
        </w:rPr>
        <w:t>Designates a brand-name drug with FDA “A”-rated generic equivalents. </w:t>
      </w:r>
      <w:bookmarkStart w:id="3" w:name="Prior_Authorization"/>
      <w:r w:rsidR="004F68F7" w:rsidRPr="008E1A83">
        <w:rPr>
          <w:rFonts w:ascii="Arial" w:hAnsi="Arial"/>
          <w:sz w:val="18"/>
          <w:szCs w:val="18"/>
        </w:rPr>
        <w:t>Prior authorization</w:t>
      </w:r>
      <w:bookmarkEnd w:id="3"/>
      <w:r w:rsidR="004F68F7" w:rsidRPr="008E1A83">
        <w:rPr>
          <w:rFonts w:ascii="Arial" w:hAnsi="Arial"/>
          <w:sz w:val="18"/>
          <w:szCs w:val="18"/>
        </w:rPr>
        <w:t xml:space="preserve"> is required for the brand, unless a particular form of that drug (for example, tablet, capsule, or liquid) does not have an FDA “A”-rated generic equivalent. </w:t>
      </w:r>
    </w:p>
    <w:p w14:paraId="7FD75E0C" w14:textId="5176F0C5" w:rsidR="008E1A83" w:rsidRDefault="004F68F7" w:rsidP="008E1A83">
      <w:pPr>
        <w:shd w:val="clear" w:color="auto" w:fill="FFFFFF"/>
        <w:spacing w:after="120"/>
        <w:ind w:left="273" w:hanging="446"/>
        <w:rPr>
          <w:rFonts w:ascii="Arial" w:hAnsi="Arial"/>
          <w:bCs/>
          <w:sz w:val="18"/>
          <w:szCs w:val="18"/>
        </w:rPr>
      </w:pPr>
      <w:r w:rsidRPr="00431468">
        <w:rPr>
          <w:rFonts w:ascii="Arial" w:hAnsi="Arial"/>
          <w:b/>
          <w:sz w:val="18"/>
          <w:szCs w:val="18"/>
          <w:vertAlign w:val="superscript"/>
        </w:rPr>
        <w:t>BP</w:t>
      </w:r>
      <w:r w:rsidRPr="00431468">
        <w:rPr>
          <w:rFonts w:ascii="Arial" w:hAnsi="Arial"/>
          <w:bCs/>
          <w:sz w:val="18"/>
          <w:szCs w:val="18"/>
        </w:rPr>
        <w:tab/>
        <w:t>Brand preferred over generic equivalents. In general, MassHealth requires a trial of the preferred drug or clinical rationale for prescribing the nonpreferred drug generic equivalent.</w:t>
      </w:r>
    </w:p>
    <w:p w14:paraId="37F1B734" w14:textId="6E624224" w:rsidR="00CB6694" w:rsidRPr="008E1A83" w:rsidRDefault="00CB6694" w:rsidP="008E1A83">
      <w:pPr>
        <w:shd w:val="clear" w:color="auto" w:fill="FFFFFF"/>
        <w:spacing w:after="120"/>
        <w:ind w:left="273" w:hanging="446"/>
        <w:rPr>
          <w:rFonts w:ascii="Arial" w:hAnsi="Arial" w:cs="Arial"/>
          <w:sz w:val="18"/>
          <w:szCs w:val="18"/>
          <w:u w:val="single"/>
        </w:rPr>
      </w:pPr>
      <w:r w:rsidRPr="00431468">
        <w:rPr>
          <w:rFonts w:ascii="Arial" w:hAnsi="Arial"/>
          <w:b/>
          <w:sz w:val="18"/>
          <w:szCs w:val="18"/>
          <w:vertAlign w:val="superscript"/>
        </w:rPr>
        <w:t>PD</w:t>
      </w:r>
      <w:r w:rsidRPr="00431468">
        <w:rPr>
          <w:rFonts w:ascii="Arial" w:hAnsi="Arial"/>
          <w:bCs/>
          <w:sz w:val="18"/>
          <w:szCs w:val="18"/>
          <w:vertAlign w:val="superscript"/>
        </w:rPr>
        <w:tab/>
      </w:r>
      <w:r w:rsidRPr="00431468">
        <w:rPr>
          <w:rFonts w:ascii="Arial" w:eastAsia="Calibri" w:hAnsi="Arial" w:cs="Arial"/>
          <w:sz w:val="18"/>
          <w:szCs w:val="18"/>
        </w:rPr>
        <w:t xml:space="preserve">In general, MassHealth requires a trial of the preferred drug (PD) or a clinical rationale for prescribing a nonpreferred drug within a therapeutic </w:t>
      </w:r>
      <w:r w:rsidRPr="008E1A83">
        <w:rPr>
          <w:rFonts w:ascii="Arial" w:eastAsia="Calibri" w:hAnsi="Arial" w:cs="Arial"/>
          <w:sz w:val="18"/>
          <w:szCs w:val="18"/>
        </w:rPr>
        <w:t>class.</w:t>
      </w:r>
      <w:r w:rsidRPr="008E1A83">
        <w:rPr>
          <w:rFonts w:ascii="Arial" w:hAnsi="Arial"/>
          <w:bCs/>
          <w:sz w:val="18"/>
          <w:szCs w:val="18"/>
        </w:rPr>
        <w:t xml:space="preserve"> </w:t>
      </w:r>
    </w:p>
    <w:p w14:paraId="4A7E746C" w14:textId="68972441" w:rsidR="000F482D" w:rsidRPr="008E1A83" w:rsidRDefault="00CB6694" w:rsidP="008E1A83">
      <w:pPr>
        <w:shd w:val="clear" w:color="auto" w:fill="FFFFFF"/>
        <w:spacing w:after="120"/>
        <w:ind w:left="273" w:hanging="446"/>
        <w:rPr>
          <w:rFonts w:ascii="Arial" w:hAnsi="Arial"/>
          <w:sz w:val="18"/>
          <w:szCs w:val="18"/>
        </w:rPr>
      </w:pPr>
      <w:r w:rsidRPr="008E1A83">
        <w:rPr>
          <w:rFonts w:ascii="Arial" w:hAnsi="Arial"/>
          <w:b/>
          <w:sz w:val="18"/>
          <w:szCs w:val="18"/>
          <w:vertAlign w:val="superscript"/>
        </w:rPr>
        <w:t>CO</w:t>
      </w:r>
      <w:r w:rsidR="008E1A83" w:rsidRPr="008E1A83">
        <w:rPr>
          <w:rFonts w:ascii="Arial" w:hAnsi="Arial"/>
          <w:sz w:val="18"/>
          <w:szCs w:val="18"/>
        </w:rPr>
        <w:tab/>
      </w:r>
      <w:r w:rsidRPr="008E1A83">
        <w:rPr>
          <w:rFonts w:ascii="Arial" w:hAnsi="Arial"/>
          <w:sz w:val="18"/>
          <w:szCs w:val="18"/>
        </w:rPr>
        <w:t>Carve-Out. This agent is listed on the Acute Hospital Carve-Out Drugs List and is subject to additional monitoring and billing requirements</w:t>
      </w:r>
    </w:p>
    <w:p w14:paraId="0863B9A1" w14:textId="5674EADC" w:rsidR="000F482D" w:rsidRPr="000C25B9" w:rsidRDefault="000F482D" w:rsidP="00B80B4A">
      <w:pPr>
        <w:pStyle w:val="Heading2"/>
      </w:pPr>
      <w:r>
        <w:t>F</w:t>
      </w:r>
      <w:r w:rsidRPr="000C25B9">
        <w:t>ood Assistance Resources for MassHealth Members</w:t>
      </w:r>
    </w:p>
    <w:p w14:paraId="74D4FCE6" w14:textId="77777777" w:rsidR="000F482D" w:rsidRDefault="000F482D" w:rsidP="000F482D">
      <w:pPr>
        <w:ind w:left="720"/>
        <w:rPr>
          <w:sz w:val="22"/>
          <w:szCs w:val="22"/>
        </w:rPr>
      </w:pPr>
    </w:p>
    <w:p w14:paraId="29F6F23A" w14:textId="61415C36" w:rsidR="000F482D" w:rsidRPr="008E1A83" w:rsidRDefault="000F482D" w:rsidP="000F482D">
      <w:pPr>
        <w:rPr>
          <w:rFonts w:ascii="Arial" w:hAnsi="Arial" w:cs="Arial"/>
          <w:color w:val="000000"/>
          <w:sz w:val="22"/>
          <w:szCs w:val="22"/>
        </w:rPr>
      </w:pPr>
      <w:r w:rsidRPr="008E1A83">
        <w:rPr>
          <w:rFonts w:ascii="Arial" w:hAnsi="Arial" w:cs="Arial"/>
          <w:color w:val="000000"/>
          <w:sz w:val="22"/>
          <w:szCs w:val="22"/>
        </w:rPr>
        <w:t xml:space="preserve">As a result of the COVID-19 pandemic, a growing number of individuals and families across Massachusetts are facing food insecurity, many for the first time.  MassHealth, in partnership with other state agencies and food non-profit organizations, has developed a simple guide that you can </w:t>
      </w:r>
      <w:r w:rsidRPr="008E1A83">
        <w:rPr>
          <w:rFonts w:ascii="Arial" w:hAnsi="Arial" w:cs="Arial"/>
          <w:color w:val="000000"/>
          <w:sz w:val="22"/>
          <w:szCs w:val="22"/>
        </w:rPr>
        <w:lastRenderedPageBreak/>
        <w:t>use to help identify MassHealth patients who need food assistance and connect them to resources in the community. Those food assistance resources can provide your patients with immediate access to food, as well as recurring financial support for the purchase of food.</w:t>
      </w:r>
    </w:p>
    <w:p w14:paraId="71F0CFA6" w14:textId="081B5828" w:rsidR="000F482D" w:rsidRPr="008E1A83" w:rsidRDefault="000F482D" w:rsidP="000F482D">
      <w:pPr>
        <w:numPr>
          <w:ilvl w:val="0"/>
          <w:numId w:val="30"/>
        </w:numPr>
        <w:spacing w:line="259" w:lineRule="auto"/>
        <w:rPr>
          <w:rFonts w:ascii="Arial" w:hAnsi="Arial" w:cs="Arial"/>
          <w:sz w:val="22"/>
          <w:szCs w:val="22"/>
        </w:rPr>
      </w:pPr>
      <w:r w:rsidRPr="008E1A83">
        <w:rPr>
          <w:rFonts w:ascii="Arial" w:hAnsi="Arial" w:cs="Arial"/>
          <w:b/>
          <w:sz w:val="22"/>
          <w:szCs w:val="22"/>
        </w:rPr>
        <w:t>Patient-facing food assistance handout</w:t>
      </w:r>
      <w:r w:rsidR="00203C79">
        <w:rPr>
          <w:rFonts w:ascii="Arial" w:hAnsi="Arial" w:cs="Arial"/>
          <w:b/>
          <w:sz w:val="22"/>
          <w:szCs w:val="22"/>
        </w:rPr>
        <w:t>,</w:t>
      </w:r>
      <w:r w:rsidRPr="008E1A83">
        <w:rPr>
          <w:rFonts w:ascii="Arial" w:hAnsi="Arial" w:cs="Arial"/>
          <w:sz w:val="22"/>
          <w:szCs w:val="22"/>
        </w:rPr>
        <w:t xml:space="preserve">  which provides information about available resources.  The handout can be printed and given to patients, or if you are connecting with patients via phone, text, or email, you can provide patients a link for this handout:</w:t>
      </w:r>
    </w:p>
    <w:p w14:paraId="3E5AF8D6" w14:textId="7C09DA37" w:rsidR="000F482D" w:rsidRPr="008E1A83" w:rsidRDefault="000F482D" w:rsidP="000F482D">
      <w:pPr>
        <w:numPr>
          <w:ilvl w:val="1"/>
          <w:numId w:val="30"/>
        </w:numPr>
        <w:spacing w:line="259" w:lineRule="auto"/>
        <w:ind w:left="738" w:hanging="351"/>
        <w:rPr>
          <w:rFonts w:ascii="Arial" w:hAnsi="Arial" w:cs="Arial"/>
          <w:sz w:val="22"/>
          <w:szCs w:val="22"/>
        </w:rPr>
      </w:pPr>
      <w:r w:rsidRPr="00116AA7">
        <w:rPr>
          <w:rFonts w:ascii="Arial" w:hAnsi="Arial" w:cs="Arial"/>
          <w:b/>
          <w:sz w:val="22"/>
          <w:szCs w:val="22"/>
        </w:rPr>
        <w:t>English version</w:t>
      </w:r>
      <w:r w:rsidRPr="008E1A83">
        <w:rPr>
          <w:rFonts w:ascii="Arial" w:hAnsi="Arial" w:cs="Arial"/>
          <w:sz w:val="22"/>
          <w:szCs w:val="22"/>
        </w:rPr>
        <w:t xml:space="preserve">: </w:t>
      </w:r>
      <w:hyperlink r:id="rId11" w:history="1">
        <w:r w:rsidR="008E1A83" w:rsidRPr="00EF7250">
          <w:rPr>
            <w:rStyle w:val="Hyperlink"/>
            <w:rFonts w:ascii="Arial" w:hAnsi="Arial" w:cs="Arial"/>
            <w:sz w:val="22"/>
            <w:szCs w:val="22"/>
          </w:rPr>
          <w:t>https://www.mass.gov/doc/food-assistance-during-the-covid-19-emergency/download</w:t>
        </w:r>
      </w:hyperlink>
      <w:r w:rsidRPr="008E1A83">
        <w:rPr>
          <w:rFonts w:ascii="Arial" w:hAnsi="Arial" w:cs="Arial"/>
          <w:sz w:val="22"/>
          <w:szCs w:val="22"/>
        </w:rPr>
        <w:t xml:space="preserve"> </w:t>
      </w:r>
    </w:p>
    <w:p w14:paraId="4308F8F1" w14:textId="77777777" w:rsidR="000F482D" w:rsidRPr="008E1A83" w:rsidRDefault="000F482D" w:rsidP="000F482D">
      <w:pPr>
        <w:numPr>
          <w:ilvl w:val="1"/>
          <w:numId w:val="30"/>
        </w:numPr>
        <w:spacing w:line="259" w:lineRule="auto"/>
        <w:ind w:left="738" w:hanging="351"/>
        <w:rPr>
          <w:rFonts w:ascii="Arial" w:hAnsi="Arial" w:cs="Arial"/>
          <w:sz w:val="22"/>
          <w:szCs w:val="22"/>
        </w:rPr>
      </w:pPr>
      <w:r w:rsidRPr="00116AA7">
        <w:rPr>
          <w:rFonts w:ascii="Arial" w:hAnsi="Arial" w:cs="Arial"/>
          <w:b/>
          <w:sz w:val="22"/>
          <w:szCs w:val="22"/>
        </w:rPr>
        <w:t>Spanish version</w:t>
      </w:r>
      <w:r w:rsidRPr="008E1A83">
        <w:rPr>
          <w:rFonts w:ascii="Arial" w:hAnsi="Arial" w:cs="Arial"/>
          <w:sz w:val="22"/>
          <w:szCs w:val="22"/>
        </w:rPr>
        <w:t xml:space="preserve">: </w:t>
      </w:r>
      <w:hyperlink r:id="rId12" w:history="1">
        <w:r w:rsidRPr="008E1A83">
          <w:rPr>
            <w:rStyle w:val="Hyperlink"/>
            <w:rFonts w:ascii="Arial" w:hAnsi="Arial" w:cs="Arial"/>
            <w:sz w:val="22"/>
            <w:szCs w:val="22"/>
          </w:rPr>
          <w:t>https://www.mass.gov/doc/asistencia-alimentaria-durante-la-emergencia-por-covid-19/download</w:t>
        </w:r>
      </w:hyperlink>
      <w:r w:rsidRPr="008E1A83">
        <w:rPr>
          <w:rFonts w:ascii="Arial" w:hAnsi="Arial" w:cs="Arial"/>
          <w:sz w:val="22"/>
          <w:szCs w:val="22"/>
        </w:rPr>
        <w:t xml:space="preserve"> </w:t>
      </w:r>
    </w:p>
    <w:p w14:paraId="4A430F2A" w14:textId="77777777" w:rsidR="000F482D" w:rsidRPr="008E1A83" w:rsidRDefault="000F482D" w:rsidP="000F482D">
      <w:pPr>
        <w:numPr>
          <w:ilvl w:val="1"/>
          <w:numId w:val="30"/>
        </w:numPr>
        <w:spacing w:line="259" w:lineRule="auto"/>
        <w:ind w:left="738" w:hanging="351"/>
        <w:rPr>
          <w:rFonts w:ascii="Arial" w:hAnsi="Arial" w:cs="Arial"/>
          <w:sz w:val="22"/>
          <w:szCs w:val="22"/>
        </w:rPr>
      </w:pPr>
      <w:r w:rsidRPr="008E1A83">
        <w:rPr>
          <w:rFonts w:ascii="Arial" w:hAnsi="Arial" w:cs="Arial"/>
          <w:sz w:val="22"/>
          <w:szCs w:val="22"/>
        </w:rPr>
        <w:t xml:space="preserve">You can find accessible versions for this handout </w:t>
      </w:r>
      <w:hyperlink r:id="rId13" w:history="1">
        <w:r w:rsidRPr="008E1A83">
          <w:rPr>
            <w:rStyle w:val="Hyperlink"/>
            <w:rFonts w:ascii="Arial" w:hAnsi="Arial" w:cs="Arial"/>
            <w:b/>
            <w:sz w:val="22"/>
            <w:szCs w:val="22"/>
          </w:rPr>
          <w:t>here</w:t>
        </w:r>
      </w:hyperlink>
      <w:r w:rsidRPr="008E1A83">
        <w:rPr>
          <w:rFonts w:ascii="Arial" w:hAnsi="Arial" w:cs="Arial"/>
          <w:b/>
          <w:sz w:val="22"/>
          <w:szCs w:val="22"/>
        </w:rPr>
        <w:t xml:space="preserve"> (English)</w:t>
      </w:r>
      <w:r w:rsidRPr="008E1A83">
        <w:rPr>
          <w:rFonts w:ascii="Arial" w:hAnsi="Arial" w:cs="Arial"/>
          <w:sz w:val="22"/>
          <w:szCs w:val="22"/>
        </w:rPr>
        <w:t xml:space="preserve"> and </w:t>
      </w:r>
      <w:hyperlink r:id="rId14" w:history="1">
        <w:r w:rsidRPr="008E1A83">
          <w:rPr>
            <w:rStyle w:val="Hyperlink"/>
            <w:rFonts w:ascii="Arial" w:hAnsi="Arial" w:cs="Arial"/>
            <w:b/>
            <w:sz w:val="22"/>
            <w:szCs w:val="22"/>
          </w:rPr>
          <w:t>here</w:t>
        </w:r>
      </w:hyperlink>
      <w:r w:rsidRPr="008E1A83">
        <w:rPr>
          <w:rFonts w:ascii="Arial" w:hAnsi="Arial" w:cs="Arial"/>
          <w:b/>
          <w:sz w:val="22"/>
          <w:szCs w:val="22"/>
        </w:rPr>
        <w:t xml:space="preserve"> (Spanish)</w:t>
      </w:r>
    </w:p>
    <w:p w14:paraId="09A9A164" w14:textId="0EBC18BD" w:rsidR="000F482D" w:rsidRPr="008E1A83" w:rsidRDefault="000F482D" w:rsidP="000F482D">
      <w:pPr>
        <w:numPr>
          <w:ilvl w:val="0"/>
          <w:numId w:val="30"/>
        </w:numPr>
        <w:spacing w:before="240" w:line="259" w:lineRule="auto"/>
        <w:rPr>
          <w:rFonts w:ascii="Arial" w:hAnsi="Arial" w:cs="Arial"/>
          <w:sz w:val="22"/>
          <w:szCs w:val="22"/>
        </w:rPr>
      </w:pPr>
      <w:r w:rsidRPr="008E1A83">
        <w:rPr>
          <w:rFonts w:ascii="Arial" w:hAnsi="Arial" w:cs="Arial"/>
          <w:b/>
          <w:sz w:val="22"/>
          <w:szCs w:val="22"/>
        </w:rPr>
        <w:t>Provider-facing guide</w:t>
      </w:r>
      <w:r w:rsidRPr="008E1A83">
        <w:rPr>
          <w:rFonts w:ascii="Arial" w:hAnsi="Arial" w:cs="Arial"/>
          <w:sz w:val="22"/>
          <w:szCs w:val="22"/>
        </w:rPr>
        <w:t xml:space="preserve"> to help you better understand how to identify patients who need food assistance and the resources available to help them.</w:t>
      </w:r>
    </w:p>
    <w:p w14:paraId="4BA138B8" w14:textId="77777777" w:rsidR="000F482D" w:rsidRPr="008E1A83" w:rsidRDefault="000F482D" w:rsidP="000F482D">
      <w:pPr>
        <w:numPr>
          <w:ilvl w:val="1"/>
          <w:numId w:val="30"/>
        </w:numPr>
        <w:spacing w:line="259" w:lineRule="auto"/>
        <w:ind w:left="738" w:hanging="351"/>
        <w:rPr>
          <w:rFonts w:ascii="Arial" w:hAnsi="Arial" w:cs="Arial"/>
          <w:sz w:val="22"/>
          <w:szCs w:val="22"/>
        </w:rPr>
      </w:pPr>
      <w:r w:rsidRPr="00116AA7">
        <w:rPr>
          <w:rFonts w:ascii="Arial" w:hAnsi="Arial" w:cs="Arial"/>
          <w:b/>
          <w:sz w:val="22"/>
          <w:szCs w:val="22"/>
        </w:rPr>
        <w:t>English version</w:t>
      </w:r>
      <w:r w:rsidRPr="008E1A83">
        <w:rPr>
          <w:rFonts w:ascii="Arial" w:hAnsi="Arial" w:cs="Arial"/>
          <w:sz w:val="22"/>
          <w:szCs w:val="22"/>
        </w:rPr>
        <w:t xml:space="preserve">: </w:t>
      </w:r>
      <w:hyperlink r:id="rId15" w:history="1">
        <w:r w:rsidRPr="008E1A83">
          <w:rPr>
            <w:rFonts w:ascii="Arial" w:hAnsi="Arial" w:cs="Arial"/>
            <w:sz w:val="22"/>
            <w:szCs w:val="22"/>
          </w:rPr>
          <w:t>https://www.mass.gov/doc/connecting-your-patients-with-food-resources/download</w:t>
        </w:r>
      </w:hyperlink>
      <w:r w:rsidRPr="008E1A83">
        <w:rPr>
          <w:rFonts w:ascii="Arial" w:hAnsi="Arial" w:cs="Arial"/>
          <w:sz w:val="22"/>
          <w:szCs w:val="22"/>
        </w:rPr>
        <w:t xml:space="preserve"> </w:t>
      </w:r>
    </w:p>
    <w:p w14:paraId="0309B7F3" w14:textId="77777777" w:rsidR="000F482D" w:rsidRPr="008E1A83" w:rsidRDefault="000F482D" w:rsidP="000F482D">
      <w:pPr>
        <w:numPr>
          <w:ilvl w:val="1"/>
          <w:numId w:val="30"/>
        </w:numPr>
        <w:spacing w:line="259" w:lineRule="auto"/>
        <w:ind w:left="738" w:hanging="351"/>
        <w:rPr>
          <w:rFonts w:ascii="Arial" w:hAnsi="Arial" w:cs="Arial"/>
          <w:sz w:val="22"/>
          <w:szCs w:val="22"/>
        </w:rPr>
      </w:pPr>
      <w:r w:rsidRPr="00116AA7">
        <w:rPr>
          <w:rFonts w:ascii="Arial" w:hAnsi="Arial" w:cs="Arial"/>
          <w:b/>
          <w:sz w:val="22"/>
          <w:szCs w:val="22"/>
        </w:rPr>
        <w:t>Spanish version</w:t>
      </w:r>
      <w:r w:rsidRPr="008E1A83">
        <w:rPr>
          <w:rFonts w:ascii="Arial" w:hAnsi="Arial" w:cs="Arial"/>
          <w:sz w:val="22"/>
          <w:szCs w:val="22"/>
        </w:rPr>
        <w:t xml:space="preserve">: </w:t>
      </w:r>
      <w:hyperlink r:id="rId16" w:history="1">
        <w:r w:rsidRPr="008E1A83">
          <w:rPr>
            <w:rFonts w:ascii="Arial" w:hAnsi="Arial" w:cs="Arial"/>
            <w:sz w:val="22"/>
            <w:szCs w:val="22"/>
          </w:rPr>
          <w:t>https://www.mass.gov/doc/como-conectar-a-sus-pacientes-con-recursos-de-alimentos/download</w:t>
        </w:r>
      </w:hyperlink>
      <w:r w:rsidRPr="008E1A83">
        <w:rPr>
          <w:rFonts w:ascii="Arial" w:hAnsi="Arial" w:cs="Arial"/>
          <w:sz w:val="22"/>
          <w:szCs w:val="22"/>
        </w:rPr>
        <w:t xml:space="preserve"> </w:t>
      </w:r>
    </w:p>
    <w:p w14:paraId="26E2953C" w14:textId="77777777" w:rsidR="000F482D" w:rsidRPr="008E1A83" w:rsidRDefault="000F482D" w:rsidP="000F482D">
      <w:pPr>
        <w:numPr>
          <w:ilvl w:val="1"/>
          <w:numId w:val="30"/>
        </w:numPr>
        <w:spacing w:line="259" w:lineRule="auto"/>
        <w:ind w:left="738" w:hanging="351"/>
        <w:rPr>
          <w:rFonts w:ascii="Arial" w:hAnsi="Arial" w:cs="Arial"/>
          <w:sz w:val="22"/>
          <w:szCs w:val="22"/>
        </w:rPr>
      </w:pPr>
      <w:r w:rsidRPr="008E1A83">
        <w:rPr>
          <w:rFonts w:ascii="Arial" w:hAnsi="Arial" w:cs="Arial"/>
          <w:sz w:val="22"/>
          <w:szCs w:val="22"/>
        </w:rPr>
        <w:t xml:space="preserve">You can find accessible versions for this guide </w:t>
      </w:r>
      <w:hyperlink r:id="rId17" w:history="1">
        <w:r w:rsidRPr="008E1A83">
          <w:rPr>
            <w:rFonts w:ascii="Arial" w:hAnsi="Arial" w:cs="Arial"/>
            <w:sz w:val="22"/>
            <w:szCs w:val="22"/>
          </w:rPr>
          <w:t>here</w:t>
        </w:r>
      </w:hyperlink>
      <w:r w:rsidRPr="008E1A83">
        <w:rPr>
          <w:rFonts w:ascii="Arial" w:hAnsi="Arial" w:cs="Arial"/>
          <w:sz w:val="22"/>
          <w:szCs w:val="22"/>
        </w:rPr>
        <w:t xml:space="preserve"> </w:t>
      </w:r>
      <w:r w:rsidRPr="008E1A83">
        <w:rPr>
          <w:rFonts w:ascii="Arial" w:hAnsi="Arial" w:cs="Arial"/>
          <w:b/>
          <w:sz w:val="22"/>
          <w:szCs w:val="22"/>
        </w:rPr>
        <w:t>(English)</w:t>
      </w:r>
      <w:r w:rsidRPr="008E1A83">
        <w:rPr>
          <w:rFonts w:ascii="Arial" w:hAnsi="Arial" w:cs="Arial"/>
          <w:sz w:val="22"/>
          <w:szCs w:val="22"/>
        </w:rPr>
        <w:t xml:space="preserve"> and </w:t>
      </w:r>
      <w:hyperlink r:id="rId18" w:history="1">
        <w:r w:rsidRPr="008E1A83">
          <w:rPr>
            <w:rFonts w:ascii="Arial" w:hAnsi="Arial" w:cs="Arial"/>
            <w:sz w:val="22"/>
            <w:szCs w:val="22"/>
          </w:rPr>
          <w:t>here</w:t>
        </w:r>
      </w:hyperlink>
      <w:r w:rsidRPr="008E1A83">
        <w:rPr>
          <w:rFonts w:ascii="Arial" w:hAnsi="Arial" w:cs="Arial"/>
          <w:sz w:val="22"/>
          <w:szCs w:val="22"/>
        </w:rPr>
        <w:t xml:space="preserve"> </w:t>
      </w:r>
      <w:r w:rsidRPr="008E1A83">
        <w:rPr>
          <w:rFonts w:ascii="Arial" w:hAnsi="Arial" w:cs="Arial"/>
          <w:b/>
          <w:sz w:val="22"/>
          <w:szCs w:val="22"/>
        </w:rPr>
        <w:t>(Spanish)</w:t>
      </w:r>
    </w:p>
    <w:p w14:paraId="5D83DBDD" w14:textId="77777777" w:rsidR="000F482D" w:rsidRPr="008E1A83" w:rsidRDefault="000F482D" w:rsidP="000F482D">
      <w:pPr>
        <w:rPr>
          <w:rFonts w:ascii="Arial" w:hAnsi="Arial" w:cs="Arial"/>
          <w:sz w:val="22"/>
          <w:szCs w:val="22"/>
        </w:rPr>
      </w:pPr>
      <w:r w:rsidRPr="008E1A83">
        <w:rPr>
          <w:rFonts w:ascii="Arial" w:hAnsi="Arial" w:cs="Arial"/>
          <w:sz w:val="22"/>
          <w:szCs w:val="22"/>
        </w:rPr>
        <w:t>We hope that this information will be helpful to your MassHealth patients who need food assistance.  If you have any questions about these resources, please call the Project Bread FoodSource Hotline at 1-800-645-8333.</w:t>
      </w:r>
    </w:p>
    <w:sectPr w:rsidR="000F482D" w:rsidRPr="008E1A83" w:rsidSect="00B80B4A">
      <w:headerReference w:type="default" r:id="rId19"/>
      <w:footerReference w:type="default" r:id="rId20"/>
      <w:type w:val="continuous"/>
      <w:pgSz w:w="12240" w:h="15840" w:code="1"/>
      <w:pgMar w:top="432" w:right="1440" w:bottom="432" w:left="994" w:header="432" w:footer="720" w:gutter="0"/>
      <w:cols w:num="2"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1B57F" w14:textId="77777777" w:rsidR="008A59D2" w:rsidRDefault="008A59D2" w:rsidP="00492602">
      <w:r>
        <w:separator/>
      </w:r>
    </w:p>
  </w:endnote>
  <w:endnote w:type="continuationSeparator" w:id="0">
    <w:p w14:paraId="3ED143B7" w14:textId="77777777" w:rsidR="008A59D2" w:rsidRDefault="008A59D2"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E1A30"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5B81" w14:textId="0AC5A199" w:rsidR="00B80B4A" w:rsidRPr="00E24139" w:rsidRDefault="00B80B4A" w:rsidP="00B80B4A">
    <w:pPr>
      <w:autoSpaceDE w:val="0"/>
      <w:autoSpaceDN w:val="0"/>
      <w:adjustRightInd w:val="0"/>
      <w:spacing w:before="120"/>
      <w:ind w:left="1526" w:right="1080"/>
      <w:jc w:val="center"/>
      <w:textAlignment w:val="baseline"/>
    </w:pPr>
    <w:r w:rsidRPr="005C7622">
      <w:rPr>
        <w:rFonts w:ascii="Arial" w:hAnsi="Arial" w:cs="Arial"/>
        <w:iCs/>
        <w:sz w:val="18"/>
        <w:szCs w:val="18"/>
      </w:rPr>
      <w:t>If you have questions or comments, or want to be removed from this fax distribution, please contact Josel Fernandes at (617) 423-9842.</w:t>
    </w:r>
  </w:p>
  <w:p w14:paraId="47D325B5" w14:textId="0A5A5AA3" w:rsidR="00B80B4A" w:rsidRPr="00B80B4A" w:rsidRDefault="00B80B4A" w:rsidP="00B80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176A1" w14:textId="77777777" w:rsidR="008A59D2" w:rsidRDefault="008A59D2" w:rsidP="00492602">
      <w:r>
        <w:separator/>
      </w:r>
    </w:p>
  </w:footnote>
  <w:footnote w:type="continuationSeparator" w:id="0">
    <w:p w14:paraId="36C4F1AA" w14:textId="77777777" w:rsidR="008A59D2" w:rsidRDefault="008A59D2"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627C" w14:textId="56AA39A4" w:rsidR="001D0B92" w:rsidRPr="00B80B4A" w:rsidRDefault="001D0B92" w:rsidP="00A409FB">
    <w:pPr>
      <w:pStyle w:val="Default"/>
      <w:pBdr>
        <w:bottom w:val="single" w:sz="18" w:space="1" w:color="auto"/>
      </w:pBdr>
      <w:tabs>
        <w:tab w:val="left" w:pos="8640"/>
        <w:tab w:val="right" w:pos="9806"/>
        <w:tab w:val="right" w:pos="10987"/>
      </w:tabs>
      <w:rPr>
        <w:color w:val="auto"/>
        <w:sz w:val="18"/>
        <w:szCs w:val="18"/>
      </w:rPr>
    </w:pPr>
    <w:r w:rsidRPr="00B80B4A">
      <w:rPr>
        <w:color w:val="auto"/>
        <w:sz w:val="18"/>
        <w:szCs w:val="18"/>
      </w:rPr>
      <w:t>Pharmacy Facts Number 149</w:t>
    </w:r>
    <w:r w:rsidR="00A409FB">
      <w:rPr>
        <w:color w:val="auto"/>
        <w:sz w:val="18"/>
        <w:szCs w:val="18"/>
      </w:rPr>
      <w:tab/>
    </w:r>
    <w:r w:rsidRPr="00B80B4A">
      <w:rPr>
        <w:color w:val="auto"/>
        <w:sz w:val="18"/>
        <w:szCs w:val="18"/>
      </w:rPr>
      <w:t xml:space="preserve">Page </w:t>
    </w:r>
    <w:r w:rsidRPr="00B80B4A">
      <w:rPr>
        <w:color w:val="auto"/>
        <w:sz w:val="18"/>
        <w:szCs w:val="18"/>
      </w:rPr>
      <w:fldChar w:fldCharType="begin"/>
    </w:r>
    <w:r w:rsidRPr="00B80B4A">
      <w:rPr>
        <w:color w:val="auto"/>
        <w:sz w:val="18"/>
        <w:szCs w:val="18"/>
      </w:rPr>
      <w:instrText xml:space="preserve"> PAGE   \* MERGEFORMAT </w:instrText>
    </w:r>
    <w:r w:rsidRPr="00B80B4A">
      <w:rPr>
        <w:color w:val="auto"/>
        <w:sz w:val="18"/>
        <w:szCs w:val="18"/>
      </w:rPr>
      <w:fldChar w:fldCharType="separate"/>
    </w:r>
    <w:r w:rsidR="001675F6">
      <w:rPr>
        <w:noProof/>
        <w:color w:val="auto"/>
        <w:sz w:val="18"/>
        <w:szCs w:val="18"/>
      </w:rPr>
      <w:t>2</w:t>
    </w:r>
    <w:r w:rsidRPr="00B80B4A">
      <w:rPr>
        <w:noProof/>
        <w:color w:val="auto"/>
        <w:sz w:val="18"/>
        <w:szCs w:val="18"/>
      </w:rPr>
      <w:fldChar w:fldCharType="end"/>
    </w:r>
    <w:r w:rsidRPr="00B80B4A">
      <w:rPr>
        <w:noProof/>
        <w:color w:val="auto"/>
        <w:sz w:val="18"/>
        <w:szCs w:val="18"/>
      </w:rPr>
      <w:t xml:space="preserve"> of </w:t>
    </w:r>
    <w:r w:rsidR="00B80B4A" w:rsidRPr="00B80B4A">
      <w:rPr>
        <w:noProof/>
        <w:color w:val="auto"/>
        <w:sz w:val="18"/>
        <w:szCs w:val="18"/>
      </w:rPr>
      <w:t>2</w:t>
    </w:r>
    <w:r w:rsidR="00B91986" w:rsidRPr="00B80B4A">
      <w:rPr>
        <w:noProof/>
        <w:color w:val="auto"/>
        <w:sz w:val="18"/>
        <w:szCs w:val="18"/>
      </w:rPr>
      <w:tab/>
    </w:r>
  </w:p>
  <w:p w14:paraId="2A882B94" w14:textId="77777777" w:rsidR="00AA5D88" w:rsidRDefault="00AA5D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FF00F81"/>
    <w:multiLevelType w:val="hybridMultilevel"/>
    <w:tmpl w:val="195C5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770E0"/>
    <w:multiLevelType w:val="hybridMultilevel"/>
    <w:tmpl w:val="8746E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D405E"/>
    <w:multiLevelType w:val="hybridMultilevel"/>
    <w:tmpl w:val="40F0A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530F0"/>
    <w:multiLevelType w:val="hybridMultilevel"/>
    <w:tmpl w:val="368E4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1374B5"/>
    <w:multiLevelType w:val="hybridMultilevel"/>
    <w:tmpl w:val="59EE6934"/>
    <w:lvl w:ilvl="0" w:tplc="6D74651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642742"/>
    <w:multiLevelType w:val="hybridMultilevel"/>
    <w:tmpl w:val="85CC87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D79E6"/>
    <w:multiLevelType w:val="multilevel"/>
    <w:tmpl w:val="8A788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3"/>
  </w:num>
  <w:num w:numId="2">
    <w:abstractNumId w:val="19"/>
  </w:num>
  <w:num w:numId="3">
    <w:abstractNumId w:val="24"/>
  </w:num>
  <w:num w:numId="4">
    <w:abstractNumId w:val="9"/>
  </w:num>
  <w:num w:numId="5">
    <w:abstractNumId w:val="12"/>
  </w:num>
  <w:num w:numId="6">
    <w:abstractNumId w:val="18"/>
  </w:num>
  <w:num w:numId="7">
    <w:abstractNumId w:val="25"/>
  </w:num>
  <w:num w:numId="8">
    <w:abstractNumId w:val="4"/>
  </w:num>
  <w:num w:numId="9">
    <w:abstractNumId w:val="0"/>
  </w:num>
  <w:num w:numId="10">
    <w:abstractNumId w:val="22"/>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4"/>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11"/>
  </w:num>
  <w:num w:numId="22">
    <w:abstractNumId w:val="26"/>
  </w:num>
  <w:num w:numId="23">
    <w:abstractNumId w:val="27"/>
  </w:num>
  <w:num w:numId="24">
    <w:abstractNumId w:val="16"/>
  </w:num>
  <w:num w:numId="25">
    <w:abstractNumId w:val="23"/>
  </w:num>
  <w:num w:numId="26">
    <w:abstractNumId w:val="6"/>
  </w:num>
  <w:num w:numId="27">
    <w:abstractNumId w:val="17"/>
  </w:num>
  <w:num w:numId="28">
    <w:abstractNumId w:val="1"/>
  </w:num>
  <w:num w:numId="29">
    <w:abstractNumId w:val="3"/>
  </w:num>
  <w:num w:numId="30">
    <w:abstractNumId w:val="28"/>
  </w:num>
  <w:num w:numId="31">
    <w:abstractNumId w:val="2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D21" w:allStyles="1" w:customStyles="0" w:latentStyles="0" w:stylesInUse="0" w:headingStyles="1" w:numberingStyles="0" w:tableStyles="0" w:directFormattingOnRuns="1" w:directFormattingOnParagraphs="0" w:directFormattingOnNumbering="1" w:directFormattingOnTables="1" w:clearFormatting="1" w:top3HeadingStyles="1" w:visibleStyles="0" w:alternateStyleNames="0"/>
  <w:stylePaneSortMethod w:val="0004"/>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3148F"/>
    <w:rsid w:val="00054839"/>
    <w:rsid w:val="00063DDE"/>
    <w:rsid w:val="000667B9"/>
    <w:rsid w:val="000713D3"/>
    <w:rsid w:val="000735C4"/>
    <w:rsid w:val="00074014"/>
    <w:rsid w:val="00081E8E"/>
    <w:rsid w:val="000A6318"/>
    <w:rsid w:val="000C25B9"/>
    <w:rsid w:val="000D1502"/>
    <w:rsid w:val="000F482D"/>
    <w:rsid w:val="000F5C22"/>
    <w:rsid w:val="00116AA7"/>
    <w:rsid w:val="00123D58"/>
    <w:rsid w:val="00137D3D"/>
    <w:rsid w:val="00140D08"/>
    <w:rsid w:val="00147437"/>
    <w:rsid w:val="00157A49"/>
    <w:rsid w:val="001675F6"/>
    <w:rsid w:val="00171445"/>
    <w:rsid w:val="001721D8"/>
    <w:rsid w:val="0018357E"/>
    <w:rsid w:val="001864A9"/>
    <w:rsid w:val="001A125B"/>
    <w:rsid w:val="001C1481"/>
    <w:rsid w:val="001D0B92"/>
    <w:rsid w:val="001E779F"/>
    <w:rsid w:val="00203C79"/>
    <w:rsid w:val="0021214A"/>
    <w:rsid w:val="00212622"/>
    <w:rsid w:val="002275AE"/>
    <w:rsid w:val="00230996"/>
    <w:rsid w:val="002509E9"/>
    <w:rsid w:val="002640F3"/>
    <w:rsid w:val="002727AB"/>
    <w:rsid w:val="00276F3A"/>
    <w:rsid w:val="00286CBE"/>
    <w:rsid w:val="00291397"/>
    <w:rsid w:val="002C52B8"/>
    <w:rsid w:val="002C7C67"/>
    <w:rsid w:val="002D111E"/>
    <w:rsid w:val="002D390F"/>
    <w:rsid w:val="002D3C44"/>
    <w:rsid w:val="002D738C"/>
    <w:rsid w:val="002E2F9E"/>
    <w:rsid w:val="002F4E7B"/>
    <w:rsid w:val="00310804"/>
    <w:rsid w:val="003152DA"/>
    <w:rsid w:val="0033053B"/>
    <w:rsid w:val="00334D14"/>
    <w:rsid w:val="00360067"/>
    <w:rsid w:val="0036343A"/>
    <w:rsid w:val="0037373E"/>
    <w:rsid w:val="00375713"/>
    <w:rsid w:val="00382054"/>
    <w:rsid w:val="00387C1F"/>
    <w:rsid w:val="003911FC"/>
    <w:rsid w:val="003B6839"/>
    <w:rsid w:val="003C1739"/>
    <w:rsid w:val="003D2B74"/>
    <w:rsid w:val="003F4BC1"/>
    <w:rsid w:val="003F533B"/>
    <w:rsid w:val="0041065E"/>
    <w:rsid w:val="00431468"/>
    <w:rsid w:val="00447A5F"/>
    <w:rsid w:val="00453E30"/>
    <w:rsid w:val="00453F3E"/>
    <w:rsid w:val="00456B5A"/>
    <w:rsid w:val="004664D3"/>
    <w:rsid w:val="00477916"/>
    <w:rsid w:val="004910B8"/>
    <w:rsid w:val="00492602"/>
    <w:rsid w:val="004A3BAA"/>
    <w:rsid w:val="004A7395"/>
    <w:rsid w:val="004D1BC7"/>
    <w:rsid w:val="004D79B2"/>
    <w:rsid w:val="004F5612"/>
    <w:rsid w:val="004F68F7"/>
    <w:rsid w:val="005052D9"/>
    <w:rsid w:val="00516394"/>
    <w:rsid w:val="0052118E"/>
    <w:rsid w:val="005260FF"/>
    <w:rsid w:val="00527F95"/>
    <w:rsid w:val="005314A6"/>
    <w:rsid w:val="005502E1"/>
    <w:rsid w:val="0056481B"/>
    <w:rsid w:val="00565C5B"/>
    <w:rsid w:val="0057156C"/>
    <w:rsid w:val="00571898"/>
    <w:rsid w:val="00574ECE"/>
    <w:rsid w:val="00574F07"/>
    <w:rsid w:val="0057528C"/>
    <w:rsid w:val="00581E50"/>
    <w:rsid w:val="005835F0"/>
    <w:rsid w:val="005842A0"/>
    <w:rsid w:val="005958DD"/>
    <w:rsid w:val="005A57BA"/>
    <w:rsid w:val="005B15B3"/>
    <w:rsid w:val="005C7622"/>
    <w:rsid w:val="005D723D"/>
    <w:rsid w:val="00607CFA"/>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038BD"/>
    <w:rsid w:val="007319D7"/>
    <w:rsid w:val="00731FAF"/>
    <w:rsid w:val="007426BF"/>
    <w:rsid w:val="00760FDF"/>
    <w:rsid w:val="00770C03"/>
    <w:rsid w:val="007757E7"/>
    <w:rsid w:val="00780F43"/>
    <w:rsid w:val="00781D3B"/>
    <w:rsid w:val="007872E1"/>
    <w:rsid w:val="007A41F5"/>
    <w:rsid w:val="007A5C7C"/>
    <w:rsid w:val="007B2F2D"/>
    <w:rsid w:val="007B4429"/>
    <w:rsid w:val="007B7425"/>
    <w:rsid w:val="007E4380"/>
    <w:rsid w:val="007F5417"/>
    <w:rsid w:val="00804116"/>
    <w:rsid w:val="00812480"/>
    <w:rsid w:val="00821937"/>
    <w:rsid w:val="008340D0"/>
    <w:rsid w:val="008403CA"/>
    <w:rsid w:val="0085395A"/>
    <w:rsid w:val="00853F8E"/>
    <w:rsid w:val="0086142C"/>
    <w:rsid w:val="00872B31"/>
    <w:rsid w:val="00872E7F"/>
    <w:rsid w:val="00880FA9"/>
    <w:rsid w:val="008930F1"/>
    <w:rsid w:val="00893F45"/>
    <w:rsid w:val="008A59D2"/>
    <w:rsid w:val="008C5414"/>
    <w:rsid w:val="008E1A83"/>
    <w:rsid w:val="008F0130"/>
    <w:rsid w:val="008F2E4C"/>
    <w:rsid w:val="00905C46"/>
    <w:rsid w:val="00906EEC"/>
    <w:rsid w:val="009166DF"/>
    <w:rsid w:val="009204C7"/>
    <w:rsid w:val="00922030"/>
    <w:rsid w:val="0093532E"/>
    <w:rsid w:val="00941258"/>
    <w:rsid w:val="00942245"/>
    <w:rsid w:val="00956812"/>
    <w:rsid w:val="00963957"/>
    <w:rsid w:val="009725E5"/>
    <w:rsid w:val="00974CFD"/>
    <w:rsid w:val="00981567"/>
    <w:rsid w:val="00996E31"/>
    <w:rsid w:val="009C3981"/>
    <w:rsid w:val="009C3CFF"/>
    <w:rsid w:val="009C7ACB"/>
    <w:rsid w:val="009D1341"/>
    <w:rsid w:val="009D6D73"/>
    <w:rsid w:val="009D79C6"/>
    <w:rsid w:val="009F0440"/>
    <w:rsid w:val="009F0526"/>
    <w:rsid w:val="009F7D42"/>
    <w:rsid w:val="00A01DE3"/>
    <w:rsid w:val="00A11371"/>
    <w:rsid w:val="00A120E1"/>
    <w:rsid w:val="00A31159"/>
    <w:rsid w:val="00A31FAA"/>
    <w:rsid w:val="00A343A9"/>
    <w:rsid w:val="00A409FB"/>
    <w:rsid w:val="00A5239C"/>
    <w:rsid w:val="00A650DC"/>
    <w:rsid w:val="00A6764A"/>
    <w:rsid w:val="00A84255"/>
    <w:rsid w:val="00A93734"/>
    <w:rsid w:val="00AA5D88"/>
    <w:rsid w:val="00AC1AC7"/>
    <w:rsid w:val="00AD18B8"/>
    <w:rsid w:val="00AD33D5"/>
    <w:rsid w:val="00AE21FC"/>
    <w:rsid w:val="00AE7072"/>
    <w:rsid w:val="00B01BAA"/>
    <w:rsid w:val="00B07BD7"/>
    <w:rsid w:val="00B13AA5"/>
    <w:rsid w:val="00B3099B"/>
    <w:rsid w:val="00B40A71"/>
    <w:rsid w:val="00B41B0C"/>
    <w:rsid w:val="00B503C7"/>
    <w:rsid w:val="00B54AB5"/>
    <w:rsid w:val="00B645C9"/>
    <w:rsid w:val="00B80B4A"/>
    <w:rsid w:val="00B847B1"/>
    <w:rsid w:val="00B91986"/>
    <w:rsid w:val="00B92C96"/>
    <w:rsid w:val="00BA68F0"/>
    <w:rsid w:val="00BD08CA"/>
    <w:rsid w:val="00BD6D24"/>
    <w:rsid w:val="00BE1214"/>
    <w:rsid w:val="00BE3015"/>
    <w:rsid w:val="00C15672"/>
    <w:rsid w:val="00C31421"/>
    <w:rsid w:val="00C33753"/>
    <w:rsid w:val="00C35B94"/>
    <w:rsid w:val="00C4719E"/>
    <w:rsid w:val="00C82FA4"/>
    <w:rsid w:val="00CA0669"/>
    <w:rsid w:val="00CA1E7C"/>
    <w:rsid w:val="00CB0030"/>
    <w:rsid w:val="00CB6694"/>
    <w:rsid w:val="00CB7521"/>
    <w:rsid w:val="00CC57AC"/>
    <w:rsid w:val="00CC776C"/>
    <w:rsid w:val="00CD6D68"/>
    <w:rsid w:val="00CE3864"/>
    <w:rsid w:val="00D0584B"/>
    <w:rsid w:val="00D2467C"/>
    <w:rsid w:val="00D2695E"/>
    <w:rsid w:val="00D335C5"/>
    <w:rsid w:val="00D521FA"/>
    <w:rsid w:val="00D5685A"/>
    <w:rsid w:val="00D81121"/>
    <w:rsid w:val="00D83FDF"/>
    <w:rsid w:val="00DB5DBC"/>
    <w:rsid w:val="00DB6A12"/>
    <w:rsid w:val="00DC6216"/>
    <w:rsid w:val="00E02354"/>
    <w:rsid w:val="00E10EA0"/>
    <w:rsid w:val="00E24139"/>
    <w:rsid w:val="00E34C02"/>
    <w:rsid w:val="00E3616D"/>
    <w:rsid w:val="00E50862"/>
    <w:rsid w:val="00E60ABB"/>
    <w:rsid w:val="00E61B1C"/>
    <w:rsid w:val="00E62D91"/>
    <w:rsid w:val="00E67611"/>
    <w:rsid w:val="00E67713"/>
    <w:rsid w:val="00E72DFF"/>
    <w:rsid w:val="00E92E47"/>
    <w:rsid w:val="00E9576D"/>
    <w:rsid w:val="00EC08AC"/>
    <w:rsid w:val="00EC1948"/>
    <w:rsid w:val="00ED4639"/>
    <w:rsid w:val="00EE034C"/>
    <w:rsid w:val="00EE54D2"/>
    <w:rsid w:val="00EF7C8A"/>
    <w:rsid w:val="00F25E7F"/>
    <w:rsid w:val="00F307D6"/>
    <w:rsid w:val="00F45E31"/>
    <w:rsid w:val="00F47C13"/>
    <w:rsid w:val="00F512EE"/>
    <w:rsid w:val="00F643E6"/>
    <w:rsid w:val="00F67FE5"/>
    <w:rsid w:val="00F76D69"/>
    <w:rsid w:val="00F80E73"/>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BC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59"/>
    <w:rPr>
      <w:sz w:val="24"/>
      <w:szCs w:val="24"/>
    </w:rPr>
  </w:style>
  <w:style w:type="paragraph" w:styleId="Heading1">
    <w:name w:val="heading 1"/>
    <w:basedOn w:val="Subtitle"/>
    <w:next w:val="Normal"/>
    <w:link w:val="Heading1Char"/>
    <w:qFormat/>
    <w:rsid w:val="00A31159"/>
    <w:pPr>
      <w:spacing w:line="240" w:lineRule="auto"/>
      <w:outlineLvl w:val="0"/>
    </w:pPr>
    <w:rPr>
      <w:rFonts w:cs="Arial"/>
      <w:b/>
      <w:sz w:val="24"/>
      <w:szCs w:val="24"/>
    </w:rPr>
  </w:style>
  <w:style w:type="paragraph" w:styleId="Heading2">
    <w:name w:val="heading 2"/>
    <w:basedOn w:val="Heading1"/>
    <w:next w:val="Normal"/>
    <w:link w:val="Heading2Char"/>
    <w:unhideWhenUsed/>
    <w:qFormat/>
    <w:rsid w:val="00A31159"/>
    <w:pPr>
      <w:outlineLvl w:val="1"/>
    </w:pPr>
  </w:style>
  <w:style w:type="paragraph" w:styleId="Heading3">
    <w:name w:val="heading 3"/>
    <w:basedOn w:val="Heading1"/>
    <w:next w:val="Normal"/>
    <w:link w:val="Heading3Char"/>
    <w:unhideWhenUsed/>
    <w:qFormat/>
    <w:rsid w:val="00A3115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rsid w:val="00780F43"/>
    <w:rPr>
      <w:color w:val="0000FF"/>
      <w:u w:val="single"/>
    </w:rPr>
  </w:style>
  <w:style w:type="character" w:customStyle="1" w:styleId="Heading1Char">
    <w:name w:val="Heading 1 Char"/>
    <w:basedOn w:val="DefaultParagraphFont"/>
    <w:link w:val="Heading1"/>
    <w:rsid w:val="00A31159"/>
    <w:rPr>
      <w:rFonts w:ascii="Arial Black" w:hAnsi="Arial Black" w:cs="Arial"/>
      <w:b/>
      <w:color w:val="000000"/>
      <w:sz w:val="24"/>
      <w:szCs w:val="24"/>
    </w:rPr>
  </w:style>
  <w:style w:type="character" w:customStyle="1" w:styleId="Heading2Char">
    <w:name w:val="Heading 2 Char"/>
    <w:basedOn w:val="DefaultParagraphFont"/>
    <w:link w:val="Heading2"/>
    <w:rsid w:val="00A31159"/>
    <w:rPr>
      <w:rFonts w:ascii="Arial Black" w:hAnsi="Arial Black" w:cs="Arial"/>
      <w:b/>
      <w:color w:val="000000"/>
      <w:sz w:val="24"/>
      <w:szCs w:val="24"/>
    </w:rPr>
  </w:style>
  <w:style w:type="character" w:customStyle="1" w:styleId="Heading3Char">
    <w:name w:val="Heading 3 Char"/>
    <w:basedOn w:val="DefaultParagraphFont"/>
    <w:link w:val="Heading3"/>
    <w:rsid w:val="00A31159"/>
    <w:rPr>
      <w:rFonts w:ascii="Arial Black" w:hAnsi="Arial Black" w:cs="Arial"/>
      <w:b/>
      <w:color w:val="000000"/>
      <w:sz w:val="24"/>
      <w:szCs w:val="24"/>
    </w:rPr>
  </w:style>
  <w:style w:type="character" w:styleId="CommentReference">
    <w:name w:val="annotation reference"/>
    <w:basedOn w:val="DefaultParagraphFont"/>
    <w:semiHidden/>
    <w:unhideWhenUsed/>
    <w:rsid w:val="00203C79"/>
    <w:rPr>
      <w:sz w:val="16"/>
      <w:szCs w:val="16"/>
    </w:rPr>
  </w:style>
  <w:style w:type="paragraph" w:styleId="CommentText">
    <w:name w:val="annotation text"/>
    <w:basedOn w:val="Normal"/>
    <w:link w:val="CommentTextChar"/>
    <w:semiHidden/>
    <w:unhideWhenUsed/>
    <w:rsid w:val="00203C79"/>
    <w:rPr>
      <w:sz w:val="20"/>
      <w:szCs w:val="20"/>
    </w:rPr>
  </w:style>
  <w:style w:type="character" w:customStyle="1" w:styleId="CommentTextChar">
    <w:name w:val="Comment Text Char"/>
    <w:basedOn w:val="DefaultParagraphFont"/>
    <w:link w:val="CommentText"/>
    <w:semiHidden/>
    <w:rsid w:val="00203C79"/>
  </w:style>
  <w:style w:type="paragraph" w:styleId="CommentSubject">
    <w:name w:val="annotation subject"/>
    <w:basedOn w:val="CommentText"/>
    <w:next w:val="CommentText"/>
    <w:link w:val="CommentSubjectChar"/>
    <w:semiHidden/>
    <w:unhideWhenUsed/>
    <w:rsid w:val="00203C79"/>
    <w:rPr>
      <w:b/>
      <w:bCs/>
    </w:rPr>
  </w:style>
  <w:style w:type="character" w:customStyle="1" w:styleId="CommentSubjectChar">
    <w:name w:val="Comment Subject Char"/>
    <w:basedOn w:val="CommentTextChar"/>
    <w:link w:val="CommentSubject"/>
    <w:semiHidden/>
    <w:rsid w:val="00203C79"/>
    <w:rPr>
      <w:b/>
      <w:bCs/>
    </w:rPr>
  </w:style>
  <w:style w:type="paragraph" w:styleId="Revision">
    <w:name w:val="Revision"/>
    <w:hidden/>
    <w:uiPriority w:val="99"/>
    <w:semiHidden/>
    <w:rsid w:val="00203C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59"/>
    <w:rPr>
      <w:sz w:val="24"/>
      <w:szCs w:val="24"/>
    </w:rPr>
  </w:style>
  <w:style w:type="paragraph" w:styleId="Heading1">
    <w:name w:val="heading 1"/>
    <w:basedOn w:val="Subtitle"/>
    <w:next w:val="Normal"/>
    <w:link w:val="Heading1Char"/>
    <w:qFormat/>
    <w:rsid w:val="00A31159"/>
    <w:pPr>
      <w:spacing w:line="240" w:lineRule="auto"/>
      <w:outlineLvl w:val="0"/>
    </w:pPr>
    <w:rPr>
      <w:rFonts w:cs="Arial"/>
      <w:b/>
      <w:sz w:val="24"/>
      <w:szCs w:val="24"/>
    </w:rPr>
  </w:style>
  <w:style w:type="paragraph" w:styleId="Heading2">
    <w:name w:val="heading 2"/>
    <w:basedOn w:val="Heading1"/>
    <w:next w:val="Normal"/>
    <w:link w:val="Heading2Char"/>
    <w:unhideWhenUsed/>
    <w:qFormat/>
    <w:rsid w:val="00A31159"/>
    <w:pPr>
      <w:outlineLvl w:val="1"/>
    </w:pPr>
  </w:style>
  <w:style w:type="paragraph" w:styleId="Heading3">
    <w:name w:val="heading 3"/>
    <w:basedOn w:val="Heading1"/>
    <w:next w:val="Normal"/>
    <w:link w:val="Heading3Char"/>
    <w:unhideWhenUsed/>
    <w:qFormat/>
    <w:rsid w:val="00A3115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rsid w:val="00780F43"/>
    <w:rPr>
      <w:color w:val="0000FF"/>
      <w:u w:val="single"/>
    </w:rPr>
  </w:style>
  <w:style w:type="character" w:customStyle="1" w:styleId="Heading1Char">
    <w:name w:val="Heading 1 Char"/>
    <w:basedOn w:val="DefaultParagraphFont"/>
    <w:link w:val="Heading1"/>
    <w:rsid w:val="00A31159"/>
    <w:rPr>
      <w:rFonts w:ascii="Arial Black" w:hAnsi="Arial Black" w:cs="Arial"/>
      <w:b/>
      <w:color w:val="000000"/>
      <w:sz w:val="24"/>
      <w:szCs w:val="24"/>
    </w:rPr>
  </w:style>
  <w:style w:type="character" w:customStyle="1" w:styleId="Heading2Char">
    <w:name w:val="Heading 2 Char"/>
    <w:basedOn w:val="DefaultParagraphFont"/>
    <w:link w:val="Heading2"/>
    <w:rsid w:val="00A31159"/>
    <w:rPr>
      <w:rFonts w:ascii="Arial Black" w:hAnsi="Arial Black" w:cs="Arial"/>
      <w:b/>
      <w:color w:val="000000"/>
      <w:sz w:val="24"/>
      <w:szCs w:val="24"/>
    </w:rPr>
  </w:style>
  <w:style w:type="character" w:customStyle="1" w:styleId="Heading3Char">
    <w:name w:val="Heading 3 Char"/>
    <w:basedOn w:val="DefaultParagraphFont"/>
    <w:link w:val="Heading3"/>
    <w:rsid w:val="00A31159"/>
    <w:rPr>
      <w:rFonts w:ascii="Arial Black" w:hAnsi="Arial Black" w:cs="Arial"/>
      <w:b/>
      <w:color w:val="000000"/>
      <w:sz w:val="24"/>
      <w:szCs w:val="24"/>
    </w:rPr>
  </w:style>
  <w:style w:type="character" w:styleId="CommentReference">
    <w:name w:val="annotation reference"/>
    <w:basedOn w:val="DefaultParagraphFont"/>
    <w:semiHidden/>
    <w:unhideWhenUsed/>
    <w:rsid w:val="00203C79"/>
    <w:rPr>
      <w:sz w:val="16"/>
      <w:szCs w:val="16"/>
    </w:rPr>
  </w:style>
  <w:style w:type="paragraph" w:styleId="CommentText">
    <w:name w:val="annotation text"/>
    <w:basedOn w:val="Normal"/>
    <w:link w:val="CommentTextChar"/>
    <w:semiHidden/>
    <w:unhideWhenUsed/>
    <w:rsid w:val="00203C79"/>
    <w:rPr>
      <w:sz w:val="20"/>
      <w:szCs w:val="20"/>
    </w:rPr>
  </w:style>
  <w:style w:type="character" w:customStyle="1" w:styleId="CommentTextChar">
    <w:name w:val="Comment Text Char"/>
    <w:basedOn w:val="DefaultParagraphFont"/>
    <w:link w:val="CommentText"/>
    <w:semiHidden/>
    <w:rsid w:val="00203C79"/>
  </w:style>
  <w:style w:type="paragraph" w:styleId="CommentSubject">
    <w:name w:val="annotation subject"/>
    <w:basedOn w:val="CommentText"/>
    <w:next w:val="CommentText"/>
    <w:link w:val="CommentSubjectChar"/>
    <w:semiHidden/>
    <w:unhideWhenUsed/>
    <w:rsid w:val="00203C79"/>
    <w:rPr>
      <w:b/>
      <w:bCs/>
    </w:rPr>
  </w:style>
  <w:style w:type="character" w:customStyle="1" w:styleId="CommentSubjectChar">
    <w:name w:val="Comment Subject Char"/>
    <w:basedOn w:val="CommentTextChar"/>
    <w:link w:val="CommentSubject"/>
    <w:semiHidden/>
    <w:rsid w:val="00203C79"/>
    <w:rPr>
      <w:b/>
      <w:bCs/>
    </w:rPr>
  </w:style>
  <w:style w:type="paragraph" w:styleId="Revision">
    <w:name w:val="Revision"/>
    <w:hidden/>
    <w:uiPriority w:val="99"/>
    <w:semiHidden/>
    <w:rsid w:val="00203C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food-assistance-during-the-covid-19-emergency-0/download" TargetMode="External"/><Relationship Id="rId18" Type="http://schemas.openxmlformats.org/officeDocument/2006/relationships/hyperlink" Target="https://www.mass.gov/doc/como-conectar-a-sus-pacientes-con-recursos-de-alimentos-0/downloa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ass.gov/doc/asistencia-alimentaria-durante-la-emergencia-por-covid-19/download" TargetMode="External"/><Relationship Id="rId17" Type="http://schemas.openxmlformats.org/officeDocument/2006/relationships/hyperlink" Target="https://www.mass.gov/doc/connecting-your-patients-with-food-resources-0/download" TargetMode="External"/><Relationship Id="rId2" Type="http://schemas.openxmlformats.org/officeDocument/2006/relationships/numbering" Target="numbering.xml"/><Relationship Id="rId16" Type="http://schemas.openxmlformats.org/officeDocument/2006/relationships/hyperlink" Target="https://www.mass.gov/doc/como-conectar-a-sus-pacientes-con-recursos-de-alimentos/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food-assistance-during-the-covid-19-emergency/download" TargetMode="External"/><Relationship Id="rId5" Type="http://schemas.openxmlformats.org/officeDocument/2006/relationships/settings" Target="settings.xml"/><Relationship Id="rId15" Type="http://schemas.openxmlformats.org/officeDocument/2006/relationships/hyperlink" Target="https://www.mass.gov/doc/connecting-your-patients-with-food-resources/download" TargetMode="Externa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mass.gov/doc/asistencia-alimentaria-durante-la-emergencia-por-covid-19-0/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F81B0-B2B4-4A19-BB05-3489DF7A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2020-06-25T19:42:00Z</dcterms:created>
  <dcterms:modified xsi:type="dcterms:W3CDTF">2020-06-25T19:42:00Z</dcterms:modified>
</cp:coreProperties>
</file>