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80" w:rsidRDefault="007E4380" w:rsidP="007E4380">
      <w:pPr>
        <w:pStyle w:val="Noparagraphstyle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Number </w:t>
      </w:r>
      <w:r w:rsidR="00B468E4" w:rsidRPr="00D84D0C">
        <w:rPr>
          <w:rFonts w:ascii="Arial Narrow" w:hAnsi="Arial Narrow"/>
          <w:b/>
          <w:color w:val="auto"/>
          <w:sz w:val="20"/>
          <w:szCs w:val="20"/>
        </w:rPr>
        <w:t xml:space="preserve">153, </w:t>
      </w:r>
      <w:r w:rsidR="00B468E4" w:rsidRPr="00B472DF">
        <w:rPr>
          <w:rFonts w:ascii="Arial Narrow" w:hAnsi="Arial Narrow"/>
          <w:b/>
          <w:color w:val="auto"/>
          <w:sz w:val="20"/>
          <w:szCs w:val="20"/>
        </w:rPr>
        <w:t xml:space="preserve">September </w:t>
      </w:r>
      <w:r w:rsidR="00B472DF" w:rsidRPr="00B472DF">
        <w:rPr>
          <w:rFonts w:ascii="Arial Narrow" w:hAnsi="Arial Narrow"/>
          <w:b/>
          <w:color w:val="auto"/>
          <w:sz w:val="20"/>
          <w:szCs w:val="20"/>
        </w:rPr>
        <w:t>15</w:t>
      </w:r>
      <w:r w:rsidR="00B468E4" w:rsidRPr="00D84D0C">
        <w:rPr>
          <w:rFonts w:ascii="Arial Narrow" w:hAnsi="Arial Narrow"/>
          <w:b/>
          <w:color w:val="auto"/>
          <w:sz w:val="20"/>
          <w:szCs w:val="20"/>
        </w:rPr>
        <w:t>, 2020</w:t>
      </w:r>
    </w:p>
    <w:p w:rsidR="006F35F9" w:rsidRDefault="007E4380" w:rsidP="007E4380">
      <w:pPr>
        <w:tabs>
          <w:tab w:val="left" w:pos="10530"/>
        </w:tabs>
        <w:ind w:right="720"/>
        <w:rPr>
          <w:rFonts w:ascii="Arial" w:hAnsi="Arial" w:cs="Arial"/>
          <w:color w:val="000000"/>
          <w:sz w:val="21"/>
          <w:szCs w:val="21"/>
        </w:rPr>
        <w:sectPr w:rsidR="006F35F9" w:rsidSect="003C1739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b/>
          <w:noProof/>
        </w:rPr>
        <w:drawing>
          <wp:inline distT="0" distB="0" distL="0" distR="0">
            <wp:extent cx="6618819" cy="1713017"/>
            <wp:effectExtent l="0" t="0" r="0" b="1905"/>
            <wp:docPr id="9" name="Picture 1" descr="Pharmacy Facts provides pharmacists with information and updates about the MassHealth Pharmacy Program. &#10;Editor: Vic Vangel&#10;Contributors: Aimee Evers, Paul Jeffrey, Neha Kashalikar, Kim Lenz, Nancy Schiff, Vic Vangel " title="Pharmacy Fact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" descr="Pharmacy Facts provides pharmacists with information and updates about the MassHealth Pharmacy Program. &#10;Editor: Vic Vangel&#10;Contributors: Aimee Evers, Paul Jeffrey, Neha Kashalikar, Kim Lenz, Nancy Schiff, Vic Vangel " title="Pharmacy Facts bann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0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B83" w:rsidRPr="00140D3B" w:rsidRDefault="00DA7B83" w:rsidP="00DA7B83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lastRenderedPageBreak/>
        <w:t>MHDL Update</w:t>
      </w:r>
    </w:p>
    <w:p w:rsidR="00CD6D68" w:rsidRPr="00C60193" w:rsidRDefault="00CD6D68" w:rsidP="00CD6D68">
      <w:pPr>
        <w:rPr>
          <w:sz w:val="22"/>
          <w:szCs w:val="22"/>
        </w:rPr>
      </w:pPr>
    </w:p>
    <w:p w:rsidR="008F4F7C" w:rsidRDefault="008F4F7C" w:rsidP="008F4F7C">
      <w:pPr>
        <w:rPr>
          <w:rFonts w:ascii="Arial" w:hAnsi="Arial" w:cs="Arial"/>
          <w:sz w:val="22"/>
          <w:szCs w:val="22"/>
        </w:rPr>
      </w:pPr>
      <w:r w:rsidRPr="003F2E3D">
        <w:rPr>
          <w:rFonts w:ascii="Arial" w:hAnsi="Arial" w:cs="Arial"/>
          <w:sz w:val="22"/>
          <w:szCs w:val="22"/>
        </w:rPr>
        <w:t xml:space="preserve">Below are certain updates to the </w:t>
      </w:r>
      <w:proofErr w:type="spellStart"/>
      <w:r w:rsidRPr="003F2E3D">
        <w:rPr>
          <w:rFonts w:ascii="Arial" w:hAnsi="Arial" w:cs="Arial"/>
          <w:sz w:val="22"/>
          <w:szCs w:val="22"/>
        </w:rPr>
        <w:t>MassHealth</w:t>
      </w:r>
      <w:proofErr w:type="spellEnd"/>
      <w:r>
        <w:rPr>
          <w:rFonts w:ascii="Arial" w:hAnsi="Arial" w:cs="Arial"/>
          <w:sz w:val="22"/>
          <w:szCs w:val="22"/>
        </w:rPr>
        <w:t xml:space="preserve"> Drug List (MHDL). </w:t>
      </w:r>
      <w:r w:rsidRPr="003F2E3D">
        <w:rPr>
          <w:rFonts w:ascii="Arial" w:hAnsi="Arial" w:cs="Arial"/>
          <w:sz w:val="22"/>
          <w:szCs w:val="22"/>
        </w:rPr>
        <w:t>See the MHDL for a complete listing of updates.</w:t>
      </w:r>
    </w:p>
    <w:p w:rsidR="00B503C7" w:rsidRPr="008F4F7C" w:rsidRDefault="00B503C7" w:rsidP="008F4F7C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CD6D68" w:rsidRDefault="008F4F7C" w:rsidP="008F4F7C">
      <w:pPr>
        <w:pStyle w:val="Default"/>
        <w:tabs>
          <w:tab w:val="left" w:pos="90"/>
        </w:tabs>
        <w:spacing w:line="276" w:lineRule="auto"/>
        <w:ind w:left="360" w:hanging="360"/>
      </w:pPr>
      <w:r>
        <w:t>Additions</w:t>
      </w:r>
    </w:p>
    <w:p w:rsidR="008F4F7C" w:rsidRDefault="008F4F7C" w:rsidP="008F4F7C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  <w:szCs w:val="22"/>
        </w:rPr>
      </w:pPr>
      <w:r w:rsidRPr="003F2E3D">
        <w:rPr>
          <w:rFonts w:ascii="Arial" w:hAnsi="Arial" w:cs="Arial"/>
          <w:color w:val="000000"/>
          <w:sz w:val="22"/>
          <w:szCs w:val="21"/>
        </w:rPr>
        <w:t xml:space="preserve">Effective </w:t>
      </w:r>
      <w:bookmarkStart w:id="0" w:name="_Hlk48130613"/>
      <w:r w:rsidRPr="003F2E3D">
        <w:rPr>
          <w:rFonts w:ascii="Arial" w:hAnsi="Arial" w:cs="Arial"/>
          <w:color w:val="000000"/>
          <w:sz w:val="22"/>
          <w:szCs w:val="21"/>
        </w:rPr>
        <w:t>September 21</w:t>
      </w:r>
      <w:bookmarkEnd w:id="0"/>
      <w:r w:rsidRPr="003F2E3D">
        <w:rPr>
          <w:rFonts w:ascii="Arial" w:hAnsi="Arial" w:cs="Arial"/>
          <w:color w:val="000000"/>
          <w:sz w:val="22"/>
          <w:szCs w:val="21"/>
        </w:rPr>
        <w:t xml:space="preserve">, 2020, the following newly marketed drugs </w:t>
      </w:r>
      <w:proofErr w:type="gramStart"/>
      <w:r w:rsidRPr="003F2E3D">
        <w:rPr>
          <w:rFonts w:ascii="Arial" w:hAnsi="Arial" w:cs="Arial"/>
          <w:color w:val="000000"/>
          <w:sz w:val="22"/>
          <w:szCs w:val="21"/>
        </w:rPr>
        <w:t>have been added</w:t>
      </w:r>
      <w:proofErr w:type="gramEnd"/>
      <w:r w:rsidRPr="003F2E3D">
        <w:rPr>
          <w:rFonts w:ascii="Arial" w:hAnsi="Arial" w:cs="Arial"/>
          <w:color w:val="000000"/>
          <w:sz w:val="22"/>
          <w:szCs w:val="21"/>
        </w:rPr>
        <w:t xml:space="preserve"> to the </w:t>
      </w:r>
      <w:proofErr w:type="spellStart"/>
      <w:r w:rsidRPr="003F2E3D">
        <w:rPr>
          <w:rFonts w:ascii="Arial" w:hAnsi="Arial" w:cs="Arial"/>
          <w:color w:val="000000"/>
          <w:sz w:val="22"/>
          <w:szCs w:val="21"/>
        </w:rPr>
        <w:t>MassHealth</w:t>
      </w:r>
      <w:proofErr w:type="spellEnd"/>
      <w:r w:rsidRPr="003F2E3D">
        <w:rPr>
          <w:rFonts w:ascii="Arial" w:hAnsi="Arial" w:cs="Arial"/>
          <w:color w:val="000000"/>
          <w:sz w:val="22"/>
          <w:szCs w:val="21"/>
        </w:rPr>
        <w:t xml:space="preserve"> Drug List. </w:t>
      </w:r>
      <w:r w:rsidRPr="003F2E3D">
        <w:rPr>
          <w:rFonts w:ascii="Arial" w:hAnsi="Arial" w:cs="Arial"/>
          <w:color w:val="000000"/>
          <w:sz w:val="22"/>
          <w:szCs w:val="22"/>
          <w:highlight w:val="yellow"/>
        </w:rPr>
        <w:t xml:space="preserve"> </w:t>
      </w:r>
    </w:p>
    <w:p w:rsidR="008F4F7C" w:rsidRPr="00E64020" w:rsidRDefault="008F4F7C" w:rsidP="008F4F7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Fensolvi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(leuprolide) – </w:t>
      </w:r>
      <w:r w:rsidRPr="00E64020">
        <w:rPr>
          <w:rFonts w:ascii="Arial" w:hAnsi="Arial" w:cs="Arial"/>
          <w:b/>
          <w:bCs/>
          <w:color w:val="000000"/>
          <w:sz w:val="22"/>
          <w:szCs w:val="22"/>
        </w:rPr>
        <w:t>PA</w:t>
      </w:r>
    </w:p>
    <w:p w:rsidR="008F4F7C" w:rsidRPr="00E64020" w:rsidRDefault="008F4F7C" w:rsidP="008F4F7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Jelmyto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mitomycin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pyelocalyceal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solution) ^ – </w:t>
      </w:r>
      <w:r w:rsidRPr="00E64020">
        <w:rPr>
          <w:rFonts w:ascii="Arial" w:hAnsi="Arial" w:cs="Arial"/>
          <w:b/>
          <w:color w:val="000000"/>
          <w:sz w:val="22"/>
          <w:szCs w:val="22"/>
        </w:rPr>
        <w:t>PA</w:t>
      </w:r>
    </w:p>
    <w:p w:rsidR="008F4F7C" w:rsidRPr="00E64020" w:rsidRDefault="008F4F7C" w:rsidP="008F4F7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64020">
        <w:rPr>
          <w:rFonts w:ascii="Arial" w:hAnsi="Arial" w:cs="Arial"/>
          <w:bCs/>
          <w:color w:val="000000"/>
          <w:sz w:val="22"/>
          <w:szCs w:val="22"/>
        </w:rPr>
        <w:t>Licart</w:t>
      </w:r>
      <w:proofErr w:type="spellEnd"/>
      <w:r w:rsidRPr="00E6402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64020">
        <w:rPr>
          <w:rFonts w:ascii="Arial" w:hAnsi="Arial" w:cs="Arial"/>
          <w:color w:val="000000"/>
          <w:sz w:val="22"/>
          <w:szCs w:val="22"/>
        </w:rPr>
        <w:t>(diclofenac topical patch</w:t>
      </w:r>
      <w:bookmarkStart w:id="1" w:name="_Hlk47362325"/>
      <w:r w:rsidRPr="00E64020">
        <w:rPr>
          <w:rFonts w:ascii="Arial" w:hAnsi="Arial" w:cs="Arial"/>
          <w:color w:val="000000"/>
          <w:sz w:val="22"/>
          <w:szCs w:val="22"/>
        </w:rPr>
        <w:t>)</w:t>
      </w:r>
      <w:r w:rsidRPr="00E64020">
        <w:rPr>
          <w:rFonts w:ascii="Calibri" w:hAnsi="Calibri"/>
          <w:color w:val="000000"/>
        </w:rPr>
        <w:t xml:space="preserve"> </w:t>
      </w:r>
      <w:r w:rsidRPr="00E64020">
        <w:rPr>
          <w:rFonts w:ascii="Arial" w:hAnsi="Arial" w:cs="Arial"/>
          <w:color w:val="000000"/>
          <w:sz w:val="22"/>
          <w:szCs w:val="22"/>
        </w:rPr>
        <w:t xml:space="preserve">– </w:t>
      </w:r>
      <w:r w:rsidRPr="00E64020">
        <w:rPr>
          <w:rFonts w:ascii="Arial" w:hAnsi="Arial" w:cs="Arial"/>
          <w:b/>
          <w:color w:val="000000"/>
          <w:sz w:val="22"/>
          <w:szCs w:val="22"/>
        </w:rPr>
        <w:t>PA</w:t>
      </w:r>
      <w:bookmarkEnd w:id="1"/>
    </w:p>
    <w:p w:rsidR="008F4F7C" w:rsidRPr="00E64020" w:rsidRDefault="008F4F7C" w:rsidP="008F4F7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Pemazyre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pemigatinib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) – </w:t>
      </w:r>
      <w:r w:rsidRPr="00E64020">
        <w:rPr>
          <w:rFonts w:ascii="Arial" w:hAnsi="Arial" w:cs="Arial"/>
          <w:b/>
          <w:color w:val="000000"/>
          <w:sz w:val="22"/>
          <w:szCs w:val="22"/>
        </w:rPr>
        <w:t>PA</w:t>
      </w:r>
    </w:p>
    <w:p w:rsidR="008F4F7C" w:rsidRPr="00E64020" w:rsidRDefault="008F4F7C" w:rsidP="008F4F7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Retevmo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selpercatinib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) – </w:t>
      </w:r>
      <w:r w:rsidRPr="00E64020">
        <w:rPr>
          <w:rFonts w:ascii="Arial" w:hAnsi="Arial" w:cs="Arial"/>
          <w:b/>
          <w:bCs/>
          <w:color w:val="000000"/>
          <w:sz w:val="22"/>
          <w:szCs w:val="22"/>
        </w:rPr>
        <w:t>PA</w:t>
      </w:r>
    </w:p>
    <w:p w:rsidR="008F4F7C" w:rsidRPr="00E64020" w:rsidRDefault="008F4F7C" w:rsidP="008F4F7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Riomet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ER (metformin extended-release solution) – </w:t>
      </w:r>
      <w:r w:rsidRPr="00E64020">
        <w:rPr>
          <w:rFonts w:ascii="Arial" w:hAnsi="Arial" w:cs="Arial"/>
          <w:b/>
          <w:color w:val="000000"/>
          <w:sz w:val="22"/>
          <w:szCs w:val="22"/>
        </w:rPr>
        <w:t xml:space="preserve">PA </w:t>
      </w:r>
    </w:p>
    <w:p w:rsidR="008F4F7C" w:rsidRPr="00E64020" w:rsidRDefault="008F4F7C" w:rsidP="008F4F7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Rybelsus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semaglutide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tablet) – </w:t>
      </w:r>
      <w:r w:rsidRPr="00E64020">
        <w:rPr>
          <w:rFonts w:ascii="Arial" w:hAnsi="Arial" w:cs="Arial"/>
          <w:b/>
          <w:color w:val="000000"/>
          <w:sz w:val="22"/>
          <w:szCs w:val="22"/>
        </w:rPr>
        <w:t>PA</w:t>
      </w:r>
      <w:r w:rsidRPr="00E6402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F4F7C" w:rsidRPr="00E64020" w:rsidRDefault="008F4F7C" w:rsidP="008F4F7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Tabrecta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capmatinib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) – </w:t>
      </w:r>
      <w:r w:rsidRPr="00E64020">
        <w:rPr>
          <w:rFonts w:ascii="Arial" w:hAnsi="Arial" w:cs="Arial"/>
          <w:b/>
          <w:bCs/>
          <w:color w:val="000000"/>
          <w:sz w:val="22"/>
          <w:szCs w:val="22"/>
        </w:rPr>
        <w:t>PA</w:t>
      </w:r>
    </w:p>
    <w:p w:rsidR="008F4F7C" w:rsidRPr="00E64020" w:rsidRDefault="008F4F7C" w:rsidP="008F4F7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Tepezza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teprotumumab-trbw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) – </w:t>
      </w:r>
      <w:r w:rsidRPr="00E64020">
        <w:rPr>
          <w:rFonts w:ascii="Arial" w:hAnsi="Arial" w:cs="Arial"/>
          <w:b/>
          <w:bCs/>
          <w:color w:val="000000"/>
          <w:sz w:val="22"/>
          <w:szCs w:val="22"/>
        </w:rPr>
        <w:t>PA</w:t>
      </w:r>
    </w:p>
    <w:p w:rsidR="008F4F7C" w:rsidRPr="00E64020" w:rsidRDefault="008F4F7C" w:rsidP="008F4F7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Tivicay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37327">
        <w:rPr>
          <w:rFonts w:ascii="Arial" w:hAnsi="Arial" w:cs="Arial"/>
          <w:color w:val="000000"/>
          <w:sz w:val="22"/>
          <w:szCs w:val="22"/>
        </w:rPr>
        <w:t>PD</w:t>
      </w:r>
      <w:r w:rsidRPr="00E64020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dolutegravir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tablet for suspension)</w:t>
      </w:r>
    </w:p>
    <w:p w:rsidR="008F4F7C" w:rsidRPr="00E64020" w:rsidRDefault="008F4F7C" w:rsidP="008F4F7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Vyepti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eptinezumab-jjmr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) ^ – </w:t>
      </w:r>
      <w:r w:rsidRPr="00E64020">
        <w:rPr>
          <w:rFonts w:ascii="Arial" w:hAnsi="Arial" w:cs="Arial"/>
          <w:b/>
          <w:color w:val="000000"/>
          <w:sz w:val="22"/>
          <w:szCs w:val="22"/>
        </w:rPr>
        <w:t>PA</w:t>
      </w:r>
    </w:p>
    <w:p w:rsidR="008F4F7C" w:rsidRPr="00BD56DF" w:rsidRDefault="008F4F7C" w:rsidP="008F4F7C">
      <w:pPr>
        <w:numPr>
          <w:ilvl w:val="0"/>
          <w:numId w:val="2"/>
        </w:numPr>
        <w:autoSpaceDE w:val="0"/>
        <w:autoSpaceDN w:val="0"/>
        <w:adjustRightInd w:val="0"/>
        <w:spacing w:after="360" w:line="276" w:lineRule="auto"/>
        <w:ind w:left="360"/>
        <w:rPr>
          <w:rFonts w:ascii="Arial" w:hAnsi="Arial" w:cs="Arial"/>
          <w:sz w:val="22"/>
          <w:szCs w:val="22"/>
        </w:rPr>
      </w:pP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Zeposia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 w:rsidRPr="00E64020">
        <w:rPr>
          <w:rFonts w:ascii="Arial" w:hAnsi="Arial" w:cs="Arial"/>
          <w:color w:val="000000"/>
          <w:sz w:val="22"/>
          <w:szCs w:val="22"/>
        </w:rPr>
        <w:t>ozanimod</w:t>
      </w:r>
      <w:proofErr w:type="spellEnd"/>
      <w:r w:rsidRPr="00E64020">
        <w:rPr>
          <w:rFonts w:ascii="Arial" w:hAnsi="Arial" w:cs="Arial"/>
          <w:color w:val="000000"/>
          <w:sz w:val="22"/>
          <w:szCs w:val="22"/>
        </w:rPr>
        <w:t xml:space="preserve">) – </w:t>
      </w:r>
      <w:r w:rsidRPr="00E64020">
        <w:rPr>
          <w:rFonts w:ascii="Arial" w:hAnsi="Arial" w:cs="Arial"/>
          <w:b/>
          <w:color w:val="000000"/>
          <w:sz w:val="22"/>
          <w:szCs w:val="22"/>
        </w:rPr>
        <w:t>PA</w:t>
      </w:r>
    </w:p>
    <w:p w:rsidR="00905C46" w:rsidRPr="00254CB5" w:rsidRDefault="00254CB5" w:rsidP="00254CB5">
      <w:pPr>
        <w:autoSpaceDE w:val="0"/>
        <w:autoSpaceDN w:val="0"/>
        <w:adjustRightInd w:val="0"/>
        <w:spacing w:line="276" w:lineRule="auto"/>
        <w:rPr>
          <w:rFonts w:ascii="Arial Black" w:hAnsi="Arial Black" w:cs="Arial"/>
          <w:b/>
          <w:sz w:val="22"/>
          <w:szCs w:val="22"/>
        </w:rPr>
      </w:pPr>
      <w:r w:rsidRPr="00BD56DF">
        <w:rPr>
          <w:rFonts w:ascii="Arial Black" w:hAnsi="Arial Black"/>
          <w:b/>
        </w:rPr>
        <w:t xml:space="preserve">Change in Prior-Authorization </w:t>
      </w:r>
      <w:r>
        <w:rPr>
          <w:rFonts w:ascii="Arial Black" w:hAnsi="Arial Black"/>
          <w:b/>
        </w:rPr>
        <w:t xml:space="preserve">(PA) </w:t>
      </w:r>
      <w:r w:rsidRPr="00BD56DF">
        <w:rPr>
          <w:rFonts w:ascii="Arial Black" w:hAnsi="Arial Black"/>
          <w:b/>
        </w:rPr>
        <w:t xml:space="preserve">Status </w:t>
      </w:r>
    </w:p>
    <w:p w:rsidR="00254CB5" w:rsidRDefault="00254CB5" w:rsidP="00254CB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Effective </w:t>
      </w:r>
      <w:r w:rsidRPr="009357F0">
        <w:rPr>
          <w:rFonts w:ascii="Arial" w:hAnsi="Arial" w:cs="Arial"/>
          <w:color w:val="000000"/>
          <w:sz w:val="22"/>
          <w:szCs w:val="22"/>
        </w:rPr>
        <w:t xml:space="preserve">September 21, 2020, the following cardiovascular agents will no </w:t>
      </w:r>
      <w:proofErr w:type="gramStart"/>
      <w:r w:rsidRPr="009357F0">
        <w:rPr>
          <w:rFonts w:ascii="Arial" w:hAnsi="Arial" w:cs="Arial"/>
          <w:color w:val="000000"/>
          <w:sz w:val="22"/>
          <w:szCs w:val="22"/>
        </w:rPr>
        <w:t>longer</w:t>
      </w:r>
      <w:proofErr w:type="gramEnd"/>
      <w:r w:rsidRPr="009357F0">
        <w:rPr>
          <w:rFonts w:ascii="Arial" w:hAnsi="Arial" w:cs="Arial"/>
          <w:color w:val="000000"/>
          <w:sz w:val="22"/>
          <w:szCs w:val="22"/>
        </w:rPr>
        <w:t xml:space="preserve"> require </w:t>
      </w:r>
      <w:r>
        <w:rPr>
          <w:rFonts w:ascii="Arial" w:hAnsi="Arial" w:cs="Arial"/>
          <w:color w:val="000000"/>
          <w:sz w:val="22"/>
          <w:szCs w:val="22"/>
        </w:rPr>
        <w:t>PA</w:t>
      </w:r>
      <w:r w:rsidRPr="009357F0">
        <w:rPr>
          <w:rFonts w:ascii="Arial" w:hAnsi="Arial" w:cs="Arial"/>
          <w:color w:val="000000"/>
          <w:sz w:val="22"/>
          <w:szCs w:val="22"/>
        </w:rPr>
        <w:t>.</w:t>
      </w:r>
    </w:p>
    <w:p w:rsidR="00254CB5" w:rsidRPr="0051114A" w:rsidRDefault="00254CB5" w:rsidP="00254CB5">
      <w:pPr>
        <w:pStyle w:val="ListParagraph"/>
        <w:numPr>
          <w:ilvl w:val="0"/>
          <w:numId w:val="26"/>
        </w:numPr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Azor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1114A">
        <w:rPr>
          <w:rFonts w:ascii="Arial" w:hAnsi="Arial" w:cs="Arial"/>
          <w:color w:val="000000"/>
          <w:sz w:val="22"/>
          <w:szCs w:val="22"/>
        </w:rPr>
        <w:t># (amlodipine/</w:t>
      </w:r>
      <w:proofErr w:type="spellStart"/>
      <w:r w:rsidRPr="0051114A">
        <w:rPr>
          <w:rFonts w:ascii="Arial" w:hAnsi="Arial" w:cs="Arial"/>
          <w:color w:val="000000"/>
          <w:sz w:val="22"/>
          <w:szCs w:val="22"/>
        </w:rPr>
        <w:t>olmesartan</w:t>
      </w:r>
      <w:proofErr w:type="spellEnd"/>
      <w:r w:rsidRPr="0051114A">
        <w:rPr>
          <w:rFonts w:ascii="Arial" w:hAnsi="Arial" w:cs="Arial"/>
          <w:color w:val="000000"/>
          <w:sz w:val="22"/>
          <w:szCs w:val="22"/>
        </w:rPr>
        <w:t>)</w:t>
      </w:r>
    </w:p>
    <w:p w:rsidR="00254CB5" w:rsidRPr="00D17C49" w:rsidRDefault="00254CB5" w:rsidP="00254CB5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D17C49">
        <w:rPr>
          <w:rFonts w:ascii="Arial" w:hAnsi="Arial" w:cs="Arial"/>
          <w:sz w:val="22"/>
          <w:szCs w:val="22"/>
        </w:rPr>
        <w:t>Benicar # (</w:t>
      </w:r>
      <w:proofErr w:type="spellStart"/>
      <w:r w:rsidRPr="00D17C49">
        <w:rPr>
          <w:rFonts w:ascii="Arial" w:hAnsi="Arial" w:cs="Arial"/>
          <w:sz w:val="22"/>
          <w:szCs w:val="22"/>
        </w:rPr>
        <w:t>olmesartan</w:t>
      </w:r>
      <w:proofErr w:type="spellEnd"/>
      <w:r w:rsidRPr="00D17C49">
        <w:rPr>
          <w:rFonts w:ascii="Arial" w:hAnsi="Arial" w:cs="Arial"/>
          <w:sz w:val="22"/>
          <w:szCs w:val="22"/>
        </w:rPr>
        <w:t xml:space="preserve">) </w:t>
      </w:r>
    </w:p>
    <w:p w:rsidR="00254CB5" w:rsidRPr="00D17C49" w:rsidRDefault="00254CB5" w:rsidP="00254CB5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D17C49">
        <w:rPr>
          <w:rFonts w:ascii="Arial" w:hAnsi="Arial" w:cs="Arial"/>
          <w:sz w:val="22"/>
          <w:szCs w:val="22"/>
        </w:rPr>
        <w:t>Benicar HCT # (</w:t>
      </w:r>
      <w:proofErr w:type="spellStart"/>
      <w:r w:rsidRPr="00D17C49">
        <w:rPr>
          <w:rFonts w:ascii="Arial" w:hAnsi="Arial" w:cs="Arial"/>
          <w:sz w:val="22"/>
          <w:szCs w:val="22"/>
        </w:rPr>
        <w:t>olmesartan</w:t>
      </w:r>
      <w:proofErr w:type="spellEnd"/>
      <w:r w:rsidRPr="00D17C49">
        <w:rPr>
          <w:rFonts w:ascii="Arial" w:hAnsi="Arial" w:cs="Arial"/>
          <w:sz w:val="22"/>
          <w:szCs w:val="22"/>
        </w:rPr>
        <w:t>/</w:t>
      </w:r>
      <w:bookmarkStart w:id="2" w:name="_Hlk45523375"/>
      <w:r>
        <w:rPr>
          <w:rFonts w:ascii="Arial" w:hAnsi="Arial" w:cs="Arial"/>
          <w:sz w:val="22"/>
          <w:szCs w:val="22"/>
        </w:rPr>
        <w:t>hydrochlorothiazide</w:t>
      </w:r>
      <w:bookmarkEnd w:id="2"/>
      <w:r w:rsidRPr="00D17C49">
        <w:rPr>
          <w:rFonts w:ascii="Arial" w:hAnsi="Arial" w:cs="Arial"/>
          <w:sz w:val="22"/>
          <w:szCs w:val="22"/>
        </w:rPr>
        <w:t xml:space="preserve">) </w:t>
      </w:r>
    </w:p>
    <w:p w:rsidR="00254CB5" w:rsidRPr="00D17C49" w:rsidRDefault="00254CB5" w:rsidP="00254CB5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D17C49">
        <w:rPr>
          <w:rFonts w:ascii="Arial" w:hAnsi="Arial" w:cs="Arial"/>
          <w:sz w:val="22"/>
          <w:szCs w:val="22"/>
        </w:rPr>
        <w:t>Bystolic</w:t>
      </w:r>
      <w:proofErr w:type="spellEnd"/>
      <w:r w:rsidRPr="00D17C4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17C49">
        <w:rPr>
          <w:rFonts w:ascii="Arial" w:hAnsi="Arial" w:cs="Arial"/>
          <w:sz w:val="22"/>
          <w:szCs w:val="22"/>
        </w:rPr>
        <w:t>nebivolol</w:t>
      </w:r>
      <w:proofErr w:type="spellEnd"/>
      <w:r w:rsidRPr="00D17C49">
        <w:rPr>
          <w:rFonts w:ascii="Arial" w:hAnsi="Arial" w:cs="Arial"/>
          <w:sz w:val="22"/>
          <w:szCs w:val="22"/>
        </w:rPr>
        <w:t>)</w:t>
      </w:r>
    </w:p>
    <w:p w:rsidR="00254CB5" w:rsidRDefault="00254CB5" w:rsidP="00254CB5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D17C49">
        <w:rPr>
          <w:rFonts w:ascii="Arial" w:hAnsi="Arial" w:cs="Arial"/>
          <w:sz w:val="22"/>
          <w:szCs w:val="22"/>
        </w:rPr>
        <w:t>Corgard</w:t>
      </w:r>
      <w:proofErr w:type="spellEnd"/>
      <w:r w:rsidRPr="00D17C49">
        <w:rPr>
          <w:rFonts w:ascii="Arial" w:hAnsi="Arial" w:cs="Arial"/>
          <w:sz w:val="22"/>
          <w:szCs w:val="22"/>
        </w:rPr>
        <w:t xml:space="preserve"> # (</w:t>
      </w:r>
      <w:proofErr w:type="spellStart"/>
      <w:r w:rsidRPr="00D17C49">
        <w:rPr>
          <w:rFonts w:ascii="Arial" w:hAnsi="Arial" w:cs="Arial"/>
          <w:sz w:val="22"/>
          <w:szCs w:val="22"/>
        </w:rPr>
        <w:t>nadolol</w:t>
      </w:r>
      <w:proofErr w:type="spellEnd"/>
      <w:r w:rsidRPr="00D17C49">
        <w:rPr>
          <w:rFonts w:ascii="Arial" w:hAnsi="Arial" w:cs="Arial"/>
          <w:sz w:val="22"/>
          <w:szCs w:val="22"/>
        </w:rPr>
        <w:t>)</w:t>
      </w:r>
    </w:p>
    <w:p w:rsidR="00254CB5" w:rsidRDefault="00254CB5" w:rsidP="00254CB5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Edarbi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17C49">
        <w:rPr>
          <w:rFonts w:ascii="Arial" w:hAnsi="Arial" w:cs="Arial"/>
          <w:sz w:val="22"/>
          <w:szCs w:val="22"/>
        </w:rPr>
        <w:t>(</w:t>
      </w:r>
      <w:proofErr w:type="spellStart"/>
      <w:r w:rsidRPr="00D17C49">
        <w:rPr>
          <w:rFonts w:ascii="Arial" w:hAnsi="Arial" w:cs="Arial"/>
          <w:sz w:val="22"/>
          <w:szCs w:val="22"/>
        </w:rPr>
        <w:t>azilsartan</w:t>
      </w:r>
      <w:proofErr w:type="spellEnd"/>
      <w:r w:rsidRPr="00D17C49">
        <w:rPr>
          <w:rFonts w:ascii="Arial" w:hAnsi="Arial" w:cs="Arial"/>
          <w:sz w:val="22"/>
          <w:szCs w:val="22"/>
        </w:rPr>
        <w:t>)</w:t>
      </w:r>
    </w:p>
    <w:p w:rsidR="00254CB5" w:rsidRPr="00D17C49" w:rsidRDefault="00254CB5" w:rsidP="00254CB5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D17C49">
        <w:rPr>
          <w:rFonts w:ascii="Arial" w:hAnsi="Arial" w:cs="Arial"/>
          <w:sz w:val="22"/>
          <w:szCs w:val="22"/>
        </w:rPr>
        <w:t>Edarbyclor</w:t>
      </w:r>
      <w:proofErr w:type="spellEnd"/>
      <w:r w:rsidRPr="00D17C4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17C49">
        <w:rPr>
          <w:rFonts w:ascii="Arial" w:hAnsi="Arial" w:cs="Arial"/>
          <w:sz w:val="22"/>
          <w:szCs w:val="22"/>
        </w:rPr>
        <w:t>azilsartan</w:t>
      </w:r>
      <w:proofErr w:type="spellEnd"/>
      <w:r w:rsidRPr="00D17C49">
        <w:rPr>
          <w:rFonts w:ascii="Arial" w:hAnsi="Arial" w:cs="Arial"/>
          <w:sz w:val="22"/>
          <w:szCs w:val="22"/>
        </w:rPr>
        <w:t>/</w:t>
      </w:r>
      <w:proofErr w:type="spellStart"/>
      <w:r w:rsidRPr="00D17C49">
        <w:rPr>
          <w:rFonts w:ascii="Arial" w:hAnsi="Arial" w:cs="Arial"/>
          <w:sz w:val="22"/>
          <w:szCs w:val="22"/>
        </w:rPr>
        <w:t>chlorthalidone</w:t>
      </w:r>
      <w:proofErr w:type="spellEnd"/>
      <w:r w:rsidRPr="00D17C49">
        <w:rPr>
          <w:rFonts w:ascii="Arial" w:hAnsi="Arial" w:cs="Arial"/>
          <w:sz w:val="22"/>
          <w:szCs w:val="22"/>
        </w:rPr>
        <w:t>)</w:t>
      </w:r>
    </w:p>
    <w:p w:rsidR="00254CB5" w:rsidRDefault="00254CB5" w:rsidP="00254CB5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D17C49">
        <w:rPr>
          <w:rFonts w:ascii="Arial" w:hAnsi="Arial" w:cs="Arial"/>
          <w:sz w:val="22"/>
          <w:szCs w:val="22"/>
        </w:rPr>
        <w:t>Exforge</w:t>
      </w:r>
      <w:proofErr w:type="spellEnd"/>
      <w:r w:rsidRPr="00D17C49">
        <w:rPr>
          <w:rFonts w:ascii="Arial" w:hAnsi="Arial" w:cs="Arial"/>
          <w:sz w:val="22"/>
          <w:szCs w:val="22"/>
        </w:rPr>
        <w:t xml:space="preserve"> HCT # (valsartan/amlodipine/</w:t>
      </w:r>
    </w:p>
    <w:p w:rsidR="00254CB5" w:rsidRPr="00D17C49" w:rsidRDefault="00254CB5" w:rsidP="00254CB5">
      <w:pPr>
        <w:pStyle w:val="Default"/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hydrochlorothiazide</w:t>
      </w:r>
      <w:proofErr w:type="gramEnd"/>
      <w:r w:rsidRPr="00D17C49">
        <w:rPr>
          <w:rFonts w:ascii="Arial" w:hAnsi="Arial" w:cs="Arial"/>
          <w:sz w:val="22"/>
          <w:szCs w:val="22"/>
        </w:rPr>
        <w:t>)</w:t>
      </w:r>
    </w:p>
    <w:p w:rsidR="00254CB5" w:rsidRPr="00D17C49" w:rsidRDefault="00254CB5" w:rsidP="00254CB5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D17C49">
        <w:rPr>
          <w:rFonts w:ascii="Arial" w:hAnsi="Arial" w:cs="Arial"/>
          <w:sz w:val="22"/>
          <w:szCs w:val="22"/>
        </w:rPr>
        <w:t>Inspra</w:t>
      </w:r>
      <w:proofErr w:type="spellEnd"/>
      <w:r w:rsidRPr="00D17C49">
        <w:rPr>
          <w:rFonts w:ascii="Arial" w:hAnsi="Arial" w:cs="Arial"/>
          <w:sz w:val="22"/>
          <w:szCs w:val="22"/>
        </w:rPr>
        <w:t xml:space="preserve"> # (</w:t>
      </w:r>
      <w:proofErr w:type="spellStart"/>
      <w:r w:rsidRPr="00D17C49">
        <w:rPr>
          <w:rFonts w:ascii="Arial" w:hAnsi="Arial" w:cs="Arial"/>
          <w:sz w:val="22"/>
          <w:szCs w:val="22"/>
        </w:rPr>
        <w:t>eplerenone</w:t>
      </w:r>
      <w:proofErr w:type="spellEnd"/>
      <w:r w:rsidRPr="00D17C49">
        <w:rPr>
          <w:rFonts w:ascii="Arial" w:hAnsi="Arial" w:cs="Arial"/>
          <w:sz w:val="22"/>
          <w:szCs w:val="22"/>
        </w:rPr>
        <w:t>)</w:t>
      </w:r>
    </w:p>
    <w:p w:rsidR="00254CB5" w:rsidRPr="00D17C49" w:rsidRDefault="00254CB5" w:rsidP="00254CB5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D17C49">
        <w:rPr>
          <w:rFonts w:ascii="Arial" w:hAnsi="Arial" w:cs="Arial"/>
          <w:sz w:val="22"/>
          <w:szCs w:val="22"/>
        </w:rPr>
        <w:t>Micardis</w:t>
      </w:r>
      <w:proofErr w:type="spellEnd"/>
      <w:r w:rsidRPr="00D17C49">
        <w:rPr>
          <w:rFonts w:ascii="Arial" w:hAnsi="Arial" w:cs="Arial"/>
          <w:sz w:val="22"/>
          <w:szCs w:val="22"/>
        </w:rPr>
        <w:t xml:space="preserve"> # (</w:t>
      </w:r>
      <w:proofErr w:type="spellStart"/>
      <w:r w:rsidRPr="00D17C49">
        <w:rPr>
          <w:rFonts w:ascii="Arial" w:hAnsi="Arial" w:cs="Arial"/>
          <w:sz w:val="22"/>
          <w:szCs w:val="22"/>
        </w:rPr>
        <w:t>telmisartan</w:t>
      </w:r>
      <w:proofErr w:type="spellEnd"/>
      <w:r w:rsidRPr="00D17C49">
        <w:rPr>
          <w:rFonts w:ascii="Arial" w:hAnsi="Arial" w:cs="Arial"/>
          <w:sz w:val="22"/>
          <w:szCs w:val="22"/>
        </w:rPr>
        <w:t>)</w:t>
      </w:r>
    </w:p>
    <w:p w:rsidR="00254CB5" w:rsidRPr="00D17C49" w:rsidRDefault="00254CB5" w:rsidP="00254CB5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D17C49">
        <w:rPr>
          <w:rFonts w:ascii="Arial" w:hAnsi="Arial" w:cs="Arial"/>
          <w:sz w:val="22"/>
          <w:szCs w:val="22"/>
        </w:rPr>
        <w:t>Micardis</w:t>
      </w:r>
      <w:proofErr w:type="spellEnd"/>
      <w:r w:rsidRPr="00D17C49">
        <w:rPr>
          <w:rFonts w:ascii="Arial" w:hAnsi="Arial" w:cs="Arial"/>
          <w:sz w:val="22"/>
          <w:szCs w:val="22"/>
        </w:rPr>
        <w:t xml:space="preserve"> HCT # (</w:t>
      </w:r>
      <w:proofErr w:type="spellStart"/>
      <w:r w:rsidRPr="00D17C49">
        <w:rPr>
          <w:rFonts w:ascii="Arial" w:hAnsi="Arial" w:cs="Arial"/>
          <w:sz w:val="22"/>
          <w:szCs w:val="22"/>
        </w:rPr>
        <w:t>telmisartan</w:t>
      </w:r>
      <w:proofErr w:type="spellEnd"/>
      <w:r w:rsidRPr="00D17C4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hydrochlorothiazide</w:t>
      </w:r>
      <w:r w:rsidRPr="00D17C49">
        <w:rPr>
          <w:rFonts w:ascii="Arial" w:hAnsi="Arial" w:cs="Arial"/>
          <w:sz w:val="22"/>
          <w:szCs w:val="22"/>
        </w:rPr>
        <w:t>)</w:t>
      </w:r>
    </w:p>
    <w:p w:rsidR="00254CB5" w:rsidRPr="0051114A" w:rsidRDefault="00254CB5" w:rsidP="00254CB5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D17C49">
        <w:rPr>
          <w:rFonts w:ascii="Arial" w:hAnsi="Arial" w:cs="Arial"/>
          <w:sz w:val="22"/>
          <w:szCs w:val="22"/>
        </w:rPr>
        <w:t>Tekturna</w:t>
      </w:r>
      <w:proofErr w:type="spellEnd"/>
      <w:r w:rsidRPr="00D17C49">
        <w:rPr>
          <w:rFonts w:ascii="Arial" w:hAnsi="Arial" w:cs="Arial"/>
          <w:sz w:val="22"/>
          <w:szCs w:val="22"/>
        </w:rPr>
        <w:t xml:space="preserve"> HCT (</w:t>
      </w:r>
      <w:proofErr w:type="spellStart"/>
      <w:r w:rsidRPr="00D17C49">
        <w:rPr>
          <w:rFonts w:ascii="Arial" w:hAnsi="Arial" w:cs="Arial"/>
          <w:sz w:val="22"/>
          <w:szCs w:val="22"/>
        </w:rPr>
        <w:t>aliskiren</w:t>
      </w:r>
      <w:proofErr w:type="spellEnd"/>
      <w:r w:rsidRPr="00D17C4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hydrochlorothiazide</w:t>
      </w:r>
      <w:r w:rsidRPr="00D17C49">
        <w:rPr>
          <w:rFonts w:ascii="Arial" w:hAnsi="Arial" w:cs="Arial"/>
          <w:sz w:val="22"/>
          <w:szCs w:val="22"/>
        </w:rPr>
        <w:t>)</w:t>
      </w:r>
    </w:p>
    <w:p w:rsidR="00254CB5" w:rsidRDefault="00254CB5" w:rsidP="00254CB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Effective </w:t>
      </w:r>
      <w:r w:rsidRPr="00F91F74">
        <w:rPr>
          <w:rFonts w:ascii="Arial" w:hAnsi="Arial" w:cs="Arial"/>
          <w:color w:val="000000"/>
          <w:sz w:val="22"/>
          <w:szCs w:val="22"/>
        </w:rPr>
        <w:t xml:space="preserve">September 21, 2020, the following medications will require </w:t>
      </w:r>
      <w:r>
        <w:rPr>
          <w:rFonts w:ascii="Arial" w:hAnsi="Arial" w:cs="Arial"/>
          <w:color w:val="000000"/>
          <w:sz w:val="22"/>
          <w:szCs w:val="22"/>
        </w:rPr>
        <w:t>PA</w:t>
      </w:r>
      <w:r w:rsidRPr="00F91F74">
        <w:rPr>
          <w:rFonts w:ascii="Arial" w:hAnsi="Arial" w:cs="Arial"/>
          <w:color w:val="000000"/>
          <w:sz w:val="22"/>
          <w:szCs w:val="22"/>
        </w:rPr>
        <w:t xml:space="preserve"> below newly established age limits. Pediatric Behavioral Health Medication Initiative criteria will apply. For additional information, please see the Pediatric Behavioral Health Medication Initiative documents found at </w:t>
      </w:r>
      <w:hyperlink r:id="rId13" w:history="1">
        <w:r w:rsidRPr="00F91F74">
          <w:rPr>
            <w:rStyle w:val="Hyperlink"/>
            <w:rFonts w:ascii="Arial" w:hAnsi="Arial" w:cs="Arial"/>
            <w:sz w:val="22"/>
            <w:szCs w:val="22"/>
          </w:rPr>
          <w:t>www.mass.gov/druglist</w:t>
        </w:r>
      </w:hyperlink>
      <w:r w:rsidRPr="00F91F74">
        <w:rPr>
          <w:rFonts w:ascii="Arial" w:hAnsi="Arial" w:cs="Arial"/>
          <w:color w:val="000000"/>
          <w:sz w:val="22"/>
          <w:szCs w:val="22"/>
        </w:rPr>
        <w:t>.</w:t>
      </w:r>
    </w:p>
    <w:p w:rsidR="00254CB5" w:rsidRPr="00BA7C00" w:rsidRDefault="00254CB5" w:rsidP="00254CB5">
      <w:pPr>
        <w:pStyle w:val="ListParagraph"/>
        <w:numPr>
          <w:ilvl w:val="0"/>
          <w:numId w:val="27"/>
        </w:numPr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Aricept </w:t>
      </w:r>
      <w:r w:rsidRPr="00BA7C00">
        <w:rPr>
          <w:rFonts w:ascii="Arial" w:hAnsi="Arial" w:cs="Arial"/>
          <w:color w:val="000000"/>
          <w:sz w:val="22"/>
          <w:szCs w:val="22"/>
        </w:rPr>
        <w:t xml:space="preserve"># (donepezil 10 mg tablet) – </w:t>
      </w:r>
      <w:r w:rsidRPr="00BA7C00">
        <w:rPr>
          <w:rFonts w:ascii="Arial" w:hAnsi="Arial" w:cs="Arial"/>
          <w:b/>
          <w:color w:val="000000"/>
          <w:sz w:val="22"/>
          <w:szCs w:val="22"/>
        </w:rPr>
        <w:t>PA &lt; 6 years and PA &gt; 2 units/day</w:t>
      </w:r>
    </w:p>
    <w:p w:rsidR="00254CB5" w:rsidRPr="00BA7C00" w:rsidRDefault="00254CB5" w:rsidP="00254CB5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Aricept </w:t>
      </w:r>
      <w:r w:rsidRPr="00BA7C00">
        <w:rPr>
          <w:rFonts w:ascii="Arial" w:hAnsi="Arial" w:cs="Arial"/>
          <w:color w:val="000000"/>
          <w:sz w:val="22"/>
          <w:szCs w:val="22"/>
        </w:rPr>
        <w:t># (d</w:t>
      </w:r>
      <w:r>
        <w:rPr>
          <w:rFonts w:ascii="Arial" w:hAnsi="Arial" w:cs="Arial"/>
          <w:color w:val="000000"/>
          <w:sz w:val="22"/>
          <w:szCs w:val="22"/>
        </w:rPr>
        <w:t>onepezil 5</w:t>
      </w:r>
      <w:r w:rsidRPr="00BA7C00">
        <w:rPr>
          <w:rFonts w:ascii="Arial" w:hAnsi="Arial" w:cs="Arial"/>
          <w:color w:val="000000"/>
          <w:sz w:val="22"/>
          <w:szCs w:val="22"/>
        </w:rPr>
        <w:t xml:space="preserve"> mg tablet) – </w:t>
      </w:r>
      <w:r w:rsidRPr="00BA7C00">
        <w:rPr>
          <w:rFonts w:ascii="Arial" w:hAnsi="Arial" w:cs="Arial"/>
          <w:b/>
          <w:color w:val="000000"/>
          <w:sz w:val="22"/>
          <w:szCs w:val="22"/>
        </w:rPr>
        <w:t xml:space="preserve">PA &lt; 6 years and PA &gt; </w:t>
      </w:r>
      <w:r>
        <w:rPr>
          <w:rFonts w:ascii="Arial" w:hAnsi="Arial" w:cs="Arial"/>
          <w:b/>
          <w:color w:val="000000"/>
          <w:sz w:val="22"/>
          <w:szCs w:val="22"/>
        </w:rPr>
        <w:t>1 unit</w:t>
      </w:r>
      <w:r w:rsidRPr="00BA7C00">
        <w:rPr>
          <w:rFonts w:ascii="Arial" w:hAnsi="Arial" w:cs="Arial"/>
          <w:b/>
          <w:color w:val="000000"/>
          <w:sz w:val="22"/>
          <w:szCs w:val="22"/>
        </w:rPr>
        <w:t>/day</w:t>
      </w:r>
    </w:p>
    <w:p w:rsidR="00254CB5" w:rsidRPr="00F91BDF" w:rsidRDefault="00254CB5" w:rsidP="00254CB5">
      <w:pPr>
        <w:pStyle w:val="Default"/>
        <w:numPr>
          <w:ilvl w:val="0"/>
          <w:numId w:val="27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F91BDF">
        <w:rPr>
          <w:rFonts w:ascii="Arial" w:hAnsi="Arial" w:cs="Arial"/>
          <w:sz w:val="22"/>
          <w:szCs w:val="22"/>
        </w:rPr>
        <w:t xml:space="preserve">donepezil orally disintegrating tablet – </w:t>
      </w:r>
      <w:r w:rsidRPr="00F91BDF">
        <w:rPr>
          <w:rFonts w:ascii="Arial" w:hAnsi="Arial" w:cs="Arial"/>
          <w:b/>
          <w:sz w:val="22"/>
          <w:szCs w:val="22"/>
        </w:rPr>
        <w:t xml:space="preserve">PA &lt; 6 years and PA &gt; </w:t>
      </w:r>
      <w:r>
        <w:rPr>
          <w:rFonts w:ascii="Arial" w:hAnsi="Arial" w:cs="Arial"/>
          <w:b/>
          <w:sz w:val="22"/>
          <w:szCs w:val="22"/>
        </w:rPr>
        <w:t>1</w:t>
      </w:r>
      <w:r w:rsidRPr="00F91BDF">
        <w:rPr>
          <w:rFonts w:ascii="Arial" w:hAnsi="Arial" w:cs="Arial"/>
          <w:b/>
          <w:sz w:val="22"/>
          <w:szCs w:val="22"/>
        </w:rPr>
        <w:t xml:space="preserve"> unit/</w:t>
      </w:r>
      <w:r>
        <w:rPr>
          <w:rFonts w:ascii="Arial" w:hAnsi="Arial" w:cs="Arial"/>
          <w:b/>
          <w:sz w:val="22"/>
          <w:szCs w:val="22"/>
        </w:rPr>
        <w:t>day</w:t>
      </w:r>
    </w:p>
    <w:p w:rsidR="00254CB5" w:rsidRDefault="00254CB5" w:rsidP="00254CB5">
      <w:pPr>
        <w:pStyle w:val="Default"/>
        <w:numPr>
          <w:ilvl w:val="0"/>
          <w:numId w:val="27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naltrexone tablet </w:t>
      </w:r>
      <w:r w:rsidRPr="00F91BDF">
        <w:rPr>
          <w:rFonts w:ascii="Arial" w:hAnsi="Arial" w:cs="Arial"/>
          <w:sz w:val="22"/>
          <w:szCs w:val="22"/>
        </w:rPr>
        <w:t xml:space="preserve">– </w:t>
      </w:r>
      <w:r w:rsidRPr="00F91BDF">
        <w:rPr>
          <w:rFonts w:ascii="Arial" w:hAnsi="Arial" w:cs="Arial"/>
          <w:b/>
          <w:sz w:val="22"/>
          <w:szCs w:val="22"/>
        </w:rPr>
        <w:t>PA &lt; 6 years</w:t>
      </w:r>
    </w:p>
    <w:p w:rsidR="00254CB5" w:rsidRPr="00F91BDF" w:rsidRDefault="00254CB5" w:rsidP="00254CB5">
      <w:pPr>
        <w:pStyle w:val="Default"/>
        <w:numPr>
          <w:ilvl w:val="0"/>
          <w:numId w:val="27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F91BDF">
        <w:rPr>
          <w:rFonts w:ascii="Arial" w:hAnsi="Arial" w:cs="Arial"/>
          <w:sz w:val="22"/>
          <w:szCs w:val="22"/>
        </w:rPr>
        <w:t>Namenda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memantine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F91BDF">
        <w:rPr>
          <w:rFonts w:ascii="Arial" w:hAnsi="Arial" w:cs="Arial"/>
          <w:sz w:val="22"/>
          <w:szCs w:val="22"/>
        </w:rPr>
        <w:t>titration pack)</w:t>
      </w:r>
      <w:r>
        <w:rPr>
          <w:rFonts w:ascii="Arial" w:hAnsi="Arial" w:cs="Arial"/>
          <w:sz w:val="22"/>
          <w:szCs w:val="22"/>
        </w:rPr>
        <w:t xml:space="preserve"> – </w:t>
      </w:r>
      <w:r w:rsidRPr="00F91BDF">
        <w:rPr>
          <w:rFonts w:ascii="Arial" w:hAnsi="Arial" w:cs="Arial"/>
          <w:b/>
          <w:sz w:val="22"/>
          <w:szCs w:val="22"/>
        </w:rPr>
        <w:t>PA &lt; 6 years and PA &gt; 49 units/month</w:t>
      </w:r>
    </w:p>
    <w:p w:rsidR="00254CB5" w:rsidRPr="005E6932" w:rsidRDefault="00254CB5" w:rsidP="00254CB5">
      <w:pPr>
        <w:pStyle w:val="Default"/>
        <w:numPr>
          <w:ilvl w:val="0"/>
          <w:numId w:val="27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F91BDF">
        <w:rPr>
          <w:rFonts w:ascii="Arial" w:hAnsi="Arial" w:cs="Arial"/>
          <w:sz w:val="22"/>
          <w:szCs w:val="22"/>
        </w:rPr>
        <w:t>Namenda</w:t>
      </w:r>
      <w:r>
        <w:rPr>
          <w:rFonts w:ascii="Arial" w:hAnsi="Arial" w:cs="Arial"/>
          <w:sz w:val="22"/>
          <w:szCs w:val="22"/>
        </w:rPr>
        <w:t xml:space="preserve"> # (</w:t>
      </w:r>
      <w:proofErr w:type="spellStart"/>
      <w:r>
        <w:rPr>
          <w:rFonts w:ascii="Arial" w:hAnsi="Arial" w:cs="Arial"/>
          <w:sz w:val="22"/>
          <w:szCs w:val="22"/>
        </w:rPr>
        <w:t>memantine</w:t>
      </w:r>
      <w:proofErr w:type="spellEnd"/>
      <w:r>
        <w:rPr>
          <w:rFonts w:ascii="Arial" w:hAnsi="Arial" w:cs="Arial"/>
          <w:sz w:val="22"/>
          <w:szCs w:val="22"/>
        </w:rPr>
        <w:t xml:space="preserve"> tablet) </w:t>
      </w:r>
      <w:r w:rsidRPr="00F91BDF">
        <w:rPr>
          <w:rFonts w:ascii="Arial" w:hAnsi="Arial" w:cs="Arial"/>
          <w:sz w:val="22"/>
          <w:szCs w:val="22"/>
        </w:rPr>
        <w:t xml:space="preserve">– </w:t>
      </w:r>
      <w:r w:rsidRPr="00F91BDF">
        <w:rPr>
          <w:rFonts w:ascii="Arial" w:hAnsi="Arial" w:cs="Arial"/>
          <w:b/>
          <w:sz w:val="22"/>
          <w:szCs w:val="22"/>
        </w:rPr>
        <w:t xml:space="preserve">PA &lt; 6 years and PA &gt; </w:t>
      </w:r>
      <w:r>
        <w:rPr>
          <w:rFonts w:ascii="Arial" w:hAnsi="Arial" w:cs="Arial"/>
          <w:b/>
          <w:sz w:val="22"/>
          <w:szCs w:val="22"/>
        </w:rPr>
        <w:t>2</w:t>
      </w:r>
      <w:r w:rsidRPr="00F91BDF">
        <w:rPr>
          <w:rFonts w:ascii="Arial" w:hAnsi="Arial" w:cs="Arial"/>
          <w:b/>
          <w:sz w:val="22"/>
          <w:szCs w:val="22"/>
        </w:rPr>
        <w:t xml:space="preserve"> units/</w:t>
      </w:r>
      <w:r>
        <w:rPr>
          <w:rFonts w:ascii="Arial" w:hAnsi="Arial" w:cs="Arial"/>
          <w:b/>
          <w:sz w:val="22"/>
          <w:szCs w:val="22"/>
        </w:rPr>
        <w:t>day</w:t>
      </w:r>
    </w:p>
    <w:p w:rsidR="002B7789" w:rsidRDefault="00254CB5" w:rsidP="002B7789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val="fr-FR"/>
        </w:rPr>
        <w:t>Effec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tive </w:t>
      </w:r>
      <w:r w:rsidRPr="005E6932">
        <w:rPr>
          <w:rFonts w:ascii="Arial" w:hAnsi="Arial" w:cs="Arial"/>
          <w:color w:val="000000"/>
          <w:sz w:val="22"/>
          <w:szCs w:val="22"/>
        </w:rPr>
        <w:t xml:space="preserve">September 21, 2020, the following medications will require </w:t>
      </w:r>
      <w:r>
        <w:rPr>
          <w:rFonts w:ascii="Arial" w:hAnsi="Arial" w:cs="Arial"/>
          <w:color w:val="000000"/>
          <w:sz w:val="22"/>
          <w:szCs w:val="22"/>
        </w:rPr>
        <w:t>PA</w:t>
      </w:r>
      <w:r w:rsidRPr="005E6932">
        <w:rPr>
          <w:rFonts w:ascii="Arial" w:hAnsi="Arial" w:cs="Arial"/>
          <w:color w:val="000000"/>
          <w:sz w:val="22"/>
          <w:szCs w:val="22"/>
        </w:rPr>
        <w:t xml:space="preserve"> for Pediatric Behavioral </w:t>
      </w:r>
      <w:proofErr w:type="gramStart"/>
      <w:r w:rsidRPr="005E6932">
        <w:rPr>
          <w:rFonts w:ascii="Arial" w:hAnsi="Arial" w:cs="Arial"/>
          <w:color w:val="000000"/>
          <w:sz w:val="22"/>
          <w:szCs w:val="22"/>
        </w:rPr>
        <w:t>Health</w:t>
      </w:r>
      <w:r w:rsidR="002B7789">
        <w:rPr>
          <w:rFonts w:ascii="Arial" w:hAnsi="Arial" w:cs="Arial"/>
          <w:sz w:val="22"/>
          <w:szCs w:val="22"/>
        </w:rPr>
        <w:t xml:space="preserve"> </w:t>
      </w:r>
      <w:r w:rsidRPr="00D17C49">
        <w:rPr>
          <w:rFonts w:ascii="Arial" w:hAnsi="Arial" w:cs="Arial"/>
          <w:sz w:val="22"/>
          <w:szCs w:val="22"/>
        </w:rPr>
        <w:t xml:space="preserve"> </w:t>
      </w:r>
      <w:r w:rsidR="002B7789" w:rsidRPr="005E6932">
        <w:rPr>
          <w:rFonts w:ascii="Arial" w:hAnsi="Arial" w:cs="Arial"/>
          <w:color w:val="000000"/>
          <w:sz w:val="22"/>
          <w:szCs w:val="22"/>
        </w:rPr>
        <w:t>Medication</w:t>
      </w:r>
      <w:proofErr w:type="gramEnd"/>
      <w:r w:rsidR="002B7789" w:rsidRPr="005E6932">
        <w:rPr>
          <w:rFonts w:ascii="Arial" w:hAnsi="Arial" w:cs="Arial"/>
          <w:color w:val="000000"/>
          <w:sz w:val="22"/>
          <w:szCs w:val="22"/>
        </w:rPr>
        <w:t xml:space="preserve"> Initiative criteria. For additional information, please see the Pediatric Behavioral Health Medication Initiative documents found at </w:t>
      </w:r>
      <w:hyperlink r:id="rId14" w:history="1">
        <w:r w:rsidR="002B7789" w:rsidRPr="005E6932">
          <w:rPr>
            <w:rStyle w:val="Hyperlink"/>
            <w:rFonts w:ascii="Arial" w:hAnsi="Arial" w:cs="Arial"/>
            <w:sz w:val="22"/>
            <w:szCs w:val="22"/>
          </w:rPr>
          <w:t>www.mass.gov/druglist</w:t>
        </w:r>
      </w:hyperlink>
      <w:r w:rsidR="002B7789" w:rsidRPr="005E6932">
        <w:rPr>
          <w:rFonts w:ascii="Arial" w:hAnsi="Arial" w:cs="Arial"/>
          <w:color w:val="000000"/>
          <w:sz w:val="22"/>
          <w:szCs w:val="22"/>
        </w:rPr>
        <w:t>.</w:t>
      </w:r>
    </w:p>
    <w:p w:rsidR="00893BD2" w:rsidRPr="005E6932" w:rsidRDefault="00893BD2" w:rsidP="00893BD2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lastRenderedPageBreak/>
        <w:t>Aircept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32">
        <w:rPr>
          <w:rFonts w:ascii="Arial" w:hAnsi="Arial" w:cs="Arial"/>
          <w:color w:val="000000"/>
          <w:sz w:val="22"/>
          <w:szCs w:val="22"/>
        </w:rPr>
        <w:t xml:space="preserve">(donepezil 23 mg tablet) – </w:t>
      </w:r>
      <w:r w:rsidRPr="005E6932">
        <w:rPr>
          <w:rFonts w:ascii="Arial" w:hAnsi="Arial" w:cs="Arial"/>
          <w:b/>
          <w:color w:val="000000"/>
          <w:sz w:val="22"/>
          <w:szCs w:val="22"/>
        </w:rPr>
        <w:t>PA</w:t>
      </w:r>
    </w:p>
    <w:p w:rsidR="00893BD2" w:rsidRPr="005E6932" w:rsidRDefault="00893BD2" w:rsidP="00893BD2">
      <w:pPr>
        <w:pStyle w:val="ListParagraph"/>
        <w:numPr>
          <w:ilvl w:val="0"/>
          <w:numId w:val="28"/>
        </w:numPr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Namenda </w:t>
      </w:r>
      <w:r w:rsidRPr="005E6932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5E6932">
        <w:rPr>
          <w:rFonts w:ascii="Arial" w:hAnsi="Arial" w:cs="Arial"/>
          <w:color w:val="000000"/>
          <w:sz w:val="22"/>
          <w:szCs w:val="22"/>
        </w:rPr>
        <w:t>memantine</w:t>
      </w:r>
      <w:proofErr w:type="spellEnd"/>
      <w:r w:rsidRPr="005E6932">
        <w:rPr>
          <w:rFonts w:ascii="Arial" w:hAnsi="Arial" w:cs="Arial"/>
          <w:color w:val="000000"/>
          <w:sz w:val="22"/>
          <w:szCs w:val="22"/>
        </w:rPr>
        <w:t xml:space="preserve"> titration pack) – </w:t>
      </w:r>
      <w:r w:rsidRPr="005E6932">
        <w:rPr>
          <w:rFonts w:ascii="Arial" w:hAnsi="Arial" w:cs="Arial"/>
          <w:b/>
          <w:color w:val="000000"/>
          <w:sz w:val="22"/>
          <w:szCs w:val="22"/>
        </w:rPr>
        <w:t>PA &lt; 6 years and PA &gt; 49 units/month</w:t>
      </w:r>
    </w:p>
    <w:p w:rsidR="00893BD2" w:rsidRPr="005B529D" w:rsidRDefault="00893BD2" w:rsidP="00893BD2">
      <w:pPr>
        <w:pStyle w:val="Default"/>
        <w:numPr>
          <w:ilvl w:val="0"/>
          <w:numId w:val="28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Namenda XR</w:t>
      </w:r>
      <w:r w:rsidRPr="00F91BDF"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memantine</w:t>
      </w:r>
      <w:proofErr w:type="spellEnd"/>
      <w:r>
        <w:rPr>
          <w:rFonts w:ascii="Arial" w:hAnsi="Arial" w:cs="Arial"/>
          <w:sz w:val="22"/>
          <w:szCs w:val="22"/>
        </w:rPr>
        <w:t xml:space="preserve"> extended-release</w:t>
      </w:r>
      <w:r w:rsidRPr="00F91BD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  <w:vertAlign w:val="superscript"/>
        </w:rPr>
        <w:t xml:space="preserve"> BP</w:t>
      </w:r>
      <w:r w:rsidRPr="00F91BDF">
        <w:rPr>
          <w:rFonts w:ascii="Arial" w:hAnsi="Arial" w:cs="Arial"/>
          <w:sz w:val="22"/>
          <w:szCs w:val="22"/>
        </w:rPr>
        <w:t xml:space="preserve"> – </w:t>
      </w:r>
      <w:r w:rsidRPr="00F91BDF">
        <w:rPr>
          <w:rFonts w:ascii="Arial" w:hAnsi="Arial" w:cs="Arial"/>
          <w:b/>
          <w:sz w:val="22"/>
          <w:szCs w:val="22"/>
        </w:rPr>
        <w:t>PA</w:t>
      </w:r>
    </w:p>
    <w:p w:rsidR="00893BD2" w:rsidRPr="00D22765" w:rsidRDefault="00893BD2" w:rsidP="00893BD2">
      <w:pPr>
        <w:pStyle w:val="Default"/>
        <w:numPr>
          <w:ilvl w:val="0"/>
          <w:numId w:val="28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Namzaric</w:t>
      </w:r>
      <w:proofErr w:type="spellEnd"/>
      <w:r w:rsidRPr="00F91BDF"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memantine</w:t>
      </w:r>
      <w:proofErr w:type="spellEnd"/>
      <w:r>
        <w:rPr>
          <w:rFonts w:ascii="Arial" w:hAnsi="Arial" w:cs="Arial"/>
          <w:sz w:val="22"/>
          <w:szCs w:val="22"/>
        </w:rPr>
        <w:t>/donepezil extended-release</w:t>
      </w:r>
      <w:r w:rsidRPr="00F91BDF">
        <w:rPr>
          <w:rFonts w:ascii="Arial" w:hAnsi="Arial" w:cs="Arial"/>
          <w:sz w:val="22"/>
          <w:szCs w:val="22"/>
        </w:rPr>
        <w:t xml:space="preserve">) – </w:t>
      </w:r>
      <w:r w:rsidRPr="00F91BDF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A</w:t>
      </w:r>
    </w:p>
    <w:p w:rsidR="003E2DAB" w:rsidRDefault="003E2DAB" w:rsidP="003E2DAB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Effective </w:t>
      </w:r>
      <w:r w:rsidRPr="000E0A32">
        <w:rPr>
          <w:rFonts w:ascii="Arial" w:hAnsi="Arial" w:cs="Arial"/>
          <w:color w:val="000000"/>
          <w:sz w:val="22"/>
          <w:szCs w:val="22"/>
        </w:rPr>
        <w:t xml:space="preserve">September 21, 2020, the following medications will no </w:t>
      </w:r>
      <w:proofErr w:type="gramStart"/>
      <w:r w:rsidRPr="000E0A32">
        <w:rPr>
          <w:rFonts w:ascii="Arial" w:hAnsi="Arial" w:cs="Arial"/>
          <w:color w:val="000000"/>
          <w:sz w:val="22"/>
          <w:szCs w:val="22"/>
        </w:rPr>
        <w:t>longer</w:t>
      </w:r>
      <w:proofErr w:type="gramEnd"/>
      <w:r w:rsidRPr="000E0A32">
        <w:rPr>
          <w:rFonts w:ascii="Arial" w:hAnsi="Arial" w:cs="Arial"/>
          <w:color w:val="000000"/>
          <w:sz w:val="22"/>
          <w:szCs w:val="22"/>
        </w:rPr>
        <w:t xml:space="preserve"> require </w:t>
      </w:r>
      <w:r>
        <w:rPr>
          <w:rFonts w:ascii="Arial" w:hAnsi="Arial" w:cs="Arial"/>
          <w:color w:val="000000"/>
          <w:sz w:val="22"/>
          <w:szCs w:val="22"/>
        </w:rPr>
        <w:t>PA</w:t>
      </w:r>
      <w:r w:rsidRPr="000E0A32">
        <w:rPr>
          <w:rFonts w:ascii="Arial" w:hAnsi="Arial" w:cs="Arial"/>
          <w:color w:val="000000"/>
          <w:sz w:val="22"/>
          <w:szCs w:val="22"/>
        </w:rPr>
        <w:t xml:space="preserve"> within quantity limits. </w:t>
      </w:r>
      <w:r>
        <w:rPr>
          <w:rFonts w:ascii="Arial" w:hAnsi="Arial" w:cs="Arial"/>
          <w:color w:val="000000"/>
          <w:sz w:val="22"/>
          <w:szCs w:val="22"/>
        </w:rPr>
        <w:t>PA</w:t>
      </w:r>
      <w:r w:rsidRPr="000E0A32">
        <w:rPr>
          <w:rFonts w:ascii="Arial" w:hAnsi="Arial" w:cs="Arial"/>
          <w:color w:val="000000"/>
          <w:sz w:val="22"/>
          <w:szCs w:val="22"/>
        </w:rPr>
        <w:t xml:space="preserve"> below newly established age limits will be required. Pediatric Behavioral Health Medication Initiative criteria will apply. For additional information, please see the Pediatric Behavioral Health Medication Initiative documents found at </w:t>
      </w:r>
      <w:hyperlink r:id="rId15" w:history="1">
        <w:r w:rsidRPr="000E0A32">
          <w:rPr>
            <w:rStyle w:val="Hyperlink"/>
            <w:rFonts w:ascii="Arial" w:hAnsi="Arial" w:cs="Arial"/>
            <w:sz w:val="22"/>
            <w:szCs w:val="22"/>
          </w:rPr>
          <w:t>www.mass.gov/druglist</w:t>
        </w:r>
      </w:hyperlink>
      <w:r w:rsidRPr="000E0A32">
        <w:rPr>
          <w:rFonts w:ascii="Arial" w:hAnsi="Arial" w:cs="Arial"/>
          <w:color w:val="000000"/>
          <w:sz w:val="22"/>
          <w:szCs w:val="22"/>
        </w:rPr>
        <w:t>.</w:t>
      </w:r>
    </w:p>
    <w:p w:rsidR="003E2DAB" w:rsidRPr="009C338D" w:rsidRDefault="003E2DAB" w:rsidP="003E2DA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Nuvigil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C338D">
        <w:rPr>
          <w:rFonts w:ascii="Arial" w:hAnsi="Arial" w:cs="Arial"/>
          <w:color w:val="000000"/>
          <w:sz w:val="22"/>
          <w:szCs w:val="22"/>
        </w:rPr>
        <w:t># (</w:t>
      </w:r>
      <w:proofErr w:type="spellStart"/>
      <w:r w:rsidRPr="009C338D">
        <w:rPr>
          <w:rFonts w:ascii="Arial" w:hAnsi="Arial" w:cs="Arial"/>
          <w:color w:val="000000"/>
          <w:sz w:val="22"/>
          <w:szCs w:val="22"/>
        </w:rPr>
        <w:t>armodafinil</w:t>
      </w:r>
      <w:proofErr w:type="spellEnd"/>
      <w:r w:rsidRPr="009C338D">
        <w:rPr>
          <w:rFonts w:ascii="Arial" w:hAnsi="Arial" w:cs="Arial"/>
          <w:color w:val="000000"/>
          <w:sz w:val="22"/>
          <w:szCs w:val="22"/>
        </w:rPr>
        <w:t xml:space="preserve">) – </w:t>
      </w:r>
      <w:r w:rsidRPr="009C338D">
        <w:rPr>
          <w:rFonts w:ascii="Arial" w:hAnsi="Arial" w:cs="Arial"/>
          <w:b/>
          <w:color w:val="000000"/>
          <w:sz w:val="22"/>
          <w:szCs w:val="22"/>
        </w:rPr>
        <w:t>PA &lt; 6 years and PA &gt; 1 unit/day</w:t>
      </w:r>
    </w:p>
    <w:p w:rsidR="003E2DAB" w:rsidRPr="00DE2740" w:rsidRDefault="003E2DAB" w:rsidP="003E2DAB">
      <w:pPr>
        <w:pStyle w:val="Default"/>
        <w:numPr>
          <w:ilvl w:val="0"/>
          <w:numId w:val="29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Provigil # (</w:t>
      </w:r>
      <w:proofErr w:type="spellStart"/>
      <w:r>
        <w:rPr>
          <w:rFonts w:ascii="Arial" w:hAnsi="Arial" w:cs="Arial"/>
          <w:sz w:val="22"/>
          <w:szCs w:val="22"/>
        </w:rPr>
        <w:t>modafinil</w:t>
      </w:r>
      <w:proofErr w:type="spellEnd"/>
      <w:r>
        <w:rPr>
          <w:rFonts w:ascii="Arial" w:hAnsi="Arial" w:cs="Arial"/>
          <w:sz w:val="22"/>
          <w:szCs w:val="22"/>
        </w:rPr>
        <w:t xml:space="preserve"> 100 mg) – </w:t>
      </w:r>
      <w:r w:rsidRPr="00F91BDF">
        <w:rPr>
          <w:rFonts w:ascii="Arial" w:hAnsi="Arial" w:cs="Arial"/>
          <w:b/>
          <w:sz w:val="22"/>
          <w:szCs w:val="22"/>
        </w:rPr>
        <w:t xml:space="preserve">PA &lt; 6 years and PA &gt; </w:t>
      </w:r>
      <w:r>
        <w:rPr>
          <w:rFonts w:ascii="Arial" w:hAnsi="Arial" w:cs="Arial"/>
          <w:b/>
          <w:sz w:val="22"/>
          <w:szCs w:val="22"/>
        </w:rPr>
        <w:t>1.5</w:t>
      </w:r>
      <w:r w:rsidRPr="00F91BDF">
        <w:rPr>
          <w:rFonts w:ascii="Arial" w:hAnsi="Arial" w:cs="Arial"/>
          <w:b/>
          <w:sz w:val="22"/>
          <w:szCs w:val="22"/>
        </w:rPr>
        <w:t xml:space="preserve"> units/</w:t>
      </w:r>
      <w:r>
        <w:rPr>
          <w:rFonts w:ascii="Arial" w:hAnsi="Arial" w:cs="Arial"/>
          <w:b/>
          <w:sz w:val="22"/>
          <w:szCs w:val="22"/>
        </w:rPr>
        <w:t>day</w:t>
      </w:r>
    </w:p>
    <w:p w:rsidR="003E2DAB" w:rsidRPr="009C338D" w:rsidRDefault="003E2DAB" w:rsidP="003E2DAB">
      <w:pPr>
        <w:pStyle w:val="Default"/>
        <w:numPr>
          <w:ilvl w:val="0"/>
          <w:numId w:val="29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Provigil # (</w:t>
      </w:r>
      <w:proofErr w:type="spellStart"/>
      <w:r>
        <w:rPr>
          <w:rFonts w:ascii="Arial" w:hAnsi="Arial" w:cs="Arial"/>
          <w:sz w:val="22"/>
          <w:szCs w:val="22"/>
        </w:rPr>
        <w:t>modafinil</w:t>
      </w:r>
      <w:proofErr w:type="spellEnd"/>
      <w:r>
        <w:rPr>
          <w:rFonts w:ascii="Arial" w:hAnsi="Arial" w:cs="Arial"/>
          <w:sz w:val="22"/>
          <w:szCs w:val="22"/>
        </w:rPr>
        <w:t xml:space="preserve"> 200 mg) </w:t>
      </w:r>
      <w:r w:rsidRPr="006A5521">
        <w:rPr>
          <w:rFonts w:ascii="Arial" w:hAnsi="Arial" w:cs="Arial"/>
          <w:sz w:val="22"/>
          <w:szCs w:val="22"/>
        </w:rPr>
        <w:t xml:space="preserve">– </w:t>
      </w:r>
      <w:r w:rsidRPr="006A5521">
        <w:rPr>
          <w:rFonts w:ascii="Arial" w:hAnsi="Arial" w:cs="Arial"/>
          <w:b/>
          <w:sz w:val="22"/>
          <w:szCs w:val="22"/>
        </w:rPr>
        <w:t>PA &lt; 6 years and PA &gt; 2 units/day</w:t>
      </w:r>
    </w:p>
    <w:p w:rsidR="00C723B5" w:rsidRPr="00BE1214" w:rsidRDefault="00C723B5" w:rsidP="00C723B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Effective </w:t>
      </w:r>
      <w:r w:rsidRPr="003D2AA6">
        <w:rPr>
          <w:rFonts w:ascii="Arial" w:hAnsi="Arial" w:cs="Arial"/>
          <w:color w:val="000000"/>
          <w:sz w:val="22"/>
          <w:szCs w:val="22"/>
        </w:rPr>
        <w:t xml:space="preserve">September 21, 2020, the following topical corticosteroid agent will require </w:t>
      </w:r>
      <w:r>
        <w:rPr>
          <w:rFonts w:ascii="Arial" w:hAnsi="Arial" w:cs="Arial"/>
          <w:color w:val="000000"/>
          <w:sz w:val="22"/>
          <w:szCs w:val="22"/>
        </w:rPr>
        <w:t>PA</w:t>
      </w:r>
      <w:r w:rsidRPr="003D2AA6">
        <w:rPr>
          <w:rFonts w:ascii="Arial" w:hAnsi="Arial" w:cs="Arial"/>
          <w:color w:val="000000"/>
          <w:sz w:val="22"/>
          <w:szCs w:val="22"/>
        </w:rPr>
        <w:t>.</w:t>
      </w:r>
    </w:p>
    <w:p w:rsidR="00C723B5" w:rsidRPr="003D2AA6" w:rsidRDefault="00C723B5" w:rsidP="00C723B5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Locoid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D2AA6">
        <w:rPr>
          <w:rFonts w:ascii="Arial" w:hAnsi="Arial" w:cs="Arial"/>
          <w:color w:val="000000"/>
          <w:sz w:val="22"/>
          <w:szCs w:val="22"/>
        </w:rPr>
        <w:t>Lipocream</w:t>
      </w:r>
      <w:proofErr w:type="spellEnd"/>
      <w:r w:rsidRPr="003D2AA6">
        <w:rPr>
          <w:rFonts w:ascii="Arial" w:hAnsi="Arial" w:cs="Arial"/>
          <w:color w:val="000000"/>
          <w:sz w:val="22"/>
          <w:szCs w:val="22"/>
        </w:rPr>
        <w:t xml:space="preserve"> (hydrocortisone butyrate/emollient) – </w:t>
      </w:r>
      <w:r w:rsidRPr="003D2AA6">
        <w:rPr>
          <w:rFonts w:ascii="Arial" w:hAnsi="Arial" w:cs="Arial"/>
          <w:b/>
          <w:color w:val="000000"/>
          <w:sz w:val="22"/>
          <w:szCs w:val="22"/>
        </w:rPr>
        <w:t>PA</w:t>
      </w:r>
      <w:r w:rsidRPr="003D2AA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723B5" w:rsidRPr="00DC646B" w:rsidRDefault="00C723B5" w:rsidP="00C723B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Effective </w:t>
      </w:r>
      <w:r w:rsidRPr="00DC646B">
        <w:rPr>
          <w:rFonts w:ascii="Arial" w:hAnsi="Arial" w:cs="Arial"/>
          <w:color w:val="000000"/>
          <w:sz w:val="22"/>
          <w:szCs w:val="22"/>
        </w:rPr>
        <w:t xml:space="preserve">September 21, 2020, the following antidiabetic agents will no </w:t>
      </w:r>
      <w:proofErr w:type="gramStart"/>
      <w:r w:rsidRPr="00DC646B">
        <w:rPr>
          <w:rFonts w:ascii="Arial" w:hAnsi="Arial" w:cs="Arial"/>
          <w:color w:val="000000"/>
          <w:sz w:val="22"/>
          <w:szCs w:val="22"/>
        </w:rPr>
        <w:t>longer</w:t>
      </w:r>
      <w:proofErr w:type="gramEnd"/>
      <w:r w:rsidRPr="00DC646B">
        <w:rPr>
          <w:rFonts w:ascii="Arial" w:hAnsi="Arial" w:cs="Arial"/>
          <w:color w:val="000000"/>
          <w:sz w:val="22"/>
          <w:szCs w:val="22"/>
        </w:rPr>
        <w:t xml:space="preserve"> require </w:t>
      </w:r>
      <w:r>
        <w:rPr>
          <w:rFonts w:ascii="Arial" w:hAnsi="Arial" w:cs="Arial"/>
          <w:color w:val="000000"/>
          <w:sz w:val="22"/>
          <w:szCs w:val="22"/>
        </w:rPr>
        <w:t>PA.</w:t>
      </w:r>
      <w:r w:rsidRPr="00DC646B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646B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</w:p>
    <w:p w:rsidR="00C723B5" w:rsidRPr="00DC646B" w:rsidRDefault="00C723B5" w:rsidP="00C723B5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Actoplus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C646B">
        <w:rPr>
          <w:rFonts w:ascii="Arial" w:hAnsi="Arial" w:cs="Arial"/>
          <w:sz w:val="22"/>
          <w:szCs w:val="22"/>
        </w:rPr>
        <w:t>Met # (pioglitazone/metformin)</w:t>
      </w:r>
    </w:p>
    <w:p w:rsidR="00C723B5" w:rsidRPr="00186662" w:rsidRDefault="00C723B5" w:rsidP="00C723B5">
      <w:pPr>
        <w:pStyle w:val="Default"/>
        <w:numPr>
          <w:ilvl w:val="0"/>
          <w:numId w:val="1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186662">
        <w:rPr>
          <w:rFonts w:ascii="Arial" w:hAnsi="Arial" w:cs="Arial"/>
          <w:sz w:val="22"/>
          <w:szCs w:val="22"/>
        </w:rPr>
        <w:t>Actoplus</w:t>
      </w:r>
      <w:proofErr w:type="spellEnd"/>
      <w:r w:rsidRPr="00186662">
        <w:rPr>
          <w:rFonts w:ascii="Arial" w:hAnsi="Arial" w:cs="Arial"/>
          <w:sz w:val="22"/>
          <w:szCs w:val="22"/>
        </w:rPr>
        <w:t xml:space="preserve"> Met XR (pioglitazone/metformin extended-release)</w:t>
      </w:r>
    </w:p>
    <w:p w:rsidR="00C723B5" w:rsidRPr="00186662" w:rsidRDefault="00C723B5" w:rsidP="00C723B5">
      <w:pPr>
        <w:pStyle w:val="Default"/>
        <w:numPr>
          <w:ilvl w:val="0"/>
          <w:numId w:val="1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186662">
        <w:rPr>
          <w:rFonts w:ascii="Arial" w:hAnsi="Arial" w:cs="Arial"/>
          <w:sz w:val="22"/>
          <w:szCs w:val="22"/>
        </w:rPr>
        <w:t>Avandia (rosiglitazone)</w:t>
      </w:r>
    </w:p>
    <w:p w:rsidR="00C723B5" w:rsidRPr="00186662" w:rsidRDefault="00C723B5" w:rsidP="00C723B5">
      <w:pPr>
        <w:pStyle w:val="Default"/>
        <w:numPr>
          <w:ilvl w:val="0"/>
          <w:numId w:val="1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186662">
        <w:rPr>
          <w:rFonts w:ascii="Arial" w:hAnsi="Arial" w:cs="Arial"/>
          <w:sz w:val="22"/>
          <w:szCs w:val="22"/>
        </w:rPr>
        <w:t>Cycloset</w:t>
      </w:r>
      <w:proofErr w:type="spellEnd"/>
      <w:r w:rsidRPr="00186662">
        <w:rPr>
          <w:rFonts w:ascii="Arial" w:hAnsi="Arial" w:cs="Arial"/>
          <w:sz w:val="22"/>
          <w:szCs w:val="22"/>
        </w:rPr>
        <w:t xml:space="preserve"> (bromocriptine</w:t>
      </w:r>
      <w:r>
        <w:rPr>
          <w:rFonts w:ascii="Arial" w:hAnsi="Arial" w:cs="Arial"/>
          <w:sz w:val="22"/>
          <w:szCs w:val="22"/>
        </w:rPr>
        <w:t xml:space="preserve"> 0.8 mg tablet</w:t>
      </w:r>
      <w:r w:rsidRPr="00186662">
        <w:rPr>
          <w:rFonts w:ascii="Arial" w:hAnsi="Arial" w:cs="Arial"/>
          <w:sz w:val="22"/>
          <w:szCs w:val="22"/>
        </w:rPr>
        <w:t xml:space="preserve">) </w:t>
      </w:r>
    </w:p>
    <w:p w:rsidR="00C723B5" w:rsidRPr="00186662" w:rsidRDefault="00C723B5" w:rsidP="00C723B5">
      <w:pPr>
        <w:pStyle w:val="Default"/>
        <w:numPr>
          <w:ilvl w:val="0"/>
          <w:numId w:val="1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186662">
        <w:rPr>
          <w:rFonts w:ascii="Arial" w:hAnsi="Arial" w:cs="Arial"/>
          <w:sz w:val="22"/>
          <w:szCs w:val="22"/>
        </w:rPr>
        <w:t>Invokamet</w:t>
      </w:r>
      <w:proofErr w:type="spellEnd"/>
      <w:r w:rsidRPr="00186662">
        <w:rPr>
          <w:rFonts w:ascii="Arial" w:hAnsi="Arial" w:cs="Arial"/>
          <w:sz w:val="22"/>
          <w:szCs w:val="22"/>
        </w:rPr>
        <w:t xml:space="preserve"> XR (</w:t>
      </w:r>
      <w:proofErr w:type="spellStart"/>
      <w:r w:rsidRPr="00186662">
        <w:rPr>
          <w:rFonts w:ascii="Arial" w:hAnsi="Arial" w:cs="Arial"/>
          <w:sz w:val="22"/>
          <w:szCs w:val="22"/>
        </w:rPr>
        <w:t>canagliflozin</w:t>
      </w:r>
      <w:proofErr w:type="spellEnd"/>
      <w:r w:rsidRPr="00186662">
        <w:rPr>
          <w:rFonts w:ascii="Arial" w:hAnsi="Arial" w:cs="Arial"/>
          <w:sz w:val="22"/>
          <w:szCs w:val="22"/>
        </w:rPr>
        <w:t>/metformin extended-release)</w:t>
      </w:r>
    </w:p>
    <w:p w:rsidR="00C723B5" w:rsidRPr="00186662" w:rsidRDefault="00C723B5" w:rsidP="00C723B5">
      <w:pPr>
        <w:pStyle w:val="Default"/>
        <w:numPr>
          <w:ilvl w:val="0"/>
          <w:numId w:val="1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186662">
        <w:rPr>
          <w:rFonts w:ascii="Arial" w:hAnsi="Arial" w:cs="Arial"/>
          <w:sz w:val="22"/>
          <w:szCs w:val="22"/>
        </w:rPr>
        <w:t>Jentadueto</w:t>
      </w:r>
      <w:proofErr w:type="spellEnd"/>
      <w:r w:rsidRPr="00186662">
        <w:rPr>
          <w:rFonts w:ascii="Arial" w:hAnsi="Arial" w:cs="Arial"/>
          <w:sz w:val="22"/>
          <w:szCs w:val="22"/>
        </w:rPr>
        <w:t xml:space="preserve"> XR (</w:t>
      </w:r>
      <w:proofErr w:type="spellStart"/>
      <w:r w:rsidRPr="00186662">
        <w:rPr>
          <w:rFonts w:ascii="Arial" w:hAnsi="Arial" w:cs="Arial"/>
          <w:sz w:val="22"/>
          <w:szCs w:val="22"/>
        </w:rPr>
        <w:t>linagliptin</w:t>
      </w:r>
      <w:proofErr w:type="spellEnd"/>
      <w:r w:rsidRPr="00186662">
        <w:rPr>
          <w:rFonts w:ascii="Arial" w:hAnsi="Arial" w:cs="Arial"/>
          <w:sz w:val="22"/>
          <w:szCs w:val="22"/>
        </w:rPr>
        <w:t>/metformin</w:t>
      </w:r>
      <w:r>
        <w:rPr>
          <w:rFonts w:ascii="Arial" w:hAnsi="Arial" w:cs="Arial"/>
          <w:sz w:val="22"/>
          <w:szCs w:val="22"/>
        </w:rPr>
        <w:t xml:space="preserve"> </w:t>
      </w:r>
      <w:r w:rsidRPr="00186662">
        <w:rPr>
          <w:rFonts w:ascii="Arial" w:hAnsi="Arial" w:cs="Arial"/>
          <w:sz w:val="22"/>
          <w:szCs w:val="22"/>
        </w:rPr>
        <w:t>extended-release)</w:t>
      </w:r>
    </w:p>
    <w:p w:rsidR="00C723B5" w:rsidRPr="00186662" w:rsidRDefault="00C723B5" w:rsidP="00C723B5">
      <w:pPr>
        <w:pStyle w:val="Default"/>
        <w:numPr>
          <w:ilvl w:val="0"/>
          <w:numId w:val="1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186662">
        <w:rPr>
          <w:rFonts w:ascii="Arial" w:hAnsi="Arial" w:cs="Arial"/>
          <w:sz w:val="22"/>
          <w:szCs w:val="22"/>
        </w:rPr>
        <w:t>Symlin</w:t>
      </w:r>
      <w:proofErr w:type="spellEnd"/>
      <w:r w:rsidRPr="0018666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86662">
        <w:rPr>
          <w:rFonts w:ascii="Arial" w:hAnsi="Arial" w:cs="Arial"/>
          <w:sz w:val="22"/>
          <w:szCs w:val="22"/>
        </w:rPr>
        <w:t>pramlintide</w:t>
      </w:r>
      <w:proofErr w:type="spellEnd"/>
      <w:r w:rsidRPr="00186662">
        <w:rPr>
          <w:rFonts w:ascii="Arial" w:hAnsi="Arial" w:cs="Arial"/>
          <w:sz w:val="22"/>
          <w:szCs w:val="22"/>
        </w:rPr>
        <w:t>)</w:t>
      </w:r>
    </w:p>
    <w:p w:rsidR="00C723B5" w:rsidRDefault="00C723B5" w:rsidP="00C723B5">
      <w:pPr>
        <w:pStyle w:val="Default"/>
        <w:numPr>
          <w:ilvl w:val="0"/>
          <w:numId w:val="1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186662">
        <w:rPr>
          <w:rFonts w:ascii="Arial" w:hAnsi="Arial" w:cs="Arial"/>
          <w:sz w:val="22"/>
          <w:szCs w:val="22"/>
        </w:rPr>
        <w:t>Synjardy</w:t>
      </w:r>
      <w:proofErr w:type="spellEnd"/>
      <w:r w:rsidRPr="0018666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86662">
        <w:rPr>
          <w:rFonts w:ascii="Arial" w:hAnsi="Arial" w:cs="Arial"/>
          <w:sz w:val="22"/>
          <w:szCs w:val="22"/>
        </w:rPr>
        <w:t>empagliflozin</w:t>
      </w:r>
      <w:proofErr w:type="spellEnd"/>
      <w:r w:rsidRPr="00186662">
        <w:rPr>
          <w:rFonts w:ascii="Arial" w:hAnsi="Arial" w:cs="Arial"/>
          <w:sz w:val="22"/>
          <w:szCs w:val="22"/>
        </w:rPr>
        <w:t>/metformin)</w:t>
      </w:r>
    </w:p>
    <w:p w:rsidR="00C723B5" w:rsidRPr="00186662" w:rsidRDefault="00C723B5" w:rsidP="00C723B5">
      <w:pPr>
        <w:pStyle w:val="Default"/>
        <w:numPr>
          <w:ilvl w:val="0"/>
          <w:numId w:val="1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Synjardy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54071">
        <w:rPr>
          <w:rFonts w:ascii="Arial" w:hAnsi="Arial" w:cs="Arial"/>
          <w:sz w:val="22"/>
          <w:szCs w:val="22"/>
        </w:rPr>
        <w:t>XR (</w:t>
      </w:r>
      <w:proofErr w:type="spellStart"/>
      <w:r w:rsidRPr="00854071">
        <w:rPr>
          <w:rFonts w:ascii="Arial" w:hAnsi="Arial" w:cs="Arial"/>
          <w:sz w:val="22"/>
          <w:szCs w:val="22"/>
        </w:rPr>
        <w:t>empagliflozin</w:t>
      </w:r>
      <w:proofErr w:type="spellEnd"/>
      <w:r w:rsidRPr="00854071">
        <w:rPr>
          <w:rFonts w:ascii="Arial" w:hAnsi="Arial" w:cs="Arial"/>
          <w:sz w:val="22"/>
          <w:szCs w:val="22"/>
        </w:rPr>
        <w:t>/metformin extended-release)</w:t>
      </w:r>
    </w:p>
    <w:p w:rsidR="00C723B5" w:rsidRPr="00854071" w:rsidRDefault="00C723B5" w:rsidP="00C723B5">
      <w:pPr>
        <w:pStyle w:val="Default"/>
        <w:numPr>
          <w:ilvl w:val="0"/>
          <w:numId w:val="12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186662">
        <w:rPr>
          <w:rFonts w:ascii="Arial" w:hAnsi="Arial" w:cs="Arial"/>
          <w:sz w:val="22"/>
          <w:szCs w:val="22"/>
        </w:rPr>
        <w:lastRenderedPageBreak/>
        <w:t>Victoza</w:t>
      </w:r>
      <w:proofErr w:type="spellEnd"/>
      <w:r w:rsidRPr="0018666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86662">
        <w:rPr>
          <w:rFonts w:ascii="Arial" w:hAnsi="Arial" w:cs="Arial"/>
          <w:sz w:val="22"/>
          <w:szCs w:val="22"/>
        </w:rPr>
        <w:t>liraglutide</w:t>
      </w:r>
      <w:proofErr w:type="spellEnd"/>
      <w:r w:rsidRPr="00186662">
        <w:rPr>
          <w:rFonts w:ascii="Arial" w:hAnsi="Arial" w:cs="Arial"/>
          <w:sz w:val="22"/>
          <w:szCs w:val="22"/>
        </w:rPr>
        <w:t>)</w:t>
      </w:r>
    </w:p>
    <w:p w:rsidR="00C723B5" w:rsidRDefault="00C723B5" w:rsidP="00C723B5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Effective </w:t>
      </w:r>
      <w:r w:rsidRPr="00D81315">
        <w:rPr>
          <w:rFonts w:ascii="Arial" w:hAnsi="Arial" w:cs="Arial"/>
          <w:color w:val="000000"/>
          <w:sz w:val="22"/>
          <w:szCs w:val="22"/>
        </w:rPr>
        <w:t xml:space="preserve">September 21, 2020, the following opioid dependence agent will no longer require </w:t>
      </w:r>
      <w:r>
        <w:rPr>
          <w:rFonts w:ascii="Arial" w:hAnsi="Arial" w:cs="Arial"/>
          <w:color w:val="000000"/>
          <w:sz w:val="22"/>
          <w:szCs w:val="22"/>
        </w:rPr>
        <w:t>PA</w:t>
      </w:r>
      <w:r w:rsidRPr="00D81315">
        <w:rPr>
          <w:rFonts w:ascii="Arial" w:hAnsi="Arial" w:cs="Arial"/>
          <w:color w:val="000000"/>
          <w:sz w:val="22"/>
          <w:szCs w:val="22"/>
        </w:rPr>
        <w:t>.</w:t>
      </w:r>
    </w:p>
    <w:p w:rsidR="00F93C6C" w:rsidRPr="00C723B5" w:rsidRDefault="00C723B5" w:rsidP="00C723B5">
      <w:pPr>
        <w:pStyle w:val="Default"/>
        <w:numPr>
          <w:ilvl w:val="1"/>
          <w:numId w:val="11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C814C4">
        <w:rPr>
          <w:rFonts w:ascii="Arial" w:hAnsi="Arial" w:cs="Arial"/>
          <w:sz w:val="22"/>
          <w:szCs w:val="22"/>
        </w:rPr>
        <w:t>Sublocade</w:t>
      </w:r>
      <w:proofErr w:type="spellEnd"/>
      <w:r w:rsidRPr="00C814C4">
        <w:rPr>
          <w:rFonts w:ascii="Arial" w:hAnsi="Arial" w:cs="Arial"/>
          <w:sz w:val="22"/>
          <w:szCs w:val="22"/>
        </w:rPr>
        <w:t xml:space="preserve"> (buprenorphine extended-release injection)</w:t>
      </w:r>
    </w:p>
    <w:p w:rsidR="00C723B5" w:rsidRDefault="00C723B5" w:rsidP="00C723B5">
      <w:pPr>
        <w:pStyle w:val="Subtitle"/>
        <w:spacing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Updated </w:t>
      </w:r>
      <w:proofErr w:type="spellStart"/>
      <w:r w:rsidRPr="000D0FAF">
        <w:rPr>
          <w:rFonts w:cs="Arial"/>
          <w:b/>
          <w:sz w:val="24"/>
          <w:szCs w:val="24"/>
        </w:rPr>
        <w:t>MassHealth</w:t>
      </w:r>
      <w:proofErr w:type="spellEnd"/>
      <w:r w:rsidRPr="000D0FAF">
        <w:rPr>
          <w:rFonts w:cs="Arial"/>
          <w:b/>
          <w:sz w:val="24"/>
          <w:szCs w:val="24"/>
        </w:rPr>
        <w:t xml:space="preserve"> Brand Name Preferred Over Generic Drug List</w:t>
      </w:r>
    </w:p>
    <w:p w:rsidR="00C723B5" w:rsidRPr="00F46499" w:rsidRDefault="00C723B5" w:rsidP="00C723B5">
      <w:pPr>
        <w:pStyle w:val="Subtitle"/>
        <w:rPr>
          <w:rFonts w:ascii="Arial" w:hAnsi="Arial" w:cs="Arial"/>
        </w:rPr>
      </w:pPr>
      <w:r w:rsidRPr="00F46499">
        <w:rPr>
          <w:rFonts w:ascii="Arial" w:hAnsi="Arial" w:cs="Arial"/>
        </w:rPr>
        <w:t xml:space="preserve">The </w:t>
      </w:r>
      <w:proofErr w:type="spellStart"/>
      <w:r w:rsidRPr="00F46499">
        <w:rPr>
          <w:rFonts w:ascii="Arial" w:hAnsi="Arial" w:cs="Arial"/>
        </w:rPr>
        <w:t>MassHealth</w:t>
      </w:r>
      <w:proofErr w:type="spellEnd"/>
      <w:r w:rsidRPr="00F46499">
        <w:rPr>
          <w:rFonts w:ascii="Arial" w:hAnsi="Arial" w:cs="Arial"/>
        </w:rPr>
        <w:t xml:space="preserve"> Brand Name Preferred </w:t>
      </w:r>
      <w:proofErr w:type="gramStart"/>
      <w:r w:rsidRPr="00F46499">
        <w:rPr>
          <w:rFonts w:ascii="Arial" w:hAnsi="Arial" w:cs="Arial"/>
        </w:rPr>
        <w:t>Over</w:t>
      </w:r>
      <w:proofErr w:type="gramEnd"/>
      <w:r w:rsidRPr="00F46499">
        <w:rPr>
          <w:rFonts w:ascii="Arial" w:hAnsi="Arial" w:cs="Arial"/>
        </w:rPr>
        <w:t xml:space="preserve"> Generic Drug List has been updated to reflect recent changes to the </w:t>
      </w:r>
      <w:proofErr w:type="spellStart"/>
      <w:r w:rsidRPr="00F46499">
        <w:rPr>
          <w:rFonts w:ascii="Arial" w:hAnsi="Arial" w:cs="Arial"/>
        </w:rPr>
        <w:t>MassHealth</w:t>
      </w:r>
      <w:proofErr w:type="spellEnd"/>
      <w:r w:rsidRPr="00F46499">
        <w:rPr>
          <w:rFonts w:ascii="Arial" w:hAnsi="Arial" w:cs="Arial"/>
        </w:rPr>
        <w:t xml:space="preserve"> Drug List.</w:t>
      </w:r>
    </w:p>
    <w:p w:rsidR="00C723B5" w:rsidRDefault="00C723B5" w:rsidP="00C723B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Effective </w:t>
      </w:r>
      <w:r w:rsidRPr="00A1269C">
        <w:rPr>
          <w:rFonts w:ascii="Arial" w:hAnsi="Arial" w:cs="Arial"/>
          <w:color w:val="000000"/>
          <w:sz w:val="22"/>
          <w:szCs w:val="22"/>
        </w:rPr>
        <w:t xml:space="preserve">September 8, 2020, the following agent was added to the </w:t>
      </w:r>
      <w:proofErr w:type="spellStart"/>
      <w:r w:rsidRPr="00A1269C">
        <w:rPr>
          <w:rFonts w:ascii="Arial" w:hAnsi="Arial" w:cs="Arial"/>
          <w:color w:val="000000"/>
          <w:sz w:val="22"/>
          <w:szCs w:val="22"/>
        </w:rPr>
        <w:t>MassHealth</w:t>
      </w:r>
      <w:proofErr w:type="spellEnd"/>
      <w:r w:rsidRPr="00A1269C">
        <w:rPr>
          <w:rFonts w:ascii="Arial" w:hAnsi="Arial" w:cs="Arial"/>
          <w:color w:val="000000"/>
          <w:sz w:val="22"/>
          <w:szCs w:val="22"/>
        </w:rPr>
        <w:t xml:space="preserve"> Brand Name Preferred Over Generic Drug List. </w:t>
      </w:r>
    </w:p>
    <w:p w:rsidR="00C723B5" w:rsidRPr="009B2F2C" w:rsidRDefault="00C723B5" w:rsidP="00C723B5">
      <w:pPr>
        <w:pStyle w:val="Default"/>
        <w:numPr>
          <w:ilvl w:val="0"/>
          <w:numId w:val="30"/>
        </w:numPr>
        <w:spacing w:line="276" w:lineRule="auto"/>
        <w:ind w:left="1080"/>
        <w:rPr>
          <w:rFonts w:ascii="Arial" w:hAnsi="Arial" w:cs="Arial"/>
          <w:sz w:val="20"/>
          <w:szCs w:val="20"/>
        </w:rPr>
      </w:pPr>
      <w:proofErr w:type="spellStart"/>
      <w:r w:rsidRPr="00693EC4">
        <w:rPr>
          <w:rFonts w:ascii="Arial" w:hAnsi="Arial" w:cs="Arial"/>
          <w:sz w:val="22"/>
          <w:szCs w:val="22"/>
        </w:rPr>
        <w:t>Tecfidera</w:t>
      </w:r>
      <w:proofErr w:type="spellEnd"/>
      <w:r w:rsidRPr="00693EC4">
        <w:rPr>
          <w:rFonts w:ascii="Arial" w:hAnsi="Arial" w:cs="Arial"/>
          <w:sz w:val="22"/>
          <w:szCs w:val="22"/>
        </w:rPr>
        <w:t xml:space="preserve"> (dimethyl fumarate)</w:t>
      </w:r>
      <w:r w:rsidRPr="00693EC4">
        <w:rPr>
          <w:rFonts w:ascii="Arial" w:hAnsi="Arial" w:cs="Arial"/>
          <w:sz w:val="22"/>
          <w:szCs w:val="22"/>
          <w:vertAlign w:val="superscript"/>
        </w:rPr>
        <w:t xml:space="preserve"> BP</w:t>
      </w:r>
      <w:r w:rsidRPr="00693EC4">
        <w:rPr>
          <w:rFonts w:ascii="Arial" w:hAnsi="Arial" w:cs="Arial"/>
          <w:sz w:val="22"/>
          <w:szCs w:val="22"/>
        </w:rPr>
        <w:t xml:space="preserve"> – </w:t>
      </w:r>
      <w:r w:rsidRPr="00693EC4">
        <w:rPr>
          <w:rFonts w:ascii="Arial" w:hAnsi="Arial" w:cs="Arial"/>
          <w:b/>
          <w:sz w:val="22"/>
          <w:szCs w:val="22"/>
        </w:rPr>
        <w:t>PA</w:t>
      </w:r>
    </w:p>
    <w:p w:rsidR="00C723B5" w:rsidRPr="00C96722" w:rsidRDefault="00C723B5" w:rsidP="00C723B5">
      <w:pPr>
        <w:pStyle w:val="Default"/>
        <w:tabs>
          <w:tab w:val="left" w:pos="720"/>
        </w:tabs>
        <w:spacing w:line="276" w:lineRule="auto"/>
        <w:ind w:left="720" w:hanging="360"/>
        <w:rPr>
          <w:rFonts w:ascii="Arial" w:hAnsi="Arial" w:cs="Arial"/>
          <w:sz w:val="22"/>
          <w:szCs w:val="21"/>
        </w:rPr>
      </w:pPr>
      <w:r>
        <w:rPr>
          <w:rFonts w:ascii="Arial" w:hAnsi="Arial" w:cs="Arial"/>
          <w:sz w:val="22"/>
          <w:szCs w:val="21"/>
        </w:rPr>
        <w:t>b.</w:t>
      </w:r>
      <w:r>
        <w:rPr>
          <w:rFonts w:ascii="Arial" w:hAnsi="Arial" w:cs="Arial"/>
          <w:sz w:val="22"/>
          <w:szCs w:val="21"/>
        </w:rPr>
        <w:tab/>
      </w:r>
      <w:r w:rsidRPr="00D02E19">
        <w:rPr>
          <w:rFonts w:ascii="Arial" w:hAnsi="Arial" w:cs="Arial"/>
          <w:sz w:val="22"/>
          <w:szCs w:val="21"/>
        </w:rPr>
        <w:t xml:space="preserve">Effective </w:t>
      </w:r>
      <w:r w:rsidRPr="00931CD7">
        <w:rPr>
          <w:rFonts w:ascii="Arial" w:hAnsi="Arial" w:cs="Arial"/>
          <w:sz w:val="22"/>
          <w:szCs w:val="21"/>
        </w:rPr>
        <w:t>September 21</w:t>
      </w:r>
      <w:r w:rsidRPr="00D02E19">
        <w:rPr>
          <w:rFonts w:ascii="Arial" w:hAnsi="Arial" w:cs="Arial"/>
          <w:sz w:val="22"/>
          <w:szCs w:val="21"/>
        </w:rPr>
        <w:t xml:space="preserve">, 2020, the following agents will be added to the </w:t>
      </w:r>
      <w:proofErr w:type="spellStart"/>
      <w:r w:rsidRPr="00D02E19">
        <w:rPr>
          <w:rFonts w:ascii="Arial" w:hAnsi="Arial" w:cs="Arial"/>
          <w:sz w:val="22"/>
          <w:szCs w:val="21"/>
        </w:rPr>
        <w:t>MassHealth</w:t>
      </w:r>
      <w:proofErr w:type="spellEnd"/>
      <w:r w:rsidRPr="00D02E19">
        <w:rPr>
          <w:rFonts w:ascii="Arial" w:hAnsi="Arial" w:cs="Arial"/>
          <w:sz w:val="22"/>
          <w:szCs w:val="21"/>
        </w:rPr>
        <w:t xml:space="preserve"> Brand Name Preferred </w:t>
      </w:r>
      <w:proofErr w:type="gramStart"/>
      <w:r w:rsidRPr="00D02E19">
        <w:rPr>
          <w:rFonts w:ascii="Arial" w:hAnsi="Arial" w:cs="Arial"/>
          <w:sz w:val="22"/>
          <w:szCs w:val="21"/>
        </w:rPr>
        <w:t>Over</w:t>
      </w:r>
      <w:proofErr w:type="gramEnd"/>
      <w:r w:rsidRPr="00D02E19">
        <w:rPr>
          <w:rFonts w:ascii="Arial" w:hAnsi="Arial" w:cs="Arial"/>
          <w:sz w:val="22"/>
          <w:szCs w:val="21"/>
        </w:rPr>
        <w:t xml:space="preserve"> Generic Drug List. </w:t>
      </w:r>
    </w:p>
    <w:p w:rsidR="00C723B5" w:rsidRPr="00DB37AD" w:rsidRDefault="00C723B5" w:rsidP="00C723B5">
      <w:pPr>
        <w:pStyle w:val="ListParagraph"/>
        <w:numPr>
          <w:ilvl w:val="0"/>
          <w:numId w:val="31"/>
        </w:numPr>
        <w:ind w:left="108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Atripla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B37AD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DB37AD">
        <w:rPr>
          <w:rFonts w:ascii="Arial" w:hAnsi="Arial" w:cs="Arial"/>
          <w:color w:val="000000"/>
          <w:sz w:val="22"/>
          <w:szCs w:val="22"/>
        </w:rPr>
        <w:t>efavirenz</w:t>
      </w:r>
      <w:proofErr w:type="spellEnd"/>
      <w:r w:rsidRPr="00DB37A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DB37AD">
        <w:rPr>
          <w:rFonts w:ascii="Arial" w:hAnsi="Arial" w:cs="Arial"/>
          <w:color w:val="000000"/>
          <w:sz w:val="22"/>
          <w:szCs w:val="22"/>
        </w:rPr>
        <w:t>emtricitabine</w:t>
      </w:r>
      <w:proofErr w:type="spellEnd"/>
      <w:r w:rsidRPr="00DB37AD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DB37AD">
        <w:rPr>
          <w:rFonts w:ascii="Arial" w:hAnsi="Arial" w:cs="Arial"/>
          <w:color w:val="000000"/>
          <w:sz w:val="22"/>
          <w:szCs w:val="22"/>
        </w:rPr>
        <w:t>tenofovir</w:t>
      </w:r>
      <w:proofErr w:type="spellEnd"/>
      <w:r w:rsidRPr="00DB37AD">
        <w:rPr>
          <w:rFonts w:ascii="Arial" w:hAnsi="Arial" w:cs="Arial"/>
          <w:color w:val="000000"/>
          <w:sz w:val="22"/>
          <w:szCs w:val="22"/>
        </w:rPr>
        <w:t xml:space="preserve">) </w:t>
      </w:r>
      <w:r w:rsidRPr="00DB37AD">
        <w:rPr>
          <w:rFonts w:ascii="Arial" w:hAnsi="Arial" w:cs="Arial"/>
          <w:color w:val="000000"/>
          <w:sz w:val="22"/>
          <w:szCs w:val="22"/>
          <w:vertAlign w:val="superscript"/>
        </w:rPr>
        <w:t>BP</w:t>
      </w:r>
    </w:p>
    <w:p w:rsidR="00C723B5" w:rsidRDefault="00C723B5" w:rsidP="00C723B5">
      <w:pPr>
        <w:pStyle w:val="Default"/>
        <w:numPr>
          <w:ilvl w:val="0"/>
          <w:numId w:val="31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644678">
        <w:rPr>
          <w:rFonts w:ascii="Arial" w:hAnsi="Arial" w:cs="Arial"/>
          <w:sz w:val="22"/>
          <w:szCs w:val="22"/>
        </w:rPr>
        <w:t>Ciprodex</w:t>
      </w:r>
      <w:proofErr w:type="spellEnd"/>
      <w:r w:rsidRPr="00644678">
        <w:rPr>
          <w:rFonts w:ascii="Arial" w:hAnsi="Arial" w:cs="Arial"/>
          <w:sz w:val="22"/>
          <w:szCs w:val="22"/>
        </w:rPr>
        <w:t xml:space="preserve"> (ciprofloxacin/dexamethasone)</w:t>
      </w:r>
      <w:r w:rsidRPr="0064467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D02E19">
        <w:rPr>
          <w:rFonts w:ascii="Arial" w:hAnsi="Arial" w:cs="Arial"/>
          <w:sz w:val="22"/>
          <w:szCs w:val="22"/>
          <w:vertAlign w:val="superscript"/>
        </w:rPr>
        <w:t>BP</w:t>
      </w:r>
    </w:p>
    <w:p w:rsidR="00C723B5" w:rsidRPr="00D02E19" w:rsidRDefault="00C723B5" w:rsidP="00C723B5">
      <w:pPr>
        <w:pStyle w:val="Default"/>
        <w:numPr>
          <w:ilvl w:val="0"/>
          <w:numId w:val="31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D02E19">
        <w:rPr>
          <w:rFonts w:ascii="Arial" w:hAnsi="Arial" w:cs="Arial"/>
          <w:sz w:val="22"/>
          <w:szCs w:val="22"/>
        </w:rPr>
        <w:t>Demser</w:t>
      </w:r>
      <w:proofErr w:type="spellEnd"/>
      <w:r w:rsidRPr="00D02E1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02E19">
        <w:rPr>
          <w:rFonts w:ascii="Arial" w:hAnsi="Arial" w:cs="Arial"/>
          <w:sz w:val="22"/>
          <w:szCs w:val="22"/>
        </w:rPr>
        <w:t>metyrosine</w:t>
      </w:r>
      <w:proofErr w:type="spellEnd"/>
      <w:r w:rsidRPr="00D02E1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02E19">
        <w:rPr>
          <w:rFonts w:ascii="Arial" w:hAnsi="Arial" w:cs="Arial"/>
          <w:sz w:val="22"/>
          <w:szCs w:val="22"/>
          <w:vertAlign w:val="superscript"/>
        </w:rPr>
        <w:t>BP</w:t>
      </w:r>
    </w:p>
    <w:p w:rsidR="00C723B5" w:rsidRDefault="00C723B5" w:rsidP="00C723B5">
      <w:pPr>
        <w:pStyle w:val="Default"/>
        <w:numPr>
          <w:ilvl w:val="0"/>
          <w:numId w:val="31"/>
        </w:numPr>
        <w:spacing w:line="276" w:lineRule="auto"/>
        <w:ind w:left="1080"/>
        <w:rPr>
          <w:rFonts w:ascii="Arial" w:hAnsi="Arial" w:cs="Arial"/>
          <w:bCs/>
          <w:sz w:val="22"/>
          <w:szCs w:val="22"/>
        </w:rPr>
      </w:pPr>
      <w:proofErr w:type="spellStart"/>
      <w:r w:rsidRPr="00527D46">
        <w:rPr>
          <w:rFonts w:ascii="Arial" w:hAnsi="Arial" w:cs="Arial"/>
          <w:bCs/>
          <w:sz w:val="22"/>
          <w:szCs w:val="22"/>
        </w:rPr>
        <w:t>Emtriva</w:t>
      </w:r>
      <w:proofErr w:type="spellEnd"/>
      <w:r w:rsidRPr="00527D46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527D46">
        <w:rPr>
          <w:rFonts w:ascii="Arial" w:hAnsi="Arial" w:cs="Arial"/>
          <w:bCs/>
          <w:sz w:val="22"/>
          <w:szCs w:val="22"/>
        </w:rPr>
        <w:t>emtricitabine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</w:t>
      </w:r>
      <w:r w:rsidRPr="00527D46">
        <w:rPr>
          <w:rFonts w:ascii="Arial" w:hAnsi="Arial" w:cs="Arial"/>
          <w:bCs/>
          <w:sz w:val="22"/>
          <w:szCs w:val="22"/>
          <w:vertAlign w:val="superscript"/>
        </w:rPr>
        <w:t>BP</w:t>
      </w:r>
    </w:p>
    <w:p w:rsidR="00C723B5" w:rsidRPr="00616CB6" w:rsidRDefault="00C723B5" w:rsidP="00C723B5">
      <w:pPr>
        <w:pStyle w:val="Default"/>
        <w:numPr>
          <w:ilvl w:val="0"/>
          <w:numId w:val="31"/>
        </w:numPr>
        <w:spacing w:line="276" w:lineRule="auto"/>
        <w:ind w:left="1080"/>
        <w:rPr>
          <w:rFonts w:ascii="Arial" w:hAnsi="Arial" w:cs="Arial"/>
          <w:bCs/>
          <w:sz w:val="22"/>
          <w:szCs w:val="22"/>
        </w:rPr>
      </w:pPr>
      <w:proofErr w:type="spellStart"/>
      <w:r w:rsidRPr="00C814C4">
        <w:rPr>
          <w:rFonts w:ascii="Arial" w:hAnsi="Arial" w:cs="Arial"/>
          <w:bCs/>
          <w:sz w:val="22"/>
          <w:szCs w:val="22"/>
        </w:rPr>
        <w:t>Flector</w:t>
      </w:r>
      <w:proofErr w:type="spellEnd"/>
      <w:r w:rsidRPr="00C814C4">
        <w:rPr>
          <w:rFonts w:ascii="Arial" w:hAnsi="Arial" w:cs="Arial"/>
          <w:bCs/>
          <w:sz w:val="22"/>
          <w:szCs w:val="22"/>
        </w:rPr>
        <w:t xml:space="preserve"> (diclofenac topical patch) </w:t>
      </w:r>
      <w:r w:rsidRPr="00C814C4">
        <w:rPr>
          <w:rFonts w:ascii="Arial" w:hAnsi="Arial" w:cs="Arial"/>
          <w:sz w:val="22"/>
          <w:szCs w:val="22"/>
          <w:vertAlign w:val="superscript"/>
        </w:rPr>
        <w:t>BP</w:t>
      </w:r>
      <w:r w:rsidRPr="00C814C4">
        <w:rPr>
          <w:rFonts w:ascii="Arial" w:hAnsi="Arial" w:cs="Arial"/>
          <w:sz w:val="22"/>
          <w:szCs w:val="22"/>
        </w:rPr>
        <w:t xml:space="preserve"> – </w:t>
      </w:r>
      <w:r w:rsidRPr="00C814C4">
        <w:rPr>
          <w:rFonts w:ascii="Arial" w:hAnsi="Arial" w:cs="Arial"/>
          <w:b/>
          <w:sz w:val="22"/>
          <w:szCs w:val="22"/>
        </w:rPr>
        <w:t>PA</w:t>
      </w:r>
    </w:p>
    <w:p w:rsidR="00C723B5" w:rsidRDefault="00C723B5" w:rsidP="00C723B5">
      <w:pPr>
        <w:pStyle w:val="Default"/>
        <w:numPr>
          <w:ilvl w:val="0"/>
          <w:numId w:val="31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3E247F">
        <w:rPr>
          <w:rFonts w:ascii="Arial" w:hAnsi="Arial" w:cs="Arial"/>
          <w:sz w:val="22"/>
          <w:szCs w:val="22"/>
        </w:rPr>
        <w:t xml:space="preserve">Humalog (insulin </w:t>
      </w:r>
      <w:proofErr w:type="spellStart"/>
      <w:r w:rsidRPr="003E247F">
        <w:rPr>
          <w:rFonts w:ascii="Arial" w:hAnsi="Arial" w:cs="Arial"/>
          <w:sz w:val="22"/>
          <w:szCs w:val="22"/>
        </w:rPr>
        <w:t>lispro</w:t>
      </w:r>
      <w:proofErr w:type="spellEnd"/>
      <w:r w:rsidRPr="003E247F">
        <w:rPr>
          <w:rFonts w:ascii="Arial" w:hAnsi="Arial" w:cs="Arial"/>
          <w:sz w:val="22"/>
          <w:szCs w:val="22"/>
        </w:rPr>
        <w:t xml:space="preserve"> 75/25)</w:t>
      </w:r>
      <w:r w:rsidRPr="003E247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C814C4">
        <w:rPr>
          <w:rFonts w:ascii="Arial" w:hAnsi="Arial" w:cs="Arial"/>
          <w:sz w:val="22"/>
          <w:szCs w:val="22"/>
          <w:vertAlign w:val="superscript"/>
        </w:rPr>
        <w:t>BP</w:t>
      </w:r>
    </w:p>
    <w:p w:rsidR="00C723B5" w:rsidRDefault="00C723B5" w:rsidP="00C723B5">
      <w:pPr>
        <w:pStyle w:val="Default"/>
        <w:numPr>
          <w:ilvl w:val="0"/>
          <w:numId w:val="31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527D46">
        <w:rPr>
          <w:rFonts w:ascii="Arial" w:hAnsi="Arial" w:cs="Arial"/>
          <w:sz w:val="22"/>
          <w:szCs w:val="22"/>
        </w:rPr>
        <w:t>Moviprep</w:t>
      </w:r>
      <w:proofErr w:type="spellEnd"/>
      <w:r w:rsidRPr="00527D46">
        <w:rPr>
          <w:rFonts w:ascii="Arial" w:hAnsi="Arial" w:cs="Arial"/>
          <w:sz w:val="22"/>
          <w:szCs w:val="22"/>
        </w:rPr>
        <w:t xml:space="preserve"> (polyethylene glycol-electrolyte solution</w:t>
      </w:r>
      <w:r>
        <w:rPr>
          <w:rFonts w:ascii="Arial" w:hAnsi="Arial" w:cs="Arial"/>
          <w:sz w:val="22"/>
          <w:szCs w:val="22"/>
        </w:rPr>
        <w:t xml:space="preserve">) </w:t>
      </w:r>
      <w:r w:rsidRPr="00527D46">
        <w:rPr>
          <w:rFonts w:ascii="Arial" w:hAnsi="Arial" w:cs="Arial"/>
          <w:sz w:val="22"/>
          <w:szCs w:val="22"/>
          <w:vertAlign w:val="superscript"/>
        </w:rPr>
        <w:t>BP</w:t>
      </w:r>
    </w:p>
    <w:p w:rsidR="00C723B5" w:rsidRDefault="00C723B5" w:rsidP="00C723B5">
      <w:pPr>
        <w:pStyle w:val="Default"/>
        <w:numPr>
          <w:ilvl w:val="0"/>
          <w:numId w:val="31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A41020">
        <w:rPr>
          <w:rFonts w:ascii="Arial" w:hAnsi="Arial" w:cs="Arial"/>
          <w:sz w:val="22"/>
          <w:szCs w:val="22"/>
        </w:rPr>
        <w:t>Protonix</w:t>
      </w:r>
      <w:proofErr w:type="spellEnd"/>
      <w:r w:rsidRPr="00A41020">
        <w:rPr>
          <w:rFonts w:ascii="Arial" w:hAnsi="Arial" w:cs="Arial"/>
          <w:sz w:val="22"/>
          <w:szCs w:val="22"/>
        </w:rPr>
        <w:t xml:space="preserve"> (pantoprazole 40 mg suspension</w:t>
      </w:r>
      <w:r>
        <w:rPr>
          <w:rFonts w:ascii="Arial" w:hAnsi="Arial" w:cs="Arial"/>
          <w:sz w:val="22"/>
          <w:szCs w:val="22"/>
        </w:rPr>
        <w:t xml:space="preserve">) </w:t>
      </w:r>
      <w:r w:rsidRPr="00C814C4">
        <w:rPr>
          <w:rFonts w:ascii="Arial" w:hAnsi="Arial" w:cs="Arial"/>
          <w:sz w:val="22"/>
          <w:szCs w:val="22"/>
          <w:vertAlign w:val="superscript"/>
        </w:rPr>
        <w:t>BP</w:t>
      </w:r>
      <w:r w:rsidRPr="00C814C4">
        <w:rPr>
          <w:rFonts w:ascii="Arial" w:hAnsi="Arial" w:cs="Arial"/>
          <w:sz w:val="22"/>
          <w:szCs w:val="22"/>
        </w:rPr>
        <w:t xml:space="preserve"> </w:t>
      </w:r>
      <w:r w:rsidRPr="00644678">
        <w:rPr>
          <w:rFonts w:ascii="Arial" w:hAnsi="Arial" w:cs="Arial"/>
          <w:sz w:val="22"/>
          <w:szCs w:val="22"/>
        </w:rPr>
        <w:t xml:space="preserve">– </w:t>
      </w:r>
      <w:r w:rsidRPr="00644678">
        <w:rPr>
          <w:rFonts w:ascii="Arial" w:hAnsi="Arial" w:cs="Arial"/>
          <w:b/>
          <w:sz w:val="22"/>
          <w:szCs w:val="22"/>
        </w:rPr>
        <w:t>PA</w:t>
      </w:r>
      <w:r w:rsidRPr="00644678">
        <w:rPr>
          <w:rFonts w:ascii="Arial" w:hAnsi="Arial" w:cs="Arial"/>
          <w:sz w:val="22"/>
          <w:szCs w:val="22"/>
        </w:rPr>
        <w:t xml:space="preserve"> </w:t>
      </w:r>
    </w:p>
    <w:p w:rsidR="00C723B5" w:rsidRPr="00C96722" w:rsidRDefault="00C723B5" w:rsidP="00C723B5">
      <w:pPr>
        <w:pStyle w:val="Default"/>
        <w:numPr>
          <w:ilvl w:val="0"/>
          <w:numId w:val="31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F11124">
        <w:rPr>
          <w:rFonts w:ascii="Arial" w:hAnsi="Arial" w:cs="Arial"/>
          <w:sz w:val="22"/>
          <w:szCs w:val="22"/>
        </w:rPr>
        <w:t>Truvada</w:t>
      </w:r>
      <w:proofErr w:type="spellEnd"/>
      <w:r w:rsidRPr="00F1112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F11124">
        <w:rPr>
          <w:rFonts w:ascii="Arial" w:hAnsi="Arial" w:cs="Arial"/>
          <w:sz w:val="22"/>
          <w:szCs w:val="22"/>
        </w:rPr>
        <w:t>emtricitabine</w:t>
      </w:r>
      <w:proofErr w:type="spellEnd"/>
      <w:r w:rsidRPr="00F11124">
        <w:rPr>
          <w:rFonts w:ascii="Arial" w:hAnsi="Arial" w:cs="Arial"/>
          <w:sz w:val="22"/>
          <w:szCs w:val="22"/>
        </w:rPr>
        <w:t>/</w:t>
      </w:r>
      <w:proofErr w:type="spellStart"/>
      <w:r w:rsidRPr="00F11124">
        <w:rPr>
          <w:rFonts w:ascii="Arial" w:hAnsi="Arial" w:cs="Arial"/>
          <w:sz w:val="22"/>
          <w:szCs w:val="22"/>
        </w:rPr>
        <w:t>tenofovir</w:t>
      </w:r>
      <w:proofErr w:type="spellEnd"/>
      <w:r w:rsidRPr="00F111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11124">
        <w:rPr>
          <w:rFonts w:ascii="Arial" w:hAnsi="Arial" w:cs="Arial"/>
          <w:sz w:val="22"/>
          <w:szCs w:val="22"/>
        </w:rPr>
        <w:t>disoproxil</w:t>
      </w:r>
      <w:proofErr w:type="spellEnd"/>
      <w:r w:rsidRPr="00F11124">
        <w:rPr>
          <w:rFonts w:ascii="Arial" w:hAnsi="Arial" w:cs="Arial"/>
          <w:sz w:val="22"/>
          <w:szCs w:val="22"/>
        </w:rPr>
        <w:t xml:space="preserve"> fumarate)</w:t>
      </w:r>
      <w:r>
        <w:rPr>
          <w:rFonts w:ascii="Arial" w:hAnsi="Arial" w:cs="Arial"/>
          <w:sz w:val="22"/>
          <w:szCs w:val="22"/>
        </w:rPr>
        <w:t xml:space="preserve"> </w:t>
      </w:r>
      <w:r w:rsidRPr="00F11124">
        <w:rPr>
          <w:rFonts w:ascii="Arial" w:hAnsi="Arial" w:cs="Arial"/>
          <w:sz w:val="22"/>
          <w:szCs w:val="22"/>
          <w:vertAlign w:val="superscript"/>
        </w:rPr>
        <w:t>BP</w:t>
      </w:r>
    </w:p>
    <w:p w:rsidR="00C723B5" w:rsidRPr="000713D3" w:rsidRDefault="00C723B5" w:rsidP="00C723B5">
      <w:pPr>
        <w:autoSpaceDE w:val="0"/>
        <w:autoSpaceDN w:val="0"/>
        <w:adjustRightInd w:val="0"/>
        <w:spacing w:line="276" w:lineRule="auto"/>
        <w:ind w:left="72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c.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Effective </w:t>
      </w:r>
      <w:r w:rsidRPr="00C96722">
        <w:rPr>
          <w:rFonts w:ascii="Arial" w:hAnsi="Arial" w:cs="Arial"/>
          <w:color w:val="000000"/>
          <w:sz w:val="22"/>
          <w:szCs w:val="22"/>
        </w:rPr>
        <w:t xml:space="preserve">September 21, 2020, the following agent will be removed from the </w:t>
      </w:r>
      <w:proofErr w:type="spellStart"/>
      <w:r w:rsidRPr="00C96722">
        <w:rPr>
          <w:rFonts w:ascii="Arial" w:hAnsi="Arial" w:cs="Arial"/>
          <w:color w:val="000000"/>
          <w:sz w:val="22"/>
          <w:szCs w:val="22"/>
        </w:rPr>
        <w:t>MassHealth</w:t>
      </w:r>
      <w:proofErr w:type="spellEnd"/>
      <w:r w:rsidRPr="00C96722">
        <w:rPr>
          <w:rFonts w:ascii="Arial" w:hAnsi="Arial" w:cs="Arial"/>
          <w:color w:val="000000"/>
          <w:sz w:val="22"/>
          <w:szCs w:val="22"/>
        </w:rPr>
        <w:t xml:space="preserve"> Brand Name Preferred </w:t>
      </w:r>
      <w:proofErr w:type="gramStart"/>
      <w:r w:rsidRPr="00C96722">
        <w:rPr>
          <w:rFonts w:ascii="Arial" w:hAnsi="Arial" w:cs="Arial"/>
          <w:color w:val="000000"/>
          <w:sz w:val="22"/>
          <w:szCs w:val="22"/>
        </w:rPr>
        <w:t>Over</w:t>
      </w:r>
      <w:proofErr w:type="gramEnd"/>
      <w:r w:rsidRPr="00C96722">
        <w:rPr>
          <w:rFonts w:ascii="Arial" w:hAnsi="Arial" w:cs="Arial"/>
          <w:color w:val="000000"/>
          <w:sz w:val="22"/>
          <w:szCs w:val="22"/>
        </w:rPr>
        <w:t xml:space="preserve"> Generic Drug List.</w:t>
      </w:r>
    </w:p>
    <w:p w:rsidR="00E030D1" w:rsidRPr="00485546" w:rsidRDefault="00C723B5" w:rsidP="00485546">
      <w:pPr>
        <w:pStyle w:val="Default"/>
        <w:numPr>
          <w:ilvl w:val="0"/>
          <w:numId w:val="12"/>
        </w:numPr>
        <w:spacing w:after="960" w:line="276" w:lineRule="auto"/>
        <w:ind w:left="1080"/>
        <w:rPr>
          <w:rFonts w:ascii="Arial" w:hAnsi="Arial" w:cs="Arial"/>
          <w:sz w:val="22"/>
          <w:szCs w:val="22"/>
        </w:rPr>
      </w:pPr>
      <w:r w:rsidRPr="005D57E2">
        <w:rPr>
          <w:rFonts w:ascii="Arial" w:hAnsi="Arial" w:cs="Arial"/>
          <w:bCs/>
          <w:sz w:val="22"/>
          <w:szCs w:val="22"/>
        </w:rPr>
        <w:t xml:space="preserve">Aggrenox </w:t>
      </w:r>
      <w:r>
        <w:rPr>
          <w:rFonts w:ascii="Arial" w:hAnsi="Arial" w:cs="Arial"/>
          <w:bCs/>
          <w:sz w:val="22"/>
          <w:szCs w:val="22"/>
        </w:rPr>
        <w:t xml:space="preserve"># </w:t>
      </w:r>
      <w:r w:rsidRPr="005D57E2">
        <w:rPr>
          <w:rFonts w:ascii="Arial" w:hAnsi="Arial" w:cs="Arial"/>
          <w:bCs/>
          <w:sz w:val="22"/>
          <w:szCs w:val="22"/>
        </w:rPr>
        <w:t xml:space="preserve">(aspirin/extended-release dipyridamole) </w:t>
      </w:r>
    </w:p>
    <w:p w:rsidR="00E030D1" w:rsidRDefault="00E030D1" w:rsidP="00E030D1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lastRenderedPageBreak/>
        <w:t>L</w:t>
      </w:r>
      <w:r w:rsidRPr="006E1C33">
        <w:rPr>
          <w:rFonts w:ascii="Arial" w:hAnsi="Arial"/>
          <w:b/>
          <w:bCs/>
          <w:sz w:val="18"/>
          <w:szCs w:val="18"/>
        </w:rPr>
        <w:t>egend</w:t>
      </w:r>
    </w:p>
    <w:p w:rsidR="00E030D1" w:rsidRDefault="00E030D1" w:rsidP="00E030D1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color w:val="FF0000"/>
          <w:sz w:val="18"/>
          <w:szCs w:val="18"/>
        </w:rPr>
      </w:pPr>
    </w:p>
    <w:p w:rsidR="00E030D1" w:rsidRDefault="00E030D1" w:rsidP="00E030D1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bCs/>
          <w:sz w:val="18"/>
          <w:szCs w:val="18"/>
        </w:rPr>
        <w:t>PA</w:t>
      </w:r>
    </w:p>
    <w:p w:rsidR="00E030D1" w:rsidRDefault="00E030D1" w:rsidP="00E030D1">
      <w:pPr>
        <w:shd w:val="clear" w:color="auto" w:fill="FFFFFF"/>
        <w:tabs>
          <w:tab w:val="left" w:pos="180"/>
          <w:tab w:val="left" w:pos="360"/>
        </w:tabs>
        <w:ind w:left="270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 xml:space="preserve">Prior authorization is required. The prescriber must obtain prior authorization for the drug in order for the pharmacy to receive payment. Note: PA applies to both the </w:t>
      </w:r>
      <w:proofErr w:type="gramStart"/>
      <w:r>
        <w:rPr>
          <w:rFonts w:ascii="Arial" w:hAnsi="Arial"/>
          <w:bCs/>
          <w:sz w:val="18"/>
          <w:szCs w:val="18"/>
        </w:rPr>
        <w:t>brand-name</w:t>
      </w:r>
      <w:proofErr w:type="gramEnd"/>
      <w:r>
        <w:rPr>
          <w:rFonts w:ascii="Arial" w:hAnsi="Arial"/>
          <w:bCs/>
          <w:sz w:val="18"/>
          <w:szCs w:val="18"/>
        </w:rPr>
        <w:t xml:space="preserve"> and the FDA “A”-rated generic equivalent of listed product.</w:t>
      </w:r>
    </w:p>
    <w:p w:rsidR="00E030D1" w:rsidRDefault="00E030D1" w:rsidP="00E030D1">
      <w:pPr>
        <w:pStyle w:val="BodyText1"/>
        <w:ind w:left="720"/>
        <w:rPr>
          <w:sz w:val="22"/>
          <w:szCs w:val="22"/>
        </w:rPr>
      </w:pPr>
    </w:p>
    <w:p w:rsidR="00E030D1" w:rsidRDefault="00E030D1" w:rsidP="00E030D1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22"/>
          <w:szCs w:val="22"/>
        </w:rPr>
      </w:pPr>
      <w:r w:rsidRPr="005B15B3">
        <w:rPr>
          <w:rFonts w:ascii="Arial" w:hAnsi="Arial"/>
          <w:bCs/>
          <w:sz w:val="22"/>
          <w:szCs w:val="22"/>
        </w:rPr>
        <w:t>#</w:t>
      </w:r>
    </w:p>
    <w:p w:rsidR="00E030D1" w:rsidRDefault="00E030D1" w:rsidP="005B50F9">
      <w:pPr>
        <w:shd w:val="clear" w:color="auto" w:fill="FFFFFF"/>
        <w:tabs>
          <w:tab w:val="left" w:pos="270"/>
          <w:tab w:val="left" w:pos="360"/>
        </w:tabs>
        <w:spacing w:after="2760"/>
        <w:ind w:left="274" w:hanging="360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22"/>
          <w:szCs w:val="22"/>
        </w:rPr>
        <w:tab/>
      </w:r>
      <w:proofErr w:type="gramStart"/>
      <w:r>
        <w:rPr>
          <w:rFonts w:ascii="Arial" w:hAnsi="Arial"/>
          <w:bCs/>
          <w:sz w:val="18"/>
          <w:szCs w:val="18"/>
        </w:rPr>
        <w:t>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</w:t>
      </w:r>
      <w:proofErr w:type="gramEnd"/>
      <w:r w:rsidRPr="009D6D73">
        <w:rPr>
          <w:rFonts w:ascii="Arial" w:hAnsi="Arial"/>
          <w:bCs/>
          <w:sz w:val="18"/>
          <w:szCs w:val="18"/>
        </w:rPr>
        <w:t> Prior authorization is required for the brand, unless a particular form of that drug (for example, tablet, capsule, or liquid) does not have an FDA “A”-rated generic equivalent.</w:t>
      </w:r>
    </w:p>
    <w:p w:rsidR="00E030D1" w:rsidRDefault="00E030D1" w:rsidP="00E030D1">
      <w:pPr>
        <w:shd w:val="clear" w:color="auto" w:fill="FFFFFF"/>
        <w:ind w:left="270" w:hanging="441"/>
        <w:rPr>
          <w:rFonts w:ascii="Arial" w:hAnsi="Arial"/>
          <w:b/>
          <w:sz w:val="22"/>
          <w:szCs w:val="22"/>
          <w:vertAlign w:val="superscript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>BP</w:t>
      </w:r>
    </w:p>
    <w:p w:rsidR="00DB5DBC" w:rsidRPr="00E030D1" w:rsidRDefault="00E030D1" w:rsidP="005B50F9">
      <w:pPr>
        <w:shd w:val="clear" w:color="auto" w:fill="FFFFFF"/>
        <w:ind w:left="2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Cs/>
          <w:sz w:val="18"/>
          <w:szCs w:val="18"/>
        </w:rPr>
        <w:t xml:space="preserve">Brand preferred over generic equivalents. In general, </w:t>
      </w:r>
      <w:proofErr w:type="spellStart"/>
      <w:r>
        <w:rPr>
          <w:rFonts w:ascii="Arial" w:hAnsi="Arial"/>
          <w:bCs/>
          <w:sz w:val="18"/>
          <w:szCs w:val="18"/>
        </w:rPr>
        <w:t>MassHealth</w:t>
      </w:r>
      <w:proofErr w:type="spellEnd"/>
      <w:r>
        <w:rPr>
          <w:rFonts w:ascii="Arial" w:hAnsi="Arial"/>
          <w:bCs/>
          <w:sz w:val="18"/>
          <w:szCs w:val="18"/>
        </w:rPr>
        <w:t xml:space="preserve"> requires a trial of the preferred drug or clinical rationale for prescribing the </w:t>
      </w:r>
      <w:proofErr w:type="spellStart"/>
      <w:r>
        <w:rPr>
          <w:rFonts w:ascii="Arial" w:hAnsi="Arial"/>
          <w:bCs/>
          <w:sz w:val="18"/>
          <w:szCs w:val="18"/>
        </w:rPr>
        <w:t>nonpreferred</w:t>
      </w:r>
      <w:proofErr w:type="spellEnd"/>
      <w:r>
        <w:rPr>
          <w:rFonts w:ascii="Arial" w:hAnsi="Arial"/>
          <w:bCs/>
          <w:sz w:val="18"/>
          <w:szCs w:val="18"/>
        </w:rPr>
        <w:t xml:space="preserve"> drug generic</w:t>
      </w:r>
      <w:bookmarkStart w:id="3" w:name="_GoBack"/>
      <w:bookmarkEnd w:id="3"/>
      <w:r>
        <w:rPr>
          <w:rFonts w:ascii="Arial" w:hAnsi="Arial"/>
          <w:bCs/>
          <w:sz w:val="18"/>
          <w:szCs w:val="18"/>
        </w:rPr>
        <w:t xml:space="preserve"> equivalent.</w:t>
      </w:r>
      <w:r w:rsidR="005B50F9" w:rsidRPr="00E030D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C1739" w:rsidRPr="00E030D1" w:rsidRDefault="003C1739" w:rsidP="00E030D1">
      <w:pPr>
        <w:pStyle w:val="Subtitle"/>
        <w:spacing w:line="240" w:lineRule="auto"/>
        <w:rPr>
          <w:rFonts w:cs="Arial"/>
          <w:b/>
          <w:bCs/>
        </w:rPr>
        <w:sectPr w:rsidR="003C1739" w:rsidRPr="00E030D1" w:rsidSect="003C1739">
          <w:headerReference w:type="default" r:id="rId16"/>
          <w:footerReference w:type="default" r:id="rId17"/>
          <w:type w:val="continuous"/>
          <w:pgSz w:w="12240" w:h="15840" w:code="1"/>
          <w:pgMar w:top="360" w:right="907" w:bottom="446" w:left="907" w:header="720" w:footer="288" w:gutter="0"/>
          <w:cols w:num="2" w:sep="1" w:space="720"/>
          <w:docGrid w:linePitch="360"/>
        </w:sectPr>
      </w:pPr>
    </w:p>
    <w:p w:rsidR="00E030D1" w:rsidRDefault="00E030D1" w:rsidP="00E030D1">
      <w:pPr>
        <w:shd w:val="clear" w:color="auto" w:fill="FFFFFF"/>
        <w:ind w:left="270"/>
        <w:rPr>
          <w:rFonts w:ascii="Arial" w:hAnsi="Arial"/>
          <w:bCs/>
          <w:sz w:val="18"/>
          <w:szCs w:val="18"/>
        </w:rPr>
      </w:pPr>
    </w:p>
    <w:p w:rsidR="00A650DC" w:rsidRPr="00E030D1" w:rsidRDefault="00A650DC" w:rsidP="00E030D1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sectPr w:rsidR="00A650DC" w:rsidRPr="00E030D1" w:rsidSect="00E030D1">
      <w:footerReference w:type="default" r:id="rId18"/>
      <w:type w:val="continuous"/>
      <w:pgSz w:w="12240" w:h="15840" w:code="1"/>
      <w:pgMar w:top="360" w:right="907" w:bottom="432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E73" w:rsidRDefault="00F80E73" w:rsidP="00492602">
      <w:r>
        <w:separator/>
      </w:r>
    </w:p>
  </w:endnote>
  <w:endnote w:type="continuationSeparator" w:id="0">
    <w:p w:rsidR="00F80E73" w:rsidRDefault="00F80E73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Default="00637A67">
    <w:pPr>
      <w:pStyle w:val="Footer"/>
    </w:pPr>
    <w:r>
      <w:t>[Type text]</w:t>
    </w:r>
  </w:p>
  <w:p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A67" w:rsidRPr="003C1739" w:rsidRDefault="00637A67" w:rsidP="003C1739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622" w:rsidRPr="005C7622" w:rsidRDefault="005C7622" w:rsidP="005C7622">
    <w:pPr>
      <w:tabs>
        <w:tab w:val="left" w:pos="-9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5C7622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:rsidR="003C1739" w:rsidRPr="00E24139" w:rsidRDefault="005C7622" w:rsidP="005C7622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proofErr w:type="gramStart"/>
    <w:r w:rsidRPr="005C7622">
      <w:rPr>
        <w:rFonts w:ascii="Arial" w:hAnsi="Arial" w:cs="Arial"/>
        <w:iCs/>
        <w:sz w:val="18"/>
        <w:szCs w:val="18"/>
      </w:rPr>
      <w:t>please</w:t>
    </w:r>
    <w:proofErr w:type="gramEnd"/>
    <w:r w:rsidRPr="005C7622">
      <w:rPr>
        <w:rFonts w:ascii="Arial" w:hAnsi="Arial" w:cs="Arial"/>
        <w:iCs/>
        <w:sz w:val="18"/>
        <w:szCs w:val="18"/>
      </w:rPr>
      <w:t xml:space="preserve"> contact </w:t>
    </w:r>
    <w:proofErr w:type="spellStart"/>
    <w:r w:rsidRPr="005C7622">
      <w:rPr>
        <w:rFonts w:ascii="Arial" w:hAnsi="Arial" w:cs="Arial"/>
        <w:iCs/>
        <w:sz w:val="18"/>
        <w:szCs w:val="18"/>
      </w:rPr>
      <w:t>Josel</w:t>
    </w:r>
    <w:proofErr w:type="spellEnd"/>
    <w:r w:rsidRPr="005C7622">
      <w:rPr>
        <w:rFonts w:ascii="Arial" w:hAnsi="Arial" w:cs="Arial"/>
        <w:iCs/>
        <w:sz w:val="18"/>
        <w:szCs w:val="18"/>
      </w:rPr>
      <w:t xml:space="preserve"> </w:t>
    </w:r>
    <w:proofErr w:type="spellStart"/>
    <w:r w:rsidRPr="005C7622">
      <w:rPr>
        <w:rFonts w:ascii="Arial" w:hAnsi="Arial" w:cs="Arial"/>
        <w:iCs/>
        <w:sz w:val="18"/>
        <w:szCs w:val="18"/>
      </w:rPr>
      <w:t>Fernandes</w:t>
    </w:r>
    <w:proofErr w:type="spellEnd"/>
    <w:r w:rsidRPr="005C7622">
      <w:rPr>
        <w:rFonts w:ascii="Arial" w:hAnsi="Arial" w:cs="Arial"/>
        <w:iCs/>
        <w:sz w:val="18"/>
        <w:szCs w:val="18"/>
      </w:rPr>
      <w:t xml:space="preserve"> at (617) 423-9842.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E73" w:rsidRDefault="00F80E73" w:rsidP="00492602">
      <w:r>
        <w:separator/>
      </w:r>
    </w:p>
  </w:footnote>
  <w:footnote w:type="continuationSeparator" w:id="0">
    <w:p w:rsidR="00F80E73" w:rsidRDefault="00F80E73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492602">
    <w:pPr>
      <w:pStyle w:val="Header"/>
    </w:pPr>
  </w:p>
  <w:p w:rsidR="00492602" w:rsidRDefault="004926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>harmacy Facts, Number</w:t>
    </w:r>
    <w:r w:rsidRPr="0085301F">
      <w:rPr>
        <w:color w:val="auto"/>
        <w:sz w:val="18"/>
        <w:szCs w:val="18"/>
      </w:rPr>
      <w:t xml:space="preserve"> </w:t>
    </w:r>
    <w:r w:rsidR="0085301F" w:rsidRPr="0085301F">
      <w:rPr>
        <w:color w:val="auto"/>
        <w:sz w:val="18"/>
        <w:szCs w:val="18"/>
      </w:rPr>
      <w:t>153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485546">
      <w:rPr>
        <w:noProof/>
        <w:color w:val="auto"/>
        <w:sz w:val="18"/>
        <w:szCs w:val="18"/>
      </w:rPr>
      <w:t>3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683872">
      <w:rPr>
        <w:noProof/>
        <w:color w:val="auto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938F5"/>
    <w:multiLevelType w:val="hybridMultilevel"/>
    <w:tmpl w:val="DA5A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415A3"/>
    <w:multiLevelType w:val="hybridMultilevel"/>
    <w:tmpl w:val="72280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72AA1"/>
    <w:multiLevelType w:val="hybridMultilevel"/>
    <w:tmpl w:val="2B4C5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1079A"/>
    <w:multiLevelType w:val="hybridMultilevel"/>
    <w:tmpl w:val="B2D64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56BEA"/>
    <w:multiLevelType w:val="hybridMultilevel"/>
    <w:tmpl w:val="6AC6A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D5028C8"/>
    <w:multiLevelType w:val="hybridMultilevel"/>
    <w:tmpl w:val="90A8E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2"/>
  </w:num>
  <w:num w:numId="4">
    <w:abstractNumId w:val="9"/>
  </w:num>
  <w:num w:numId="5">
    <w:abstractNumId w:val="11"/>
  </w:num>
  <w:num w:numId="6">
    <w:abstractNumId w:val="17"/>
  </w:num>
  <w:num w:numId="7">
    <w:abstractNumId w:val="23"/>
  </w:num>
  <w:num w:numId="8">
    <w:abstractNumId w:val="4"/>
  </w:num>
  <w:num w:numId="9">
    <w:abstractNumId w:val="0"/>
  </w:num>
  <w:num w:numId="10">
    <w:abstractNumId w:val="20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2"/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9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"/>
  </w:num>
  <w:num w:numId="21">
    <w:abstractNumId w:val="10"/>
  </w:num>
  <w:num w:numId="22">
    <w:abstractNumId w:val="24"/>
  </w:num>
  <w:num w:numId="23">
    <w:abstractNumId w:val="25"/>
  </w:num>
  <w:num w:numId="24">
    <w:abstractNumId w:val="16"/>
  </w:num>
  <w:num w:numId="25">
    <w:abstractNumId w:val="21"/>
  </w:num>
  <w:num w:numId="26">
    <w:abstractNumId w:val="8"/>
  </w:num>
  <w:num w:numId="27">
    <w:abstractNumId w:val="26"/>
  </w:num>
  <w:num w:numId="28">
    <w:abstractNumId w:val="1"/>
  </w:num>
  <w:num w:numId="29">
    <w:abstractNumId w:val="27"/>
  </w:num>
  <w:num w:numId="30">
    <w:abstractNumId w:val="1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3148F"/>
    <w:rsid w:val="00054839"/>
    <w:rsid w:val="00063DDE"/>
    <w:rsid w:val="000713D3"/>
    <w:rsid w:val="000735C4"/>
    <w:rsid w:val="00074014"/>
    <w:rsid w:val="00081E8E"/>
    <w:rsid w:val="000A6318"/>
    <w:rsid w:val="000D1502"/>
    <w:rsid w:val="000F5C22"/>
    <w:rsid w:val="00123D58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779F"/>
    <w:rsid w:val="0021214A"/>
    <w:rsid w:val="00212622"/>
    <w:rsid w:val="002275AE"/>
    <w:rsid w:val="00230996"/>
    <w:rsid w:val="002509E9"/>
    <w:rsid w:val="00254CB5"/>
    <w:rsid w:val="002727AB"/>
    <w:rsid w:val="00276F3A"/>
    <w:rsid w:val="00286CBE"/>
    <w:rsid w:val="00291397"/>
    <w:rsid w:val="002B7789"/>
    <w:rsid w:val="002C7C67"/>
    <w:rsid w:val="002D390F"/>
    <w:rsid w:val="002D3C44"/>
    <w:rsid w:val="002D738C"/>
    <w:rsid w:val="002E2F9E"/>
    <w:rsid w:val="002F4E7B"/>
    <w:rsid w:val="003152DA"/>
    <w:rsid w:val="0033053B"/>
    <w:rsid w:val="00334D14"/>
    <w:rsid w:val="00360067"/>
    <w:rsid w:val="0036343A"/>
    <w:rsid w:val="0037373E"/>
    <w:rsid w:val="00375713"/>
    <w:rsid w:val="00382054"/>
    <w:rsid w:val="00387C1F"/>
    <w:rsid w:val="003911FC"/>
    <w:rsid w:val="003B6839"/>
    <w:rsid w:val="003C1739"/>
    <w:rsid w:val="003D2B74"/>
    <w:rsid w:val="003E2DAB"/>
    <w:rsid w:val="003F533B"/>
    <w:rsid w:val="0041065E"/>
    <w:rsid w:val="00447A5F"/>
    <w:rsid w:val="00453E30"/>
    <w:rsid w:val="00453F3E"/>
    <w:rsid w:val="00456B5A"/>
    <w:rsid w:val="004664D3"/>
    <w:rsid w:val="00477916"/>
    <w:rsid w:val="00485546"/>
    <w:rsid w:val="004910B8"/>
    <w:rsid w:val="00492602"/>
    <w:rsid w:val="004A3BAA"/>
    <w:rsid w:val="004A7395"/>
    <w:rsid w:val="004D1BC7"/>
    <w:rsid w:val="004D79B2"/>
    <w:rsid w:val="004F5612"/>
    <w:rsid w:val="005052D9"/>
    <w:rsid w:val="00516394"/>
    <w:rsid w:val="0052118E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B50F9"/>
    <w:rsid w:val="005C7622"/>
    <w:rsid w:val="005D723D"/>
    <w:rsid w:val="00607CFA"/>
    <w:rsid w:val="00623469"/>
    <w:rsid w:val="00634C49"/>
    <w:rsid w:val="00637A67"/>
    <w:rsid w:val="00650095"/>
    <w:rsid w:val="00651CA7"/>
    <w:rsid w:val="006615EC"/>
    <w:rsid w:val="00673F96"/>
    <w:rsid w:val="00674418"/>
    <w:rsid w:val="00674428"/>
    <w:rsid w:val="00683872"/>
    <w:rsid w:val="00686C26"/>
    <w:rsid w:val="00690023"/>
    <w:rsid w:val="00696F48"/>
    <w:rsid w:val="0069772F"/>
    <w:rsid w:val="006D3B5F"/>
    <w:rsid w:val="006E0C20"/>
    <w:rsid w:val="006E22A3"/>
    <w:rsid w:val="006E6AFF"/>
    <w:rsid w:val="006F35F9"/>
    <w:rsid w:val="007319D7"/>
    <w:rsid w:val="00731FAF"/>
    <w:rsid w:val="007426BF"/>
    <w:rsid w:val="00760FDF"/>
    <w:rsid w:val="007757E7"/>
    <w:rsid w:val="00781D3B"/>
    <w:rsid w:val="007A41F5"/>
    <w:rsid w:val="007B2F2D"/>
    <w:rsid w:val="007B4429"/>
    <w:rsid w:val="007B7425"/>
    <w:rsid w:val="007E4380"/>
    <w:rsid w:val="007F5417"/>
    <w:rsid w:val="00804116"/>
    <w:rsid w:val="00812480"/>
    <w:rsid w:val="00821937"/>
    <w:rsid w:val="008340D0"/>
    <w:rsid w:val="008403CA"/>
    <w:rsid w:val="0085301F"/>
    <w:rsid w:val="0085395A"/>
    <w:rsid w:val="00853F8E"/>
    <w:rsid w:val="0086142C"/>
    <w:rsid w:val="00872E7F"/>
    <w:rsid w:val="00880FA9"/>
    <w:rsid w:val="008930F1"/>
    <w:rsid w:val="00893BD2"/>
    <w:rsid w:val="00893F45"/>
    <w:rsid w:val="008C5414"/>
    <w:rsid w:val="008F0130"/>
    <w:rsid w:val="008F2E4C"/>
    <w:rsid w:val="008F4F7C"/>
    <w:rsid w:val="00905C46"/>
    <w:rsid w:val="00906EEC"/>
    <w:rsid w:val="009166DF"/>
    <w:rsid w:val="009204C7"/>
    <w:rsid w:val="00922030"/>
    <w:rsid w:val="0093532E"/>
    <w:rsid w:val="00941258"/>
    <w:rsid w:val="00942245"/>
    <w:rsid w:val="00956812"/>
    <w:rsid w:val="00963957"/>
    <w:rsid w:val="009725E5"/>
    <w:rsid w:val="00974CFD"/>
    <w:rsid w:val="00974EEB"/>
    <w:rsid w:val="00981567"/>
    <w:rsid w:val="009C3981"/>
    <w:rsid w:val="009C3CFF"/>
    <w:rsid w:val="009D1341"/>
    <w:rsid w:val="009D6D73"/>
    <w:rsid w:val="009D79C6"/>
    <w:rsid w:val="009F0440"/>
    <w:rsid w:val="009F0526"/>
    <w:rsid w:val="00A01DE3"/>
    <w:rsid w:val="00A11371"/>
    <w:rsid w:val="00A120E1"/>
    <w:rsid w:val="00A31FAA"/>
    <w:rsid w:val="00A343A9"/>
    <w:rsid w:val="00A5239C"/>
    <w:rsid w:val="00A650DC"/>
    <w:rsid w:val="00A6764A"/>
    <w:rsid w:val="00A84255"/>
    <w:rsid w:val="00A93734"/>
    <w:rsid w:val="00AC1AC7"/>
    <w:rsid w:val="00AD18B8"/>
    <w:rsid w:val="00AD33D5"/>
    <w:rsid w:val="00AE21FC"/>
    <w:rsid w:val="00AE7072"/>
    <w:rsid w:val="00B01BAA"/>
    <w:rsid w:val="00B07BD7"/>
    <w:rsid w:val="00B13AA5"/>
    <w:rsid w:val="00B3099B"/>
    <w:rsid w:val="00B40A71"/>
    <w:rsid w:val="00B41B0C"/>
    <w:rsid w:val="00B468E4"/>
    <w:rsid w:val="00B472DF"/>
    <w:rsid w:val="00B503C7"/>
    <w:rsid w:val="00B54AB5"/>
    <w:rsid w:val="00B645C9"/>
    <w:rsid w:val="00B92C96"/>
    <w:rsid w:val="00BA68F0"/>
    <w:rsid w:val="00BD08CA"/>
    <w:rsid w:val="00BE1214"/>
    <w:rsid w:val="00BE3015"/>
    <w:rsid w:val="00C15672"/>
    <w:rsid w:val="00C31421"/>
    <w:rsid w:val="00C33753"/>
    <w:rsid w:val="00C35B94"/>
    <w:rsid w:val="00C723B5"/>
    <w:rsid w:val="00C82FA4"/>
    <w:rsid w:val="00CA0669"/>
    <w:rsid w:val="00CA1E7C"/>
    <w:rsid w:val="00CB0030"/>
    <w:rsid w:val="00CB7521"/>
    <w:rsid w:val="00CC57AC"/>
    <w:rsid w:val="00CC776C"/>
    <w:rsid w:val="00CD389A"/>
    <w:rsid w:val="00CD6D68"/>
    <w:rsid w:val="00CE3864"/>
    <w:rsid w:val="00D0584B"/>
    <w:rsid w:val="00D2467C"/>
    <w:rsid w:val="00D2695E"/>
    <w:rsid w:val="00D335C5"/>
    <w:rsid w:val="00D521FA"/>
    <w:rsid w:val="00D5685A"/>
    <w:rsid w:val="00D81121"/>
    <w:rsid w:val="00D83FDF"/>
    <w:rsid w:val="00DA7B83"/>
    <w:rsid w:val="00DB5DBC"/>
    <w:rsid w:val="00DB6A12"/>
    <w:rsid w:val="00E02354"/>
    <w:rsid w:val="00E030D1"/>
    <w:rsid w:val="00E10EA0"/>
    <w:rsid w:val="00E24139"/>
    <w:rsid w:val="00E34C02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25E7F"/>
    <w:rsid w:val="00F307D6"/>
    <w:rsid w:val="00F45E31"/>
    <w:rsid w:val="00F512EE"/>
    <w:rsid w:val="00F643E6"/>
    <w:rsid w:val="00F76D69"/>
    <w:rsid w:val="00F80E73"/>
    <w:rsid w:val="00F9012C"/>
    <w:rsid w:val="00F9097E"/>
    <w:rsid w:val="00F93C6C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rsid w:val="00254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rsid w:val="00254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druglist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mass.gov/druglist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mass.gov/drug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D46C0-CAF8-4746-9B97-14B17B0A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2020-09-15T12:44:00Z</dcterms:created>
  <dcterms:modified xsi:type="dcterms:W3CDTF">2020-09-15T12:58:00Z</dcterms:modified>
</cp:coreProperties>
</file>