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D5A2ED" w14:textId="77777777" w:rsidR="00C559C9" w:rsidRPr="007B4751" w:rsidRDefault="00C559C9" w:rsidP="00C559C9">
      <w:pPr>
        <w:pStyle w:val="Noparagraphstyle"/>
        <w:rPr>
          <w:rFonts w:ascii="Arial Narrow" w:hAnsi="Arial Narrow"/>
          <w:b/>
          <w:color w:val="auto"/>
          <w:sz w:val="20"/>
          <w:szCs w:val="20"/>
        </w:rPr>
      </w:pPr>
      <w:r>
        <w:rPr>
          <w:rFonts w:ascii="Arial Narrow" w:hAnsi="Arial Narrow"/>
          <w:b/>
          <w:sz w:val="20"/>
          <w:szCs w:val="20"/>
        </w:rPr>
        <w:t xml:space="preserve">Number </w:t>
      </w:r>
      <w:r w:rsidR="007B4751" w:rsidRPr="007B4751">
        <w:rPr>
          <w:rFonts w:ascii="Arial Narrow" w:hAnsi="Arial Narrow"/>
          <w:b/>
          <w:color w:val="auto"/>
          <w:sz w:val="20"/>
          <w:szCs w:val="20"/>
        </w:rPr>
        <w:t>158, December 18, 2020</w:t>
      </w:r>
    </w:p>
    <w:p w14:paraId="50D83A7C" w14:textId="77777777" w:rsidR="006F35F9" w:rsidRDefault="00C559C9" w:rsidP="006F35F9">
      <w:pPr>
        <w:pStyle w:val="NormalWeb"/>
        <w:shd w:val="clear" w:color="auto" w:fill="FFFFFF"/>
        <w:spacing w:before="0" w:beforeAutospacing="0" w:after="225" w:afterAutospacing="0"/>
        <w:jc w:val="both"/>
        <w:rPr>
          <w:rFonts w:ascii="Arial" w:hAnsi="Arial" w:cs="Arial"/>
          <w:color w:val="000000"/>
          <w:sz w:val="21"/>
          <w:szCs w:val="21"/>
        </w:rPr>
        <w:sectPr w:rsidR="006F35F9" w:rsidSect="001721D8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360" w:right="907" w:bottom="446" w:left="907" w:header="0" w:footer="288" w:gutter="0"/>
          <w:cols w:space="720"/>
          <w:docGrid w:linePitch="360"/>
        </w:sectPr>
      </w:pPr>
      <w:r>
        <w:rPr>
          <w:b/>
          <w:noProof/>
        </w:rPr>
        <w:drawing>
          <wp:inline distT="0" distB="0" distL="0" distR="0" wp14:anchorId="5A007987" wp14:editId="5F430BAE">
            <wp:extent cx="6812280" cy="1760220"/>
            <wp:effectExtent l="0" t="0" r="7620" b="0"/>
            <wp:docPr id="24" name="Picture 1" descr="Pharmacy Facts provides pharmacists with information and updates about the MassHealth Pharmacy Program. &#10;Editor: Vic Vangel&#10;Contributors: Aimee Evers, Paul Jeffrey, Neha Kashalikar, Kim Lenz, Nancy Schiff, Vic Vangel " title="Pharmacy Facts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itle: Pharmacy Facts banner - Description: Pharmacy Facts provides pharmacists with information and updates about the MassHealth Pharmacy Program. &#10;Editor: Vic Vangel&#10;Contributors: Aimee Evers, Paul Jeffrey, Neha Kashalikar, Kim Lenz, Nancy Schiff, Vic Vangel 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12280" cy="176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487F77" w14:textId="77777777" w:rsidR="00CD6D68" w:rsidRPr="00140D3B" w:rsidRDefault="007B4751" w:rsidP="00CD6D68">
      <w:pPr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MHDL Update</w:t>
      </w:r>
    </w:p>
    <w:p w14:paraId="024EB899" w14:textId="77777777" w:rsidR="00CD6D68" w:rsidRPr="00C60193" w:rsidRDefault="00CD6D68" w:rsidP="00CD6D68">
      <w:pPr>
        <w:rPr>
          <w:sz w:val="22"/>
          <w:szCs w:val="22"/>
        </w:rPr>
      </w:pPr>
    </w:p>
    <w:p w14:paraId="210C7A2F" w14:textId="77777777" w:rsidR="00B503C7" w:rsidRPr="00B503C7" w:rsidRDefault="007B4751" w:rsidP="007B4751">
      <w:pPr>
        <w:pStyle w:val="Default"/>
        <w:spacing w:line="276" w:lineRule="auto"/>
        <w:rPr>
          <w:rFonts w:ascii="Arial" w:hAnsi="Arial" w:cs="Arial"/>
          <w:color w:val="auto"/>
          <w:sz w:val="22"/>
          <w:szCs w:val="22"/>
        </w:rPr>
      </w:pPr>
      <w:r w:rsidRPr="007B4751">
        <w:rPr>
          <w:rFonts w:ascii="Arial" w:hAnsi="Arial" w:cs="Arial"/>
          <w:color w:val="auto"/>
          <w:sz w:val="22"/>
          <w:szCs w:val="22"/>
        </w:rPr>
        <w:t>Below are certain updates to the MassHealth Drug List (MHDL). See the MHDL for a complete listing of updates.</w:t>
      </w:r>
    </w:p>
    <w:p w14:paraId="76B8242E" w14:textId="77777777" w:rsidR="007B4751" w:rsidRDefault="007B4751" w:rsidP="00CD6D68">
      <w:pPr>
        <w:pStyle w:val="Default"/>
        <w:tabs>
          <w:tab w:val="left" w:pos="90"/>
        </w:tabs>
        <w:spacing w:line="276" w:lineRule="auto"/>
        <w:ind w:left="360" w:hanging="360"/>
      </w:pPr>
    </w:p>
    <w:p w14:paraId="1150F804" w14:textId="77777777" w:rsidR="00CD6D68" w:rsidRPr="00F47D34" w:rsidRDefault="007B4751" w:rsidP="007B4751">
      <w:pPr>
        <w:rPr>
          <w:rFonts w:ascii="Arial" w:hAnsi="Arial" w:cs="Arial"/>
          <w:b/>
          <w:bCs/>
        </w:rPr>
      </w:pPr>
      <w:r w:rsidRPr="00F47D34">
        <w:rPr>
          <w:rFonts w:ascii="Arial" w:hAnsi="Arial" w:cs="Arial"/>
          <w:b/>
          <w:bCs/>
        </w:rPr>
        <w:t>Additions</w:t>
      </w:r>
    </w:p>
    <w:p w14:paraId="6A477C4E" w14:textId="77777777" w:rsidR="00F47D34" w:rsidRPr="00DD4B33" w:rsidRDefault="00F47D34" w:rsidP="00F47D34">
      <w:pPr>
        <w:pStyle w:val="Heading1"/>
        <w:spacing w:line="276" w:lineRule="auto"/>
        <w:rPr>
          <w:b w:val="0"/>
        </w:rPr>
      </w:pPr>
    </w:p>
    <w:p w14:paraId="5378A7C8" w14:textId="77777777" w:rsidR="00F47D34" w:rsidRPr="00D161D7" w:rsidRDefault="00F47D34" w:rsidP="00F47D34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1"/>
        </w:rPr>
      </w:pPr>
      <w:r w:rsidRPr="00DD4B33">
        <w:rPr>
          <w:rFonts w:ascii="Arial" w:hAnsi="Arial" w:cs="Arial"/>
          <w:sz w:val="22"/>
          <w:szCs w:val="21"/>
        </w:rPr>
        <w:t xml:space="preserve">Effective </w:t>
      </w:r>
      <w:r w:rsidRPr="00D21427">
        <w:rPr>
          <w:rFonts w:ascii="Arial" w:hAnsi="Arial" w:cs="Arial"/>
          <w:sz w:val="22"/>
          <w:szCs w:val="21"/>
        </w:rPr>
        <w:t>December 21, 2020</w:t>
      </w:r>
      <w:r w:rsidRPr="00DD4B33">
        <w:rPr>
          <w:rFonts w:ascii="Arial" w:hAnsi="Arial" w:cs="Arial"/>
          <w:sz w:val="22"/>
          <w:szCs w:val="21"/>
        </w:rPr>
        <w:t>, the following newly marketed drugs have been added to the MassHealth Drug List.</w:t>
      </w:r>
      <w:r w:rsidRPr="00F67059">
        <w:rPr>
          <w:rFonts w:ascii="Arial" w:hAnsi="Arial" w:cs="Arial"/>
          <w:sz w:val="22"/>
          <w:szCs w:val="21"/>
        </w:rPr>
        <w:t xml:space="preserve"> </w:t>
      </w:r>
    </w:p>
    <w:p w14:paraId="56C98FA0" w14:textId="77777777" w:rsidR="00F47D34" w:rsidRPr="00A52903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52903">
        <w:rPr>
          <w:rFonts w:ascii="Arial" w:hAnsi="Arial" w:cs="Arial"/>
          <w:sz w:val="22"/>
          <w:szCs w:val="22"/>
        </w:rPr>
        <w:t>Airduo</w:t>
      </w:r>
      <w:proofErr w:type="spellEnd"/>
      <w:r w:rsidRPr="00A529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903">
        <w:rPr>
          <w:rFonts w:ascii="Arial" w:hAnsi="Arial" w:cs="Arial"/>
          <w:sz w:val="22"/>
          <w:szCs w:val="22"/>
        </w:rPr>
        <w:t>Digihaler</w:t>
      </w:r>
      <w:proofErr w:type="spellEnd"/>
      <w:r w:rsidRPr="00A52903">
        <w:rPr>
          <w:rFonts w:ascii="Arial" w:hAnsi="Arial" w:cs="Arial"/>
          <w:sz w:val="22"/>
          <w:szCs w:val="22"/>
        </w:rPr>
        <w:t xml:space="preserve"> (fluticasone/salmeterol inhalation powder</w:t>
      </w:r>
      <w:r>
        <w:rPr>
          <w:rFonts w:ascii="Arial" w:hAnsi="Arial" w:cs="Arial"/>
          <w:sz w:val="22"/>
          <w:szCs w:val="22"/>
        </w:rPr>
        <w:t>)</w:t>
      </w:r>
      <w:r w:rsidRPr="00A52903">
        <w:rPr>
          <w:rFonts w:ascii="Arial" w:hAnsi="Arial" w:cs="Arial"/>
          <w:sz w:val="22"/>
          <w:szCs w:val="22"/>
        </w:rPr>
        <w:t xml:space="preserve"> – </w:t>
      </w:r>
      <w:r w:rsidRPr="00A52903">
        <w:rPr>
          <w:rFonts w:ascii="Arial" w:hAnsi="Arial" w:cs="Arial"/>
          <w:b/>
          <w:sz w:val="22"/>
          <w:szCs w:val="22"/>
        </w:rPr>
        <w:t>PA</w:t>
      </w:r>
      <w:r w:rsidRPr="00A52903">
        <w:rPr>
          <w:rFonts w:ascii="Arial" w:hAnsi="Arial" w:cs="Arial"/>
          <w:sz w:val="22"/>
          <w:szCs w:val="22"/>
        </w:rPr>
        <w:t xml:space="preserve"> </w:t>
      </w:r>
    </w:p>
    <w:p w14:paraId="0D97E384" w14:textId="77777777" w:rsidR="00F47D34" w:rsidRPr="00A52903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52903">
        <w:rPr>
          <w:rFonts w:ascii="Arial" w:hAnsi="Arial" w:cs="Arial"/>
          <w:sz w:val="22"/>
          <w:szCs w:val="22"/>
        </w:rPr>
        <w:t>Armonair</w:t>
      </w:r>
      <w:proofErr w:type="spellEnd"/>
      <w:r w:rsidRPr="00A5290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A52903">
        <w:rPr>
          <w:rFonts w:ascii="Arial" w:hAnsi="Arial" w:cs="Arial"/>
          <w:sz w:val="22"/>
          <w:szCs w:val="22"/>
        </w:rPr>
        <w:t>Digihaler</w:t>
      </w:r>
      <w:proofErr w:type="spellEnd"/>
      <w:r w:rsidRPr="00A52903">
        <w:rPr>
          <w:rFonts w:ascii="Arial" w:hAnsi="Arial" w:cs="Arial"/>
          <w:sz w:val="22"/>
          <w:szCs w:val="22"/>
        </w:rPr>
        <w:t xml:space="preserve"> (fluticasone propionate inhalation powder</w:t>
      </w:r>
      <w:r>
        <w:rPr>
          <w:rFonts w:ascii="Arial" w:hAnsi="Arial" w:cs="Arial"/>
          <w:sz w:val="22"/>
          <w:szCs w:val="22"/>
        </w:rPr>
        <w:t>)</w:t>
      </w:r>
      <w:r w:rsidRPr="00A52903">
        <w:rPr>
          <w:rFonts w:ascii="Arial" w:hAnsi="Arial" w:cs="Arial"/>
          <w:sz w:val="22"/>
          <w:szCs w:val="22"/>
        </w:rPr>
        <w:t xml:space="preserve"> – </w:t>
      </w:r>
      <w:r w:rsidRPr="00A52903">
        <w:rPr>
          <w:rFonts w:ascii="Arial" w:hAnsi="Arial" w:cs="Arial"/>
          <w:b/>
          <w:sz w:val="22"/>
          <w:szCs w:val="22"/>
        </w:rPr>
        <w:t>PA</w:t>
      </w:r>
      <w:r w:rsidRPr="00A52903">
        <w:rPr>
          <w:rFonts w:ascii="Arial" w:hAnsi="Arial" w:cs="Arial"/>
          <w:sz w:val="22"/>
          <w:szCs w:val="22"/>
        </w:rPr>
        <w:t xml:space="preserve"> </w:t>
      </w:r>
    </w:p>
    <w:p w14:paraId="16FFF222" w14:textId="77777777" w:rsidR="00F47D34" w:rsidRPr="00A52903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52903">
        <w:rPr>
          <w:rFonts w:ascii="Arial" w:hAnsi="Arial" w:cs="Arial"/>
          <w:sz w:val="22"/>
          <w:szCs w:val="22"/>
        </w:rPr>
        <w:t>Breztri</w:t>
      </w:r>
      <w:proofErr w:type="spellEnd"/>
      <w:r w:rsidRPr="00A52903">
        <w:rPr>
          <w:rFonts w:ascii="Arial" w:hAnsi="Arial" w:cs="Arial"/>
          <w:sz w:val="22"/>
          <w:szCs w:val="22"/>
        </w:rPr>
        <w:t xml:space="preserve"> (budesonide/glycopyrrolate/formoterol) – </w:t>
      </w:r>
      <w:r w:rsidRPr="00A52903">
        <w:rPr>
          <w:rFonts w:ascii="Arial" w:hAnsi="Arial" w:cs="Arial"/>
          <w:b/>
          <w:sz w:val="22"/>
          <w:szCs w:val="22"/>
        </w:rPr>
        <w:t>PA</w:t>
      </w:r>
    </w:p>
    <w:p w14:paraId="73F8B826" w14:textId="77777777" w:rsidR="00F47D34" w:rsidRPr="002C21C0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7A0F37">
        <w:rPr>
          <w:rFonts w:ascii="Arial" w:hAnsi="Arial" w:cs="Arial"/>
          <w:sz w:val="22"/>
          <w:szCs w:val="22"/>
        </w:rPr>
        <w:t>Dojolvi</w:t>
      </w:r>
      <w:proofErr w:type="spellEnd"/>
      <w:r w:rsidRPr="007A0F37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7A0F37">
        <w:rPr>
          <w:rFonts w:ascii="Arial" w:hAnsi="Arial" w:cs="Arial"/>
          <w:sz w:val="22"/>
          <w:szCs w:val="22"/>
        </w:rPr>
        <w:t>triheptanoin</w:t>
      </w:r>
      <w:proofErr w:type="spellEnd"/>
      <w:r w:rsidRPr="007A0F37">
        <w:rPr>
          <w:rFonts w:ascii="Arial" w:hAnsi="Arial" w:cs="Arial"/>
          <w:sz w:val="22"/>
          <w:szCs w:val="22"/>
        </w:rPr>
        <w:t xml:space="preserve">) </w:t>
      </w:r>
      <w:r w:rsidRPr="002C21C0">
        <w:rPr>
          <w:rFonts w:ascii="Arial" w:hAnsi="Arial" w:cs="Arial"/>
          <w:sz w:val="22"/>
          <w:szCs w:val="22"/>
        </w:rPr>
        <w:t xml:space="preserve">– </w:t>
      </w:r>
      <w:r w:rsidRPr="002C21C0">
        <w:rPr>
          <w:rFonts w:ascii="Arial" w:hAnsi="Arial" w:cs="Arial"/>
          <w:b/>
          <w:sz w:val="22"/>
          <w:szCs w:val="22"/>
        </w:rPr>
        <w:t>PA</w:t>
      </w:r>
    </w:p>
    <w:p w14:paraId="27BD73AE" w14:textId="77777777" w:rsidR="00F47D34" w:rsidRPr="004E02CA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4E02CA">
        <w:rPr>
          <w:rFonts w:ascii="Arial" w:hAnsi="Arial" w:cs="Arial"/>
          <w:sz w:val="22"/>
          <w:szCs w:val="22"/>
        </w:rPr>
        <w:t>Durysta</w:t>
      </w:r>
      <w:proofErr w:type="spellEnd"/>
      <w:r w:rsidRPr="004E02C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4E02CA">
        <w:rPr>
          <w:rFonts w:ascii="Arial" w:hAnsi="Arial" w:cs="Arial"/>
          <w:sz w:val="22"/>
          <w:szCs w:val="22"/>
        </w:rPr>
        <w:t>bimatoprost</w:t>
      </w:r>
      <w:proofErr w:type="spellEnd"/>
      <w:r w:rsidRPr="004E02CA">
        <w:rPr>
          <w:rFonts w:ascii="Arial" w:hAnsi="Arial" w:cs="Arial"/>
          <w:sz w:val="22"/>
          <w:szCs w:val="22"/>
        </w:rPr>
        <w:t xml:space="preserve"> implant) – </w:t>
      </w:r>
      <w:r w:rsidRPr="004E02CA">
        <w:rPr>
          <w:rFonts w:ascii="Arial" w:hAnsi="Arial" w:cs="Arial"/>
          <w:b/>
          <w:sz w:val="22"/>
          <w:szCs w:val="22"/>
        </w:rPr>
        <w:t>PA</w:t>
      </w:r>
    </w:p>
    <w:p w14:paraId="2A0BA704" w14:textId="77777777" w:rsidR="00F47D34" w:rsidRPr="007B4B55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7B4B55">
        <w:rPr>
          <w:rFonts w:ascii="Arial" w:hAnsi="Arial" w:cs="Arial"/>
          <w:sz w:val="22"/>
          <w:szCs w:val="22"/>
        </w:rPr>
        <w:t>Kynmobi</w:t>
      </w:r>
      <w:proofErr w:type="spellEnd"/>
      <w:r w:rsidRPr="007B4B55">
        <w:rPr>
          <w:rFonts w:ascii="Arial" w:hAnsi="Arial" w:cs="Arial"/>
          <w:sz w:val="22"/>
          <w:szCs w:val="22"/>
        </w:rPr>
        <w:t xml:space="preserve"> (apomorphine film) – </w:t>
      </w:r>
      <w:r w:rsidRPr="007B4B55">
        <w:rPr>
          <w:rFonts w:ascii="Arial" w:hAnsi="Arial" w:cs="Arial"/>
          <w:b/>
          <w:bCs/>
          <w:sz w:val="22"/>
          <w:szCs w:val="22"/>
        </w:rPr>
        <w:t>PA</w:t>
      </w:r>
    </w:p>
    <w:p w14:paraId="1C12FEE6" w14:textId="77777777" w:rsidR="00F47D34" w:rsidRPr="00006EAD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color w:val="auto"/>
          <w:sz w:val="22"/>
          <w:szCs w:val="22"/>
        </w:rPr>
      </w:pPr>
      <w:proofErr w:type="spellStart"/>
      <w:r w:rsidRPr="00006EAD">
        <w:rPr>
          <w:rFonts w:ascii="Arial" w:hAnsi="Arial" w:cs="Arial"/>
          <w:color w:val="auto"/>
          <w:sz w:val="22"/>
          <w:szCs w:val="22"/>
        </w:rPr>
        <w:t>Luxturna</w:t>
      </w:r>
      <w:proofErr w:type="spellEnd"/>
      <w:r w:rsidRPr="00006EAD">
        <w:rPr>
          <w:rFonts w:ascii="Arial" w:hAnsi="Arial" w:cs="Arial"/>
          <w:color w:val="auto"/>
          <w:sz w:val="22"/>
          <w:szCs w:val="22"/>
        </w:rPr>
        <w:t xml:space="preserve"> (</w:t>
      </w:r>
      <w:proofErr w:type="spellStart"/>
      <w:r w:rsidRPr="00006EAD">
        <w:rPr>
          <w:rFonts w:ascii="Arial" w:hAnsi="Arial" w:cs="Arial"/>
          <w:color w:val="auto"/>
          <w:sz w:val="22"/>
          <w:szCs w:val="22"/>
        </w:rPr>
        <w:t>voretigene</w:t>
      </w:r>
      <w:proofErr w:type="spellEnd"/>
      <w:r w:rsidRPr="00006EAD">
        <w:rPr>
          <w:rFonts w:ascii="Arial" w:hAnsi="Arial" w:cs="Arial"/>
          <w:color w:val="auto"/>
          <w:sz w:val="22"/>
          <w:szCs w:val="22"/>
        </w:rPr>
        <w:t xml:space="preserve"> </w:t>
      </w:r>
      <w:proofErr w:type="spellStart"/>
      <w:r w:rsidRPr="00006EAD">
        <w:rPr>
          <w:rFonts w:ascii="Arial" w:hAnsi="Arial" w:cs="Arial"/>
          <w:color w:val="auto"/>
          <w:sz w:val="22"/>
          <w:szCs w:val="22"/>
        </w:rPr>
        <w:t>neparvovec</w:t>
      </w:r>
      <w:proofErr w:type="spellEnd"/>
      <w:r w:rsidRPr="00006EAD">
        <w:rPr>
          <w:rFonts w:ascii="Arial" w:hAnsi="Arial" w:cs="Arial"/>
          <w:color w:val="auto"/>
          <w:sz w:val="22"/>
          <w:szCs w:val="22"/>
        </w:rPr>
        <w:t xml:space="preserve">) </w:t>
      </w:r>
      <w:r w:rsidRPr="00006EAD">
        <w:rPr>
          <w:rFonts w:ascii="Arial" w:hAnsi="Arial" w:cs="Arial"/>
          <w:color w:val="auto"/>
          <w:sz w:val="22"/>
          <w:szCs w:val="22"/>
          <w:vertAlign w:val="superscript"/>
        </w:rPr>
        <w:t>CO</w:t>
      </w:r>
      <w:r w:rsidRPr="00006EAD">
        <w:rPr>
          <w:rFonts w:ascii="Arial" w:hAnsi="Arial" w:cs="Arial"/>
          <w:color w:val="auto"/>
          <w:sz w:val="22"/>
          <w:szCs w:val="22"/>
        </w:rPr>
        <w:t xml:space="preserve"> ^ – </w:t>
      </w:r>
      <w:r w:rsidRPr="00006EAD">
        <w:rPr>
          <w:rFonts w:ascii="Arial" w:hAnsi="Arial" w:cs="Arial"/>
          <w:b/>
          <w:bCs/>
          <w:color w:val="auto"/>
          <w:sz w:val="22"/>
          <w:szCs w:val="22"/>
        </w:rPr>
        <w:t>PA</w:t>
      </w:r>
    </w:p>
    <w:p w14:paraId="1FC98B1C" w14:textId="77777777" w:rsidR="00F47D34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A3BD2">
        <w:rPr>
          <w:rFonts w:ascii="Arial" w:hAnsi="Arial" w:cs="Arial"/>
          <w:sz w:val="22"/>
          <w:szCs w:val="22"/>
        </w:rPr>
        <w:t>Lyumjev</w:t>
      </w:r>
      <w:proofErr w:type="spellEnd"/>
      <w:r w:rsidRPr="00AA3BD2">
        <w:rPr>
          <w:rFonts w:ascii="Arial" w:hAnsi="Arial" w:cs="Arial"/>
          <w:sz w:val="22"/>
          <w:szCs w:val="22"/>
        </w:rPr>
        <w:t xml:space="preserve"> (insulin lispro</w:t>
      </w:r>
      <w:r>
        <w:rPr>
          <w:rFonts w:ascii="Arial" w:hAnsi="Arial" w:cs="Arial"/>
          <w:sz w:val="22"/>
          <w:szCs w:val="22"/>
        </w:rPr>
        <w:t xml:space="preserve">) </w:t>
      </w:r>
      <w:r w:rsidRPr="00861BCE">
        <w:rPr>
          <w:rFonts w:ascii="Arial" w:hAnsi="Arial" w:cs="Arial"/>
          <w:sz w:val="22"/>
          <w:szCs w:val="22"/>
        </w:rPr>
        <w:t>–</w:t>
      </w:r>
      <w:r w:rsidRPr="00861BCE">
        <w:rPr>
          <w:rFonts w:ascii="Arial" w:hAnsi="Arial" w:cs="Arial"/>
          <w:b/>
          <w:bCs/>
          <w:sz w:val="22"/>
          <w:szCs w:val="22"/>
        </w:rPr>
        <w:t xml:space="preserve"> PA</w:t>
      </w:r>
    </w:p>
    <w:p w14:paraId="11EA6493" w14:textId="77777777" w:rsidR="00F47D34" w:rsidRPr="0017088A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17088A">
        <w:rPr>
          <w:rFonts w:ascii="Arial" w:hAnsi="Arial" w:cs="Arial"/>
          <w:sz w:val="22"/>
          <w:szCs w:val="22"/>
        </w:rPr>
        <w:t>Monjuvi</w:t>
      </w:r>
      <w:proofErr w:type="spellEnd"/>
      <w:r w:rsidRPr="0017088A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7088A">
        <w:rPr>
          <w:rFonts w:ascii="Arial" w:hAnsi="Arial" w:cs="Arial"/>
          <w:sz w:val="22"/>
          <w:szCs w:val="22"/>
        </w:rPr>
        <w:t>tafasitamab</w:t>
      </w:r>
      <w:proofErr w:type="spellEnd"/>
      <w:r>
        <w:rPr>
          <w:rFonts w:ascii="Arial" w:hAnsi="Arial" w:cs="Arial"/>
          <w:sz w:val="22"/>
          <w:szCs w:val="22"/>
        </w:rPr>
        <w:t>-cxix</w:t>
      </w:r>
      <w:r w:rsidRPr="0017088A">
        <w:rPr>
          <w:rFonts w:ascii="Arial" w:hAnsi="Arial" w:cs="Arial"/>
          <w:sz w:val="22"/>
          <w:szCs w:val="22"/>
        </w:rPr>
        <w:t xml:space="preserve">) – </w:t>
      </w:r>
      <w:r w:rsidRPr="0017088A">
        <w:rPr>
          <w:rFonts w:ascii="Arial" w:hAnsi="Arial" w:cs="Arial"/>
          <w:b/>
          <w:sz w:val="22"/>
          <w:szCs w:val="22"/>
        </w:rPr>
        <w:t>PA</w:t>
      </w:r>
      <w:r w:rsidRPr="0017088A">
        <w:rPr>
          <w:rFonts w:ascii="Arial" w:hAnsi="Arial" w:cs="Arial"/>
          <w:sz w:val="22"/>
          <w:szCs w:val="22"/>
        </w:rPr>
        <w:t xml:space="preserve"> </w:t>
      </w:r>
    </w:p>
    <w:p w14:paraId="6821261B" w14:textId="77777777" w:rsidR="00F47D34" w:rsidRPr="00204442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204442">
        <w:rPr>
          <w:rFonts w:ascii="Arial" w:hAnsi="Arial" w:cs="Arial"/>
          <w:sz w:val="22"/>
          <w:szCs w:val="22"/>
        </w:rPr>
        <w:t>Ortikos</w:t>
      </w:r>
      <w:proofErr w:type="spellEnd"/>
      <w:r w:rsidRPr="00204442">
        <w:rPr>
          <w:rFonts w:ascii="Arial" w:hAnsi="Arial" w:cs="Arial"/>
          <w:sz w:val="22"/>
          <w:szCs w:val="22"/>
        </w:rPr>
        <w:t xml:space="preserve"> (budesonide extended-release capsule) – </w:t>
      </w:r>
      <w:r w:rsidRPr="00204442">
        <w:rPr>
          <w:rFonts w:ascii="Arial" w:hAnsi="Arial" w:cs="Arial"/>
          <w:b/>
          <w:sz w:val="22"/>
          <w:szCs w:val="22"/>
        </w:rPr>
        <w:t>PA</w:t>
      </w:r>
    </w:p>
    <w:p w14:paraId="5ABFB751" w14:textId="77777777" w:rsidR="00F47D34" w:rsidRPr="00EF4E00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EF4E00">
        <w:rPr>
          <w:rFonts w:ascii="Arial" w:hAnsi="Arial" w:cs="Arial"/>
          <w:sz w:val="22"/>
          <w:szCs w:val="22"/>
        </w:rPr>
        <w:t>Rukobia</w:t>
      </w:r>
      <w:proofErr w:type="spellEnd"/>
      <w:r w:rsidRPr="00EF4E00">
        <w:rPr>
          <w:rFonts w:ascii="Arial" w:hAnsi="Arial" w:cs="Arial"/>
          <w:sz w:val="22"/>
          <w:szCs w:val="22"/>
        </w:rPr>
        <w:t xml:space="preserve"> (fostemsavir) </w:t>
      </w:r>
      <w:r w:rsidRPr="0008359A">
        <w:rPr>
          <w:rFonts w:ascii="Arial" w:hAnsi="Arial" w:cs="Arial"/>
          <w:sz w:val="22"/>
          <w:szCs w:val="22"/>
          <w:vertAlign w:val="superscript"/>
        </w:rPr>
        <w:t>PD</w:t>
      </w:r>
      <w:r>
        <w:rPr>
          <w:rFonts w:ascii="Arial" w:hAnsi="Arial" w:cs="Arial"/>
          <w:sz w:val="22"/>
          <w:szCs w:val="22"/>
        </w:rPr>
        <w:t xml:space="preserve"> </w:t>
      </w:r>
      <w:r w:rsidRPr="00EF4E00">
        <w:rPr>
          <w:rFonts w:ascii="Arial" w:hAnsi="Arial" w:cs="Arial"/>
          <w:sz w:val="22"/>
          <w:szCs w:val="22"/>
        </w:rPr>
        <w:t xml:space="preserve">– </w:t>
      </w:r>
      <w:r w:rsidRPr="00EF4E00">
        <w:rPr>
          <w:rFonts w:ascii="Arial" w:hAnsi="Arial" w:cs="Arial"/>
          <w:b/>
          <w:sz w:val="22"/>
          <w:szCs w:val="22"/>
        </w:rPr>
        <w:t>PA</w:t>
      </w:r>
      <w:r w:rsidRPr="00EF4E00">
        <w:rPr>
          <w:rFonts w:ascii="Arial" w:hAnsi="Arial" w:cs="Arial"/>
          <w:sz w:val="22"/>
          <w:szCs w:val="22"/>
        </w:rPr>
        <w:t xml:space="preserve"> </w:t>
      </w:r>
    </w:p>
    <w:p w14:paraId="07E892A5" w14:textId="77777777" w:rsidR="00F47D34" w:rsidRPr="00E5448D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E5448D">
        <w:rPr>
          <w:rFonts w:ascii="Arial" w:hAnsi="Arial" w:cs="Arial"/>
          <w:sz w:val="22"/>
          <w:szCs w:val="22"/>
        </w:rPr>
        <w:t>Tecartus</w:t>
      </w:r>
      <w:proofErr w:type="spellEnd"/>
      <w:r w:rsidRPr="00E5448D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E5448D">
        <w:rPr>
          <w:rFonts w:ascii="Arial" w:hAnsi="Arial" w:cs="Arial"/>
          <w:sz w:val="22"/>
          <w:szCs w:val="22"/>
        </w:rPr>
        <w:t>brexucabtagene</w:t>
      </w:r>
      <w:proofErr w:type="spellEnd"/>
      <w:r w:rsidRPr="00E5448D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E5448D">
        <w:rPr>
          <w:rFonts w:ascii="Arial" w:hAnsi="Arial" w:cs="Arial"/>
          <w:sz w:val="22"/>
          <w:szCs w:val="22"/>
        </w:rPr>
        <w:t>autoleucel</w:t>
      </w:r>
      <w:proofErr w:type="spellEnd"/>
      <w:r w:rsidRPr="00E5448D">
        <w:rPr>
          <w:rFonts w:ascii="Arial" w:hAnsi="Arial" w:cs="Arial"/>
          <w:sz w:val="22"/>
          <w:szCs w:val="22"/>
        </w:rPr>
        <w:t xml:space="preserve">) </w:t>
      </w:r>
      <w:r w:rsidRPr="00E5448D">
        <w:rPr>
          <w:rFonts w:ascii="Arial" w:hAnsi="Arial" w:cs="Arial"/>
          <w:sz w:val="22"/>
          <w:szCs w:val="22"/>
          <w:vertAlign w:val="superscript"/>
        </w:rPr>
        <w:t>CO</w:t>
      </w:r>
      <w:r w:rsidRPr="00E5448D">
        <w:rPr>
          <w:rFonts w:ascii="Arial" w:hAnsi="Arial" w:cs="Arial"/>
          <w:sz w:val="22"/>
          <w:szCs w:val="22"/>
        </w:rPr>
        <w:t xml:space="preserve"> ^ – </w:t>
      </w:r>
      <w:r w:rsidRPr="00E5448D">
        <w:rPr>
          <w:rFonts w:ascii="Arial" w:hAnsi="Arial" w:cs="Arial"/>
          <w:b/>
          <w:bCs/>
          <w:sz w:val="22"/>
          <w:szCs w:val="22"/>
        </w:rPr>
        <w:t>PA</w:t>
      </w:r>
    </w:p>
    <w:p w14:paraId="004E6CDB" w14:textId="77777777" w:rsidR="00F47D34" w:rsidRPr="00352D03" w:rsidRDefault="00F47D34" w:rsidP="00F47D34">
      <w:pPr>
        <w:pStyle w:val="Default"/>
        <w:numPr>
          <w:ilvl w:val="0"/>
          <w:numId w:val="26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7C39B8">
        <w:rPr>
          <w:rFonts w:ascii="Arial" w:hAnsi="Arial" w:cs="Arial"/>
          <w:sz w:val="22"/>
          <w:szCs w:val="22"/>
        </w:rPr>
        <w:t>Vyondys</w:t>
      </w:r>
      <w:proofErr w:type="spellEnd"/>
      <w:r w:rsidRPr="007C39B8">
        <w:rPr>
          <w:rFonts w:ascii="Arial" w:hAnsi="Arial" w:cs="Arial"/>
          <w:sz w:val="22"/>
          <w:szCs w:val="22"/>
        </w:rPr>
        <w:t xml:space="preserve"> 53 (</w:t>
      </w:r>
      <w:proofErr w:type="spellStart"/>
      <w:r w:rsidRPr="007C39B8">
        <w:rPr>
          <w:rFonts w:ascii="Arial" w:hAnsi="Arial" w:cs="Arial"/>
          <w:sz w:val="22"/>
          <w:szCs w:val="22"/>
        </w:rPr>
        <w:t>golodirsen</w:t>
      </w:r>
      <w:proofErr w:type="spellEnd"/>
      <w:r w:rsidRPr="007C39B8">
        <w:rPr>
          <w:rFonts w:ascii="Arial" w:hAnsi="Arial" w:cs="Arial"/>
          <w:sz w:val="22"/>
          <w:szCs w:val="22"/>
        </w:rPr>
        <w:t xml:space="preserve">) – </w:t>
      </w:r>
      <w:r w:rsidRPr="007C39B8">
        <w:rPr>
          <w:rFonts w:ascii="Arial" w:hAnsi="Arial" w:cs="Arial"/>
          <w:b/>
          <w:bCs/>
          <w:sz w:val="22"/>
          <w:szCs w:val="22"/>
        </w:rPr>
        <w:t>PA</w:t>
      </w:r>
    </w:p>
    <w:p w14:paraId="5BB2C7C7" w14:textId="77777777" w:rsidR="00F47D34" w:rsidRPr="00112B70" w:rsidRDefault="00F47D34" w:rsidP="00F47D34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1"/>
        </w:rPr>
      </w:pPr>
      <w:r w:rsidRPr="00112B70">
        <w:rPr>
          <w:rFonts w:ascii="Arial" w:hAnsi="Arial" w:cs="Arial"/>
          <w:sz w:val="22"/>
          <w:szCs w:val="21"/>
        </w:rPr>
        <w:t xml:space="preserve">Effective January 1, 2021, the following newly marketed drugs have been added to the MassHealth Drug List. </w:t>
      </w:r>
    </w:p>
    <w:p w14:paraId="74A6FC4D" w14:textId="77777777" w:rsidR="00F47D34" w:rsidRPr="00112B70" w:rsidRDefault="00F47D34" w:rsidP="00F47D34">
      <w:pPr>
        <w:pStyle w:val="Default"/>
        <w:numPr>
          <w:ilvl w:val="0"/>
          <w:numId w:val="27"/>
        </w:numPr>
        <w:spacing w:after="120"/>
        <w:ind w:left="1080"/>
        <w:rPr>
          <w:rFonts w:ascii="Arial" w:hAnsi="Arial" w:cs="Arial"/>
          <w:sz w:val="22"/>
          <w:szCs w:val="21"/>
        </w:rPr>
      </w:pPr>
      <w:proofErr w:type="spellStart"/>
      <w:r w:rsidRPr="00112B70">
        <w:rPr>
          <w:rFonts w:ascii="Arial" w:hAnsi="Arial" w:cs="Arial"/>
          <w:sz w:val="22"/>
          <w:szCs w:val="22"/>
        </w:rPr>
        <w:t>Givlaari</w:t>
      </w:r>
      <w:proofErr w:type="spellEnd"/>
      <w:r w:rsidRPr="00112B70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112B70">
        <w:rPr>
          <w:rFonts w:ascii="Arial" w:hAnsi="Arial" w:cs="Arial"/>
          <w:sz w:val="22"/>
          <w:szCs w:val="22"/>
        </w:rPr>
        <w:t>givosiran</w:t>
      </w:r>
      <w:proofErr w:type="spellEnd"/>
      <w:r w:rsidRPr="00112B70">
        <w:rPr>
          <w:rFonts w:ascii="Arial" w:hAnsi="Arial" w:cs="Arial"/>
          <w:sz w:val="22"/>
          <w:szCs w:val="22"/>
        </w:rPr>
        <w:t xml:space="preserve">) </w:t>
      </w:r>
      <w:r w:rsidRPr="00112B70">
        <w:rPr>
          <w:rFonts w:ascii="Arial" w:hAnsi="Arial" w:cs="Arial"/>
          <w:sz w:val="22"/>
          <w:szCs w:val="22"/>
          <w:vertAlign w:val="superscript"/>
        </w:rPr>
        <w:t>PD</w:t>
      </w:r>
      <w:r w:rsidRPr="00112B70">
        <w:rPr>
          <w:rFonts w:ascii="Arial" w:hAnsi="Arial" w:cs="Arial"/>
          <w:sz w:val="22"/>
          <w:szCs w:val="22"/>
        </w:rPr>
        <w:t xml:space="preserve"> – </w:t>
      </w:r>
      <w:r w:rsidRPr="00112B70">
        <w:rPr>
          <w:rFonts w:ascii="Arial" w:hAnsi="Arial" w:cs="Arial"/>
          <w:b/>
          <w:sz w:val="22"/>
          <w:szCs w:val="22"/>
        </w:rPr>
        <w:t>PA</w:t>
      </w:r>
    </w:p>
    <w:p w14:paraId="452A0A7C" w14:textId="77777777" w:rsidR="00F47D34" w:rsidRPr="00BF3409" w:rsidRDefault="00F47D34" w:rsidP="00F47D34">
      <w:pPr>
        <w:pStyle w:val="Default"/>
        <w:numPr>
          <w:ilvl w:val="0"/>
          <w:numId w:val="2"/>
        </w:numPr>
        <w:spacing w:line="276" w:lineRule="auto"/>
        <w:rPr>
          <w:rFonts w:ascii="Arial" w:hAnsi="Arial" w:cs="Arial"/>
          <w:sz w:val="22"/>
          <w:szCs w:val="22"/>
        </w:rPr>
      </w:pPr>
      <w:bookmarkStart w:id="0" w:name="_Hlk58593171"/>
      <w:bookmarkStart w:id="1" w:name="_Hlk58572517"/>
      <w:r w:rsidRPr="00BF3409">
        <w:rPr>
          <w:rFonts w:ascii="Arial" w:hAnsi="Arial" w:cs="Arial"/>
          <w:sz w:val="22"/>
          <w:szCs w:val="21"/>
        </w:rPr>
        <w:t>Effective</w:t>
      </w:r>
      <w:r>
        <w:rPr>
          <w:rFonts w:ascii="Arial" w:hAnsi="Arial" w:cs="Arial"/>
          <w:sz w:val="22"/>
          <w:szCs w:val="21"/>
        </w:rPr>
        <w:t xml:space="preserve"> </w:t>
      </w:r>
      <w:bookmarkStart w:id="2" w:name="_Hlk58574129"/>
      <w:r w:rsidRPr="00BF3409">
        <w:rPr>
          <w:rFonts w:ascii="Arial" w:hAnsi="Arial" w:cs="Arial"/>
          <w:sz w:val="22"/>
          <w:szCs w:val="21"/>
        </w:rPr>
        <w:t>for the dates listed below</w:t>
      </w:r>
      <w:bookmarkEnd w:id="2"/>
      <w:r w:rsidRPr="00BF3409">
        <w:rPr>
          <w:rFonts w:ascii="Arial" w:hAnsi="Arial" w:cs="Arial"/>
          <w:sz w:val="22"/>
          <w:szCs w:val="21"/>
        </w:rPr>
        <w:t xml:space="preserve">, the following COVID-19 treatment and preventive therapies have been added to the MassHealth Drug List </w:t>
      </w:r>
      <w:r w:rsidR="0080526D">
        <w:rPr>
          <w:rFonts w:ascii="Arial" w:hAnsi="Arial" w:cs="Arial"/>
          <w:sz w:val="22"/>
          <w:szCs w:val="21"/>
        </w:rPr>
        <w:t>as of</w:t>
      </w:r>
      <w:r w:rsidR="0080526D" w:rsidRPr="00BF3409">
        <w:rPr>
          <w:rFonts w:ascii="Arial" w:hAnsi="Arial" w:cs="Arial"/>
          <w:sz w:val="22"/>
          <w:szCs w:val="21"/>
        </w:rPr>
        <w:t xml:space="preserve"> </w:t>
      </w:r>
      <w:r w:rsidRPr="00BF3409">
        <w:rPr>
          <w:rFonts w:ascii="Arial" w:hAnsi="Arial" w:cs="Arial"/>
          <w:sz w:val="22"/>
          <w:szCs w:val="21"/>
        </w:rPr>
        <w:t>December 1</w:t>
      </w:r>
      <w:r>
        <w:rPr>
          <w:rFonts w:ascii="Arial" w:hAnsi="Arial" w:cs="Arial"/>
          <w:sz w:val="22"/>
          <w:szCs w:val="21"/>
        </w:rPr>
        <w:t>3</w:t>
      </w:r>
      <w:r w:rsidRPr="00BF3409">
        <w:rPr>
          <w:rFonts w:ascii="Arial" w:hAnsi="Arial" w:cs="Arial"/>
          <w:sz w:val="22"/>
          <w:szCs w:val="21"/>
        </w:rPr>
        <w:t>, 2020.</w:t>
      </w:r>
    </w:p>
    <w:p w14:paraId="78E12244" w14:textId="77777777" w:rsidR="00F47D34" w:rsidRPr="00BF3409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BF3409">
        <w:rPr>
          <w:rFonts w:ascii="Arial" w:hAnsi="Arial" w:cs="Arial"/>
          <w:sz w:val="22"/>
          <w:szCs w:val="22"/>
        </w:rPr>
        <w:t>bamlanivimab</w:t>
      </w:r>
      <w:proofErr w:type="spellEnd"/>
      <w:r w:rsidRPr="00BF3409">
        <w:rPr>
          <w:rFonts w:ascii="Arial" w:hAnsi="Arial" w:cs="Arial"/>
          <w:sz w:val="22"/>
          <w:szCs w:val="22"/>
        </w:rPr>
        <w:t xml:space="preserve"> (COVID EUA </w:t>
      </w:r>
      <w:bookmarkStart w:id="3" w:name="_Hlk58574228"/>
      <w:r w:rsidRPr="00BF3409">
        <w:rPr>
          <w:rFonts w:ascii="Arial" w:hAnsi="Arial" w:cs="Arial"/>
          <w:sz w:val="22"/>
          <w:szCs w:val="22"/>
        </w:rPr>
        <w:t>– November 10, 2020</w:t>
      </w:r>
      <w:bookmarkEnd w:id="3"/>
      <w:r>
        <w:rPr>
          <w:rFonts w:ascii="Arial" w:hAnsi="Arial" w:cs="Arial"/>
          <w:sz w:val="22"/>
          <w:szCs w:val="22"/>
        </w:rPr>
        <w:t>)</w:t>
      </w:r>
    </w:p>
    <w:p w14:paraId="6FEC8821" w14:textId="77777777" w:rsidR="00F47D34" w:rsidRPr="00BF3409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BF3409">
        <w:rPr>
          <w:rFonts w:ascii="Arial" w:hAnsi="Arial" w:cs="Arial"/>
          <w:sz w:val="22"/>
          <w:szCs w:val="22"/>
        </w:rPr>
        <w:t>casirivimab</w:t>
      </w:r>
      <w:proofErr w:type="spellEnd"/>
      <w:r w:rsidRPr="00BF3409">
        <w:rPr>
          <w:rFonts w:ascii="Arial" w:hAnsi="Arial" w:cs="Arial"/>
          <w:sz w:val="22"/>
          <w:szCs w:val="22"/>
        </w:rPr>
        <w:t xml:space="preserve"> (COVID EUA </w:t>
      </w:r>
      <w:bookmarkStart w:id="4" w:name="_Hlk58574241"/>
      <w:r w:rsidRPr="00BF3409">
        <w:rPr>
          <w:rFonts w:ascii="Arial" w:hAnsi="Arial" w:cs="Arial"/>
          <w:sz w:val="22"/>
          <w:szCs w:val="22"/>
        </w:rPr>
        <w:t>– November 21, 2020</w:t>
      </w:r>
      <w:bookmarkEnd w:id="4"/>
      <w:r>
        <w:rPr>
          <w:rFonts w:ascii="Arial" w:hAnsi="Arial" w:cs="Arial"/>
          <w:sz w:val="22"/>
          <w:szCs w:val="22"/>
        </w:rPr>
        <w:t>)</w:t>
      </w:r>
    </w:p>
    <w:p w14:paraId="602F5CE3" w14:textId="77777777" w:rsidR="00F47D34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BF3409">
        <w:rPr>
          <w:rFonts w:ascii="Arial" w:hAnsi="Arial" w:cs="Arial"/>
          <w:sz w:val="22"/>
          <w:szCs w:val="22"/>
        </w:rPr>
        <w:t>imdevimab</w:t>
      </w:r>
      <w:proofErr w:type="spellEnd"/>
      <w:r w:rsidRPr="00BF3409">
        <w:rPr>
          <w:rFonts w:ascii="Arial" w:hAnsi="Arial" w:cs="Arial"/>
          <w:sz w:val="22"/>
          <w:szCs w:val="22"/>
        </w:rPr>
        <w:t xml:space="preserve"> (COVID EUA – November 21, 2020</w:t>
      </w:r>
      <w:r>
        <w:rPr>
          <w:rFonts w:ascii="Arial" w:hAnsi="Arial" w:cs="Arial"/>
          <w:sz w:val="22"/>
          <w:szCs w:val="22"/>
        </w:rPr>
        <w:t>)</w:t>
      </w:r>
    </w:p>
    <w:p w14:paraId="140B56E5" w14:textId="77777777" w:rsidR="00F47D34" w:rsidRPr="00603E97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AE4D78">
        <w:rPr>
          <w:rFonts w:ascii="Arial" w:hAnsi="Arial" w:cs="Arial"/>
          <w:sz w:val="22"/>
          <w:szCs w:val="22"/>
        </w:rPr>
        <w:t>Olumiant</w:t>
      </w:r>
      <w:proofErr w:type="spellEnd"/>
      <w:r w:rsidRPr="00AE4D78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AE4D78">
        <w:rPr>
          <w:rFonts w:ascii="Arial" w:hAnsi="Arial" w:cs="Arial"/>
          <w:sz w:val="22"/>
          <w:szCs w:val="22"/>
        </w:rPr>
        <w:t>baricitinib</w:t>
      </w:r>
      <w:proofErr w:type="spellEnd"/>
      <w:r w:rsidRPr="00AE4D78">
        <w:rPr>
          <w:rFonts w:ascii="Arial" w:hAnsi="Arial" w:cs="Arial"/>
          <w:sz w:val="22"/>
          <w:szCs w:val="22"/>
        </w:rPr>
        <w:t xml:space="preserve"> COVID EU</w:t>
      </w:r>
      <w:r w:rsidRPr="00603E97">
        <w:rPr>
          <w:rFonts w:ascii="Arial" w:hAnsi="Arial" w:cs="Arial"/>
          <w:sz w:val="22"/>
          <w:szCs w:val="22"/>
        </w:rPr>
        <w:t>A – November 19, 2020)</w:t>
      </w:r>
      <w:r w:rsidRPr="00603E97">
        <w:rPr>
          <w:rFonts w:ascii="Arial" w:hAnsi="Arial" w:cs="Arial"/>
          <w:sz w:val="22"/>
          <w:szCs w:val="22"/>
          <w:vertAlign w:val="superscript"/>
        </w:rPr>
        <w:t xml:space="preserve"> H</w:t>
      </w:r>
    </w:p>
    <w:p w14:paraId="12114E49" w14:textId="77777777" w:rsidR="00F47D34" w:rsidRPr="00603E97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603E97">
        <w:rPr>
          <w:rFonts w:ascii="Arial" w:hAnsi="Arial" w:cs="Arial"/>
          <w:sz w:val="22"/>
          <w:szCs w:val="22"/>
        </w:rPr>
        <w:t xml:space="preserve">Pfizer COVID19 Vaccine (COVID EUA </w:t>
      </w:r>
      <w:bookmarkStart w:id="5" w:name="_Hlk58574252"/>
      <w:r w:rsidRPr="00603E97">
        <w:rPr>
          <w:rFonts w:ascii="Arial" w:hAnsi="Arial" w:cs="Arial"/>
          <w:sz w:val="22"/>
          <w:szCs w:val="22"/>
        </w:rPr>
        <w:t>– December 11, 2020</w:t>
      </w:r>
      <w:bookmarkEnd w:id="5"/>
      <w:r w:rsidRPr="00603E97">
        <w:rPr>
          <w:rFonts w:ascii="Arial" w:hAnsi="Arial" w:cs="Arial"/>
          <w:sz w:val="22"/>
          <w:szCs w:val="22"/>
        </w:rPr>
        <w:t>)</w:t>
      </w:r>
    </w:p>
    <w:p w14:paraId="3CF4F7BF" w14:textId="77777777" w:rsidR="00F47D34" w:rsidRPr="00000E04" w:rsidRDefault="00F47D34" w:rsidP="00F47D34">
      <w:pPr>
        <w:pStyle w:val="Default"/>
        <w:numPr>
          <w:ilvl w:val="0"/>
          <w:numId w:val="28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bookmarkStart w:id="6" w:name="_Hlk58573396"/>
      <w:proofErr w:type="spellStart"/>
      <w:r w:rsidRPr="00000E04">
        <w:rPr>
          <w:rFonts w:ascii="Arial" w:hAnsi="Arial" w:cs="Arial"/>
          <w:sz w:val="22"/>
          <w:szCs w:val="22"/>
        </w:rPr>
        <w:t>Veklury</w:t>
      </w:r>
      <w:proofErr w:type="spellEnd"/>
      <w:r w:rsidRPr="00000E04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000E04">
        <w:rPr>
          <w:rFonts w:ascii="Arial" w:hAnsi="Arial" w:cs="Arial"/>
          <w:sz w:val="22"/>
          <w:szCs w:val="22"/>
        </w:rPr>
        <w:t>remdesivir</w:t>
      </w:r>
      <w:proofErr w:type="spellEnd"/>
      <w:r w:rsidRPr="00000E04">
        <w:rPr>
          <w:rFonts w:ascii="Arial" w:hAnsi="Arial" w:cs="Arial"/>
          <w:sz w:val="22"/>
          <w:szCs w:val="22"/>
        </w:rPr>
        <w:t xml:space="preserve"> </w:t>
      </w:r>
      <w:bookmarkStart w:id="7" w:name="_Hlk58575728"/>
      <w:r w:rsidRPr="00000E04">
        <w:rPr>
          <w:rFonts w:ascii="Arial" w:hAnsi="Arial" w:cs="Arial"/>
          <w:sz w:val="22"/>
          <w:szCs w:val="22"/>
        </w:rPr>
        <w:t>– October 22, 2020</w:t>
      </w:r>
      <w:bookmarkEnd w:id="7"/>
      <w:r w:rsidRPr="00000E04">
        <w:rPr>
          <w:rFonts w:ascii="Arial" w:hAnsi="Arial" w:cs="Arial"/>
          <w:sz w:val="22"/>
          <w:szCs w:val="22"/>
        </w:rPr>
        <w:t>)</w:t>
      </w:r>
      <w:bookmarkEnd w:id="0"/>
      <w:bookmarkEnd w:id="1"/>
      <w:bookmarkEnd w:id="6"/>
      <w:r>
        <w:rPr>
          <w:rFonts w:ascii="Arial" w:hAnsi="Arial" w:cs="Arial"/>
          <w:sz w:val="22"/>
          <w:szCs w:val="22"/>
        </w:rPr>
        <w:t xml:space="preserve"> </w:t>
      </w:r>
      <w:r w:rsidRPr="00000E04">
        <w:rPr>
          <w:rFonts w:ascii="Arial" w:hAnsi="Arial" w:cs="Arial"/>
          <w:sz w:val="22"/>
          <w:szCs w:val="22"/>
          <w:vertAlign w:val="superscript"/>
        </w:rPr>
        <w:t>H</w:t>
      </w:r>
    </w:p>
    <w:p w14:paraId="1CD14131" w14:textId="77777777" w:rsidR="00F47D34" w:rsidRDefault="00F47D34" w:rsidP="00F47D34">
      <w:pPr>
        <w:pStyle w:val="Default"/>
        <w:spacing w:after="120"/>
        <w:rPr>
          <w:rFonts w:ascii="Arial" w:hAnsi="Arial" w:cs="Arial"/>
          <w:sz w:val="22"/>
          <w:szCs w:val="21"/>
        </w:rPr>
      </w:pPr>
    </w:p>
    <w:p w14:paraId="22BEB05F" w14:textId="77777777" w:rsidR="00F47D34" w:rsidRPr="003E455A" w:rsidRDefault="00F47D34" w:rsidP="00F47D34">
      <w:pPr>
        <w:pStyle w:val="Default"/>
        <w:spacing w:after="120"/>
        <w:rPr>
          <w:rFonts w:ascii="Arial" w:hAnsi="Arial" w:cs="Arial"/>
          <w:b/>
          <w:bCs/>
        </w:rPr>
      </w:pPr>
      <w:r w:rsidRPr="003E455A">
        <w:rPr>
          <w:rFonts w:ascii="Arial" w:hAnsi="Arial" w:cs="Arial"/>
          <w:b/>
          <w:bCs/>
        </w:rPr>
        <w:t>Change in Prior</w:t>
      </w:r>
      <w:r w:rsidR="0080526D">
        <w:rPr>
          <w:rFonts w:ascii="Arial" w:hAnsi="Arial" w:cs="Arial"/>
          <w:b/>
          <w:bCs/>
        </w:rPr>
        <w:t xml:space="preserve"> </w:t>
      </w:r>
      <w:r w:rsidRPr="003E455A">
        <w:rPr>
          <w:rFonts w:ascii="Arial" w:hAnsi="Arial" w:cs="Arial"/>
          <w:b/>
          <w:bCs/>
        </w:rPr>
        <w:t>Authorization Status</w:t>
      </w:r>
    </w:p>
    <w:p w14:paraId="0880EF80" w14:textId="77777777" w:rsidR="00F47D34" w:rsidRDefault="00F47D34" w:rsidP="00F47D34"/>
    <w:p w14:paraId="5570C3D0" w14:textId="77777777" w:rsidR="00F47D34" w:rsidRPr="00BF7E95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bookmarkStart w:id="8" w:name="_Hlk30086979"/>
      <w:r w:rsidRPr="00BF7E95">
        <w:rPr>
          <w:rFonts w:ascii="Arial" w:hAnsi="Arial" w:cs="Arial"/>
          <w:sz w:val="22"/>
          <w:szCs w:val="22"/>
        </w:rPr>
        <w:t xml:space="preserve">Effective </w:t>
      </w:r>
      <w:bookmarkStart w:id="9" w:name="_Hlk55456556"/>
      <w:r w:rsidRPr="00D22DEC">
        <w:rPr>
          <w:rFonts w:ascii="Arial" w:hAnsi="Arial" w:cs="Arial"/>
          <w:sz w:val="22"/>
          <w:szCs w:val="22"/>
        </w:rPr>
        <w:t>December 21, 2020</w:t>
      </w:r>
      <w:bookmarkEnd w:id="9"/>
      <w:r w:rsidR="00FA6801">
        <w:rPr>
          <w:rFonts w:ascii="Arial" w:hAnsi="Arial" w:cs="Arial"/>
          <w:sz w:val="22"/>
          <w:szCs w:val="22"/>
        </w:rPr>
        <w:t xml:space="preserve">, the </w:t>
      </w:r>
      <w:r w:rsidRPr="00BF7E95">
        <w:rPr>
          <w:rFonts w:ascii="Arial" w:hAnsi="Arial" w:cs="Arial"/>
          <w:sz w:val="22"/>
          <w:szCs w:val="22"/>
        </w:rPr>
        <w:t xml:space="preserve">following antiemetic will no longer require </w:t>
      </w:r>
      <w:r w:rsidRPr="00BF7E95">
        <w:rPr>
          <w:rFonts w:ascii="Arial" w:hAnsi="Arial" w:cs="Arial"/>
          <w:color w:val="auto"/>
          <w:sz w:val="22"/>
          <w:szCs w:val="22"/>
        </w:rPr>
        <w:t>prior authorization</w:t>
      </w:r>
      <w:r>
        <w:rPr>
          <w:rFonts w:ascii="Arial" w:hAnsi="Arial" w:cs="Arial"/>
          <w:color w:val="auto"/>
          <w:sz w:val="22"/>
          <w:szCs w:val="22"/>
        </w:rPr>
        <w:t xml:space="preserve"> (PA)</w:t>
      </w:r>
      <w:r w:rsidRPr="00BF7E95">
        <w:rPr>
          <w:rFonts w:ascii="Arial" w:hAnsi="Arial" w:cs="Arial"/>
          <w:color w:val="auto"/>
          <w:sz w:val="22"/>
          <w:szCs w:val="22"/>
        </w:rPr>
        <w:t>.</w:t>
      </w:r>
    </w:p>
    <w:p w14:paraId="6214D2E2" w14:textId="77777777" w:rsidR="00F47D34" w:rsidRPr="00BF7E95" w:rsidRDefault="00F47D34" w:rsidP="00F47D34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F7E95">
        <w:rPr>
          <w:rFonts w:ascii="Arial" w:hAnsi="Arial" w:cs="Arial"/>
          <w:sz w:val="22"/>
          <w:szCs w:val="22"/>
        </w:rPr>
        <w:t>Transderm-Scop</w:t>
      </w:r>
      <w:proofErr w:type="spellEnd"/>
      <w:r w:rsidRPr="00BF7E95">
        <w:rPr>
          <w:rFonts w:ascii="Arial" w:hAnsi="Arial" w:cs="Arial"/>
          <w:sz w:val="22"/>
          <w:szCs w:val="22"/>
        </w:rPr>
        <w:t xml:space="preserve"> (scopolamine transdermal patch) </w:t>
      </w:r>
      <w:r w:rsidRPr="00BF7E95">
        <w:rPr>
          <w:rFonts w:ascii="Arial" w:hAnsi="Arial" w:cs="Arial"/>
          <w:sz w:val="22"/>
          <w:szCs w:val="22"/>
          <w:vertAlign w:val="superscript"/>
        </w:rPr>
        <w:t>BP</w:t>
      </w:r>
    </w:p>
    <w:p w14:paraId="53EB1D83" w14:textId="77777777" w:rsidR="00F47D34" w:rsidRPr="00BF7E95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F7E95">
        <w:rPr>
          <w:rFonts w:ascii="Arial" w:hAnsi="Arial" w:cs="Arial"/>
          <w:sz w:val="22"/>
          <w:szCs w:val="22"/>
        </w:rPr>
        <w:t xml:space="preserve">Effective </w:t>
      </w:r>
      <w:r w:rsidRPr="00D22DEC">
        <w:rPr>
          <w:rFonts w:ascii="Arial" w:hAnsi="Arial" w:cs="Arial"/>
          <w:sz w:val="22"/>
          <w:szCs w:val="22"/>
        </w:rPr>
        <w:t>December 21, 2020</w:t>
      </w:r>
      <w:r w:rsidRPr="00BF7E95">
        <w:rPr>
          <w:rFonts w:ascii="Arial" w:hAnsi="Arial" w:cs="Arial"/>
          <w:sz w:val="22"/>
          <w:szCs w:val="22"/>
        </w:rPr>
        <w:t xml:space="preserve">, the following antiemetic will no longer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BF7E95">
        <w:rPr>
          <w:rFonts w:ascii="Arial" w:hAnsi="Arial" w:cs="Arial"/>
          <w:color w:val="auto"/>
          <w:sz w:val="22"/>
          <w:szCs w:val="22"/>
        </w:rPr>
        <w:t xml:space="preserve"> within</w:t>
      </w:r>
      <w:r>
        <w:rPr>
          <w:rFonts w:ascii="Arial" w:hAnsi="Arial" w:cs="Arial"/>
          <w:color w:val="auto"/>
          <w:sz w:val="22"/>
          <w:szCs w:val="22"/>
        </w:rPr>
        <w:t xml:space="preserve"> newly established</w:t>
      </w:r>
      <w:r w:rsidRPr="00BF7E95">
        <w:rPr>
          <w:rFonts w:ascii="Arial" w:hAnsi="Arial" w:cs="Arial"/>
          <w:color w:val="auto"/>
          <w:sz w:val="22"/>
          <w:szCs w:val="22"/>
        </w:rPr>
        <w:t xml:space="preserve"> quantity limits.</w:t>
      </w:r>
    </w:p>
    <w:p w14:paraId="7DD81CA1" w14:textId="77777777" w:rsidR="00F47D34" w:rsidRPr="00BF7E95" w:rsidRDefault="00F47D34" w:rsidP="00F47D34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F7E95">
        <w:rPr>
          <w:rFonts w:ascii="Arial" w:hAnsi="Arial" w:cs="Arial"/>
          <w:sz w:val="22"/>
          <w:szCs w:val="22"/>
        </w:rPr>
        <w:t>granisetron</w:t>
      </w:r>
      <w:proofErr w:type="spellEnd"/>
      <w:r w:rsidRPr="00BF7E95">
        <w:rPr>
          <w:rFonts w:ascii="Arial" w:hAnsi="Arial" w:cs="Arial"/>
          <w:sz w:val="22"/>
          <w:szCs w:val="22"/>
        </w:rPr>
        <w:t xml:space="preserve"> tablet – </w:t>
      </w:r>
      <w:r w:rsidRPr="00BF7E95">
        <w:rPr>
          <w:rFonts w:ascii="Arial" w:hAnsi="Arial" w:cs="Arial"/>
          <w:b/>
          <w:bCs/>
          <w:sz w:val="22"/>
          <w:szCs w:val="22"/>
        </w:rPr>
        <w:t>PA</w:t>
      </w:r>
      <w:r w:rsidRPr="00BF7E95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&gt; 2 tablets/28 days</w:t>
      </w:r>
    </w:p>
    <w:p w14:paraId="66CF37DC" w14:textId="77777777" w:rsidR="00F47D34" w:rsidRPr="00BF7E95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BF7E95">
        <w:rPr>
          <w:rFonts w:ascii="Arial" w:hAnsi="Arial" w:cs="Arial"/>
          <w:sz w:val="22"/>
          <w:szCs w:val="22"/>
        </w:rPr>
        <w:t xml:space="preserve">Effective </w:t>
      </w:r>
      <w:r w:rsidRPr="00D22DEC">
        <w:rPr>
          <w:rFonts w:ascii="Arial" w:hAnsi="Arial" w:cs="Arial"/>
          <w:sz w:val="22"/>
          <w:szCs w:val="22"/>
        </w:rPr>
        <w:t>December 21, 2020</w:t>
      </w:r>
      <w:r w:rsidRPr="00BF7E95">
        <w:rPr>
          <w:rFonts w:ascii="Arial" w:hAnsi="Arial" w:cs="Arial"/>
          <w:sz w:val="22"/>
          <w:szCs w:val="22"/>
        </w:rPr>
        <w:t xml:space="preserve">, the following antiemetic will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BF7E9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>when exceeding</w:t>
      </w:r>
      <w:r w:rsidRPr="00BF7E95">
        <w:rPr>
          <w:rFonts w:ascii="Arial" w:hAnsi="Arial" w:cs="Arial"/>
          <w:color w:val="auto"/>
          <w:sz w:val="22"/>
          <w:szCs w:val="22"/>
        </w:rPr>
        <w:t xml:space="preserve"> </w:t>
      </w:r>
      <w:r>
        <w:rPr>
          <w:rFonts w:ascii="Arial" w:hAnsi="Arial" w:cs="Arial"/>
          <w:color w:val="auto"/>
          <w:sz w:val="22"/>
          <w:szCs w:val="22"/>
        </w:rPr>
        <w:t xml:space="preserve">newly established </w:t>
      </w:r>
      <w:r w:rsidRPr="00BF7E95">
        <w:rPr>
          <w:rFonts w:ascii="Arial" w:hAnsi="Arial" w:cs="Arial"/>
          <w:color w:val="auto"/>
          <w:sz w:val="22"/>
          <w:szCs w:val="22"/>
        </w:rPr>
        <w:t>quantity limits.</w:t>
      </w:r>
    </w:p>
    <w:p w14:paraId="369ED800" w14:textId="77777777" w:rsidR="00F47D34" w:rsidRPr="00BF7E95" w:rsidRDefault="00F47D34" w:rsidP="00F47D34">
      <w:pPr>
        <w:pStyle w:val="Default"/>
        <w:numPr>
          <w:ilvl w:val="0"/>
          <w:numId w:val="30"/>
        </w:numPr>
        <w:spacing w:line="276" w:lineRule="auto"/>
        <w:rPr>
          <w:rFonts w:ascii="Arial" w:hAnsi="Arial" w:cs="Arial"/>
          <w:sz w:val="22"/>
          <w:szCs w:val="22"/>
        </w:rPr>
      </w:pPr>
      <w:r w:rsidRPr="00BF7E95">
        <w:rPr>
          <w:rFonts w:ascii="Arial" w:hAnsi="Arial" w:cs="Arial"/>
          <w:sz w:val="22"/>
          <w:szCs w:val="22"/>
        </w:rPr>
        <w:t>Emend (</w:t>
      </w:r>
      <w:proofErr w:type="spellStart"/>
      <w:r w:rsidRPr="00BF7E95">
        <w:rPr>
          <w:rFonts w:ascii="Arial" w:hAnsi="Arial" w:cs="Arial"/>
          <w:sz w:val="22"/>
          <w:szCs w:val="22"/>
        </w:rPr>
        <w:t>fosaprepitant</w:t>
      </w:r>
      <w:proofErr w:type="spellEnd"/>
      <w:r w:rsidRPr="00BF7E95">
        <w:rPr>
          <w:rFonts w:ascii="Arial" w:hAnsi="Arial" w:cs="Arial"/>
          <w:sz w:val="22"/>
          <w:szCs w:val="22"/>
        </w:rPr>
        <w:t xml:space="preserve"> injection) – </w:t>
      </w:r>
      <w:r w:rsidRPr="00BF7E95">
        <w:rPr>
          <w:rFonts w:ascii="Arial" w:hAnsi="Arial" w:cs="Arial"/>
          <w:b/>
          <w:bCs/>
          <w:sz w:val="22"/>
          <w:szCs w:val="22"/>
        </w:rPr>
        <w:t>PA</w:t>
      </w:r>
      <w:r w:rsidRPr="00BF7E95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&gt; 2 vials/28 days</w:t>
      </w:r>
      <w:r w:rsidRPr="00BF7E95">
        <w:rPr>
          <w:rFonts w:ascii="Arial" w:hAnsi="Arial" w:cs="Arial"/>
          <w:sz w:val="22"/>
          <w:szCs w:val="22"/>
        </w:rPr>
        <w:t xml:space="preserve"> </w:t>
      </w:r>
      <w:r w:rsidRPr="00BF7E95">
        <w:rPr>
          <w:rFonts w:ascii="Arial" w:hAnsi="Arial" w:cs="Arial"/>
          <w:sz w:val="22"/>
          <w:szCs w:val="22"/>
          <w:vertAlign w:val="superscript"/>
        </w:rPr>
        <w:t>BP</w:t>
      </w:r>
    </w:p>
    <w:p w14:paraId="06D1531E" w14:textId="77777777" w:rsidR="00F47D34" w:rsidRPr="00BF7E95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bookmarkStart w:id="10" w:name="_GoBack"/>
      <w:bookmarkEnd w:id="10"/>
      <w:r w:rsidRPr="00BF7E95">
        <w:rPr>
          <w:rFonts w:ascii="Arial" w:hAnsi="Arial" w:cs="Arial"/>
          <w:sz w:val="22"/>
          <w:szCs w:val="22"/>
        </w:rPr>
        <w:lastRenderedPageBreak/>
        <w:t xml:space="preserve">Effective </w:t>
      </w:r>
      <w:r w:rsidRPr="00D22DEC">
        <w:rPr>
          <w:rFonts w:ascii="Arial" w:hAnsi="Arial" w:cs="Arial"/>
          <w:sz w:val="22"/>
          <w:szCs w:val="22"/>
        </w:rPr>
        <w:t>December 21, 2020</w:t>
      </w:r>
      <w:r w:rsidRPr="00BF7E95">
        <w:rPr>
          <w:rFonts w:ascii="Arial" w:hAnsi="Arial" w:cs="Arial"/>
          <w:sz w:val="22"/>
          <w:szCs w:val="22"/>
        </w:rPr>
        <w:t xml:space="preserve">, the following antiemetic will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BF7E95">
        <w:rPr>
          <w:rFonts w:ascii="Arial" w:hAnsi="Arial" w:cs="Arial"/>
          <w:color w:val="auto"/>
          <w:sz w:val="22"/>
          <w:szCs w:val="22"/>
        </w:rPr>
        <w:t>.</w:t>
      </w:r>
    </w:p>
    <w:p w14:paraId="276E5495" w14:textId="77777777" w:rsidR="00F47D34" w:rsidRPr="00BF7E95" w:rsidRDefault="00F47D34" w:rsidP="00F47D34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proofErr w:type="spellStart"/>
      <w:r w:rsidRPr="00BF7E95">
        <w:rPr>
          <w:rFonts w:ascii="Arial" w:hAnsi="Arial" w:cs="Arial"/>
          <w:sz w:val="22"/>
          <w:szCs w:val="22"/>
        </w:rPr>
        <w:t>Cinvanti</w:t>
      </w:r>
      <w:proofErr w:type="spellEnd"/>
      <w:r w:rsidRPr="00BF7E95">
        <w:rPr>
          <w:rFonts w:ascii="Arial" w:hAnsi="Arial" w:cs="Arial"/>
          <w:sz w:val="22"/>
          <w:szCs w:val="22"/>
        </w:rPr>
        <w:t xml:space="preserve"> (</w:t>
      </w:r>
      <w:proofErr w:type="spellStart"/>
      <w:r w:rsidRPr="00BF7E95">
        <w:rPr>
          <w:rFonts w:ascii="Arial" w:hAnsi="Arial" w:cs="Arial"/>
          <w:sz w:val="22"/>
          <w:szCs w:val="22"/>
        </w:rPr>
        <w:t>aprepitant</w:t>
      </w:r>
      <w:proofErr w:type="spellEnd"/>
      <w:r w:rsidRPr="00BF7E95">
        <w:rPr>
          <w:rFonts w:ascii="Arial" w:hAnsi="Arial" w:cs="Arial"/>
          <w:sz w:val="22"/>
          <w:szCs w:val="22"/>
        </w:rPr>
        <w:t xml:space="preserve"> injectable emulsion) – </w:t>
      </w:r>
      <w:r w:rsidRPr="00BF7E95">
        <w:rPr>
          <w:rFonts w:ascii="Arial" w:hAnsi="Arial" w:cs="Arial"/>
          <w:b/>
          <w:bCs/>
          <w:sz w:val="22"/>
          <w:szCs w:val="22"/>
        </w:rPr>
        <w:t>PA</w:t>
      </w:r>
      <w:r w:rsidRPr="00BF7E95">
        <w:rPr>
          <w:rFonts w:ascii="Arial" w:hAnsi="Arial" w:cs="Arial"/>
          <w:sz w:val="22"/>
          <w:szCs w:val="22"/>
        </w:rPr>
        <w:t xml:space="preserve"> </w:t>
      </w:r>
    </w:p>
    <w:p w14:paraId="4EAF91D3" w14:textId="77777777" w:rsidR="00F47D34" w:rsidRPr="004E02CA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4E02CA">
        <w:rPr>
          <w:rFonts w:ascii="Arial" w:hAnsi="Arial" w:cs="Arial"/>
          <w:sz w:val="22"/>
          <w:szCs w:val="22"/>
        </w:rPr>
        <w:t xml:space="preserve">Effective </w:t>
      </w:r>
      <w:r w:rsidRPr="00D22DEC">
        <w:rPr>
          <w:rFonts w:ascii="Arial" w:hAnsi="Arial" w:cs="Arial"/>
          <w:sz w:val="22"/>
          <w:szCs w:val="22"/>
        </w:rPr>
        <w:t>December 21, 2020</w:t>
      </w:r>
      <w:r w:rsidRPr="004E02CA">
        <w:rPr>
          <w:rFonts w:ascii="Arial" w:hAnsi="Arial" w:cs="Arial"/>
          <w:sz w:val="22"/>
          <w:szCs w:val="22"/>
        </w:rPr>
        <w:t xml:space="preserve">, the following glaucoma agent will no longer require </w:t>
      </w:r>
      <w:r>
        <w:rPr>
          <w:rFonts w:ascii="Arial" w:hAnsi="Arial" w:cs="Arial"/>
          <w:color w:val="auto"/>
          <w:sz w:val="22"/>
          <w:szCs w:val="22"/>
        </w:rPr>
        <w:t>PA</w:t>
      </w:r>
      <w:r w:rsidRPr="004E02CA">
        <w:rPr>
          <w:rFonts w:ascii="Arial" w:hAnsi="Arial" w:cs="Arial"/>
          <w:color w:val="auto"/>
          <w:sz w:val="22"/>
          <w:szCs w:val="22"/>
        </w:rPr>
        <w:t>.</w:t>
      </w:r>
    </w:p>
    <w:p w14:paraId="407A203F" w14:textId="77777777" w:rsidR="00F47D34" w:rsidRPr="004E02CA" w:rsidRDefault="00F47D34" w:rsidP="00F47D34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4E02CA">
        <w:rPr>
          <w:rFonts w:ascii="Arial" w:hAnsi="Arial" w:cs="Arial"/>
          <w:sz w:val="22"/>
          <w:szCs w:val="22"/>
        </w:rPr>
        <w:t>Lumigan (</w:t>
      </w:r>
      <w:proofErr w:type="spellStart"/>
      <w:r w:rsidRPr="004E02CA">
        <w:rPr>
          <w:rFonts w:ascii="Arial" w:hAnsi="Arial" w:cs="Arial"/>
          <w:sz w:val="22"/>
          <w:szCs w:val="22"/>
        </w:rPr>
        <w:t>bimatoprost</w:t>
      </w:r>
      <w:proofErr w:type="spellEnd"/>
      <w:r w:rsidRPr="004E02CA">
        <w:rPr>
          <w:rFonts w:ascii="Arial" w:hAnsi="Arial" w:cs="Arial"/>
          <w:sz w:val="22"/>
          <w:szCs w:val="22"/>
        </w:rPr>
        <w:t xml:space="preserve"> 0.01% ophthalmic solution</w:t>
      </w:r>
      <w:r>
        <w:rPr>
          <w:rFonts w:ascii="Arial" w:hAnsi="Arial" w:cs="Arial"/>
          <w:sz w:val="22"/>
          <w:szCs w:val="22"/>
        </w:rPr>
        <w:t>)</w:t>
      </w:r>
    </w:p>
    <w:p w14:paraId="2833ED80" w14:textId="77777777" w:rsidR="00F47D34" w:rsidRPr="00E663D8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663D8">
        <w:rPr>
          <w:rFonts w:ascii="Arial" w:hAnsi="Arial" w:cs="Arial"/>
          <w:sz w:val="22"/>
          <w:szCs w:val="22"/>
        </w:rPr>
        <w:t xml:space="preserve">Effective </w:t>
      </w:r>
      <w:r w:rsidRPr="00D22DEC">
        <w:rPr>
          <w:rFonts w:ascii="Arial" w:hAnsi="Arial" w:cs="Arial"/>
          <w:sz w:val="22"/>
          <w:szCs w:val="22"/>
        </w:rPr>
        <w:t>December 21, 2020</w:t>
      </w:r>
      <w:r w:rsidRPr="00E663D8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A</w:t>
      </w:r>
      <w:r w:rsidRPr="00E663D8">
        <w:rPr>
          <w:rFonts w:ascii="Arial" w:hAnsi="Arial" w:cs="Arial"/>
          <w:sz w:val="22"/>
          <w:szCs w:val="22"/>
        </w:rPr>
        <w:t xml:space="preserve">lzheimer’s </w:t>
      </w:r>
      <w:r>
        <w:rPr>
          <w:rFonts w:ascii="Arial" w:hAnsi="Arial" w:cs="Arial"/>
          <w:sz w:val="22"/>
          <w:szCs w:val="22"/>
        </w:rPr>
        <w:t xml:space="preserve">agents </w:t>
      </w:r>
      <w:r w:rsidRPr="00E663D8">
        <w:rPr>
          <w:rFonts w:ascii="Arial" w:hAnsi="Arial" w:cs="Arial"/>
          <w:sz w:val="22"/>
          <w:szCs w:val="22"/>
        </w:rPr>
        <w:t xml:space="preserve">will </w:t>
      </w:r>
      <w:r w:rsidR="008A5B6F">
        <w:rPr>
          <w:rFonts w:ascii="Arial" w:hAnsi="Arial" w:cs="Arial"/>
          <w:sz w:val="22"/>
          <w:szCs w:val="22"/>
        </w:rPr>
        <w:t xml:space="preserve">no longer </w:t>
      </w:r>
      <w:r w:rsidRPr="00E663D8">
        <w:rPr>
          <w:rFonts w:ascii="Arial" w:hAnsi="Arial" w:cs="Arial"/>
          <w:sz w:val="22"/>
          <w:szCs w:val="22"/>
        </w:rPr>
        <w:t xml:space="preserve">require </w:t>
      </w:r>
      <w:r>
        <w:rPr>
          <w:rFonts w:ascii="Arial" w:hAnsi="Arial" w:cs="Arial"/>
          <w:sz w:val="22"/>
          <w:szCs w:val="22"/>
        </w:rPr>
        <w:t>PA within quantity limits</w:t>
      </w:r>
      <w:r w:rsidRPr="00E663D8">
        <w:rPr>
          <w:rFonts w:ascii="Arial" w:hAnsi="Arial" w:cs="Arial"/>
          <w:sz w:val="22"/>
          <w:szCs w:val="22"/>
        </w:rPr>
        <w:t xml:space="preserve">. Pediatric Behavioral Health Medication Initiative </w:t>
      </w:r>
      <w:r>
        <w:rPr>
          <w:rFonts w:ascii="Arial" w:hAnsi="Arial" w:cs="Arial"/>
          <w:sz w:val="22"/>
          <w:szCs w:val="22"/>
        </w:rPr>
        <w:t xml:space="preserve">criteria will still apply. </w:t>
      </w:r>
      <w:r w:rsidRPr="00E663D8">
        <w:rPr>
          <w:rFonts w:ascii="Arial" w:hAnsi="Arial" w:cs="Arial"/>
          <w:sz w:val="22"/>
          <w:szCs w:val="22"/>
        </w:rPr>
        <w:t xml:space="preserve">For additional information, please see the Pediatric Behavioral Health Medication Initiative documents found at </w:t>
      </w:r>
      <w:hyperlink r:id="rId15" w:history="1">
        <w:r w:rsidRPr="00E663D8">
          <w:rPr>
            <w:rStyle w:val="Hyperlink"/>
            <w:rFonts w:ascii="Arial" w:hAnsi="Arial" w:cs="Arial"/>
            <w:sz w:val="22"/>
            <w:szCs w:val="22"/>
          </w:rPr>
          <w:t>www.mass.gov/druglist</w:t>
        </w:r>
      </w:hyperlink>
      <w:r w:rsidRPr="00E663D8">
        <w:rPr>
          <w:rFonts w:ascii="Arial" w:hAnsi="Arial" w:cs="Arial"/>
          <w:sz w:val="22"/>
          <w:szCs w:val="22"/>
        </w:rPr>
        <w:t>.</w:t>
      </w:r>
    </w:p>
    <w:p w14:paraId="6B2B0E74" w14:textId="77777777" w:rsidR="00F47D34" w:rsidRPr="00E663D8" w:rsidRDefault="00F47D34" w:rsidP="00F47D34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E663D8">
        <w:rPr>
          <w:rFonts w:ascii="Arial" w:hAnsi="Arial" w:cs="Arial"/>
          <w:sz w:val="22"/>
          <w:szCs w:val="22"/>
        </w:rPr>
        <w:t>Aricept</w:t>
      </w:r>
      <w:r>
        <w:rPr>
          <w:rFonts w:ascii="Arial" w:hAnsi="Arial" w:cs="Arial"/>
          <w:sz w:val="22"/>
          <w:szCs w:val="22"/>
        </w:rPr>
        <w:t xml:space="preserve"> #</w:t>
      </w:r>
      <w:r w:rsidRPr="00E663D8">
        <w:t xml:space="preserve"> </w:t>
      </w:r>
      <w:r w:rsidRPr="00E663D8">
        <w:rPr>
          <w:rFonts w:ascii="Arial" w:hAnsi="Arial" w:cs="Arial"/>
          <w:sz w:val="22"/>
          <w:szCs w:val="22"/>
        </w:rPr>
        <w:t xml:space="preserve">(donepezil 23 mg tablet) – </w:t>
      </w:r>
      <w:r w:rsidRPr="00E663D8">
        <w:rPr>
          <w:rFonts w:ascii="Arial" w:hAnsi="Arial" w:cs="Arial"/>
          <w:b/>
          <w:sz w:val="22"/>
          <w:szCs w:val="22"/>
        </w:rPr>
        <w:t>PA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&lt;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6 years and PA &gt; 1 unit/day</w:t>
      </w:r>
    </w:p>
    <w:p w14:paraId="6DD678DD" w14:textId="77777777" w:rsidR="00F47D34" w:rsidRDefault="00F47D34" w:rsidP="00F47D34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E663D8">
        <w:rPr>
          <w:rFonts w:ascii="Arial" w:hAnsi="Arial" w:cs="Arial"/>
          <w:sz w:val="22"/>
          <w:szCs w:val="22"/>
        </w:rPr>
        <w:t>Namzaric</w:t>
      </w:r>
      <w:proofErr w:type="spellEnd"/>
      <w:r w:rsidRPr="00E663D8">
        <w:rPr>
          <w:rFonts w:ascii="Arial" w:hAnsi="Arial" w:cs="Arial"/>
          <w:sz w:val="22"/>
          <w:szCs w:val="22"/>
        </w:rPr>
        <w:t xml:space="preserve"> (memantine</w:t>
      </w:r>
      <w:r>
        <w:rPr>
          <w:rFonts w:ascii="Arial" w:hAnsi="Arial" w:cs="Arial"/>
          <w:sz w:val="22"/>
          <w:szCs w:val="22"/>
        </w:rPr>
        <w:t>/</w:t>
      </w:r>
      <w:r w:rsidRPr="00E663D8">
        <w:rPr>
          <w:rFonts w:ascii="Arial" w:hAnsi="Arial" w:cs="Arial"/>
          <w:sz w:val="22"/>
          <w:szCs w:val="22"/>
        </w:rPr>
        <w:t xml:space="preserve">donepezil </w:t>
      </w:r>
      <w:r>
        <w:rPr>
          <w:rFonts w:ascii="Arial" w:hAnsi="Arial" w:cs="Arial"/>
          <w:sz w:val="22"/>
          <w:szCs w:val="22"/>
        </w:rPr>
        <w:t>extended-release</w:t>
      </w:r>
      <w:r w:rsidRPr="00E663D8">
        <w:rPr>
          <w:rFonts w:ascii="Arial" w:hAnsi="Arial" w:cs="Arial"/>
          <w:sz w:val="22"/>
          <w:szCs w:val="22"/>
        </w:rPr>
        <w:t xml:space="preserve">) – </w:t>
      </w:r>
      <w:r w:rsidRPr="00E663D8">
        <w:rPr>
          <w:rFonts w:ascii="Arial" w:hAnsi="Arial" w:cs="Arial"/>
          <w:b/>
          <w:sz w:val="22"/>
          <w:szCs w:val="22"/>
        </w:rPr>
        <w:t>PA</w:t>
      </w:r>
      <w:r w:rsidRPr="00E663D8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&lt;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6 years and PA 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1 unit/day</w:t>
      </w:r>
    </w:p>
    <w:p w14:paraId="57E7B8E2" w14:textId="77777777" w:rsidR="00F47D34" w:rsidRPr="00E663D8" w:rsidRDefault="00F47D34" w:rsidP="00F47D34">
      <w:pPr>
        <w:pStyle w:val="Default"/>
        <w:numPr>
          <w:ilvl w:val="0"/>
          <w:numId w:val="29"/>
        </w:numPr>
        <w:spacing w:line="276" w:lineRule="auto"/>
        <w:rPr>
          <w:rFonts w:ascii="Arial" w:hAnsi="Arial" w:cs="Arial"/>
          <w:sz w:val="22"/>
          <w:szCs w:val="22"/>
        </w:rPr>
      </w:pPr>
      <w:r w:rsidRPr="00E663D8">
        <w:rPr>
          <w:rFonts w:ascii="Arial" w:hAnsi="Arial" w:cs="Arial"/>
          <w:sz w:val="22"/>
          <w:szCs w:val="22"/>
        </w:rPr>
        <w:t>Namenda XR</w:t>
      </w:r>
      <w:r>
        <w:rPr>
          <w:rFonts w:ascii="Arial" w:hAnsi="Arial" w:cs="Arial"/>
          <w:sz w:val="22"/>
          <w:szCs w:val="22"/>
        </w:rPr>
        <w:t xml:space="preserve"> #</w:t>
      </w:r>
      <w:r w:rsidRPr="00E663D8">
        <w:rPr>
          <w:rFonts w:ascii="Arial" w:hAnsi="Arial" w:cs="Arial"/>
          <w:sz w:val="22"/>
          <w:szCs w:val="22"/>
        </w:rPr>
        <w:t xml:space="preserve"> (memantine extended-release) </w:t>
      </w:r>
      <w:r w:rsidRPr="00E663D8">
        <w:rPr>
          <w:rFonts w:ascii="Arial" w:hAnsi="Arial" w:cs="Arial"/>
          <w:sz w:val="22"/>
          <w:szCs w:val="22"/>
          <w:vertAlign w:val="superscript"/>
        </w:rPr>
        <w:t>BP</w:t>
      </w:r>
      <w:r w:rsidRPr="00E663D8">
        <w:rPr>
          <w:rFonts w:ascii="Arial" w:hAnsi="Arial" w:cs="Arial"/>
          <w:sz w:val="22"/>
          <w:szCs w:val="22"/>
        </w:rPr>
        <w:t xml:space="preserve"> – </w:t>
      </w:r>
      <w:r w:rsidRPr="00E663D8">
        <w:rPr>
          <w:rFonts w:ascii="Arial" w:hAnsi="Arial" w:cs="Arial"/>
          <w:b/>
          <w:sz w:val="22"/>
          <w:szCs w:val="22"/>
        </w:rPr>
        <w:t>PA</w:t>
      </w:r>
      <w:r w:rsidRPr="00E663D8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&lt;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6 years and PA 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1 unit/day</w:t>
      </w:r>
    </w:p>
    <w:bookmarkEnd w:id="8"/>
    <w:p w14:paraId="6FACA704" w14:textId="77777777" w:rsidR="00F47D34" w:rsidRPr="00E663D8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D22DEC">
        <w:rPr>
          <w:rFonts w:ascii="Arial" w:hAnsi="Arial" w:cs="Arial"/>
          <w:sz w:val="22"/>
          <w:szCs w:val="22"/>
        </w:rPr>
        <w:t>Effective December 21, 2020</w:t>
      </w:r>
      <w:r w:rsidRPr="00E663D8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A</w:t>
      </w:r>
      <w:r w:rsidRPr="00E663D8">
        <w:rPr>
          <w:rFonts w:ascii="Arial" w:hAnsi="Arial" w:cs="Arial"/>
          <w:sz w:val="22"/>
          <w:szCs w:val="22"/>
        </w:rPr>
        <w:t xml:space="preserve">lzheimer’s agent will </w:t>
      </w:r>
      <w:r>
        <w:rPr>
          <w:rFonts w:ascii="Arial" w:hAnsi="Arial" w:cs="Arial"/>
          <w:sz w:val="22"/>
          <w:szCs w:val="22"/>
        </w:rPr>
        <w:t xml:space="preserve">no longer </w:t>
      </w:r>
      <w:r w:rsidRPr="00E663D8">
        <w:rPr>
          <w:rFonts w:ascii="Arial" w:hAnsi="Arial" w:cs="Arial"/>
          <w:sz w:val="22"/>
          <w:szCs w:val="22"/>
        </w:rPr>
        <w:t xml:space="preserve">require </w:t>
      </w:r>
      <w:r>
        <w:rPr>
          <w:rFonts w:ascii="Arial" w:hAnsi="Arial" w:cs="Arial"/>
          <w:sz w:val="22"/>
          <w:szCs w:val="22"/>
        </w:rPr>
        <w:t>PA within quantity limit</w:t>
      </w:r>
      <w:r w:rsidRPr="00E663D8">
        <w:rPr>
          <w:rFonts w:ascii="Arial" w:hAnsi="Arial" w:cs="Arial"/>
          <w:sz w:val="22"/>
          <w:szCs w:val="22"/>
        </w:rPr>
        <w:t xml:space="preserve">. </w:t>
      </w:r>
    </w:p>
    <w:p w14:paraId="4D903A64" w14:textId="77777777" w:rsidR="00F47D34" w:rsidRPr="00E663D8" w:rsidRDefault="00F47D34" w:rsidP="00F47D34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E663D8">
        <w:rPr>
          <w:rFonts w:ascii="Arial" w:hAnsi="Arial" w:cs="Arial"/>
          <w:sz w:val="22"/>
          <w:szCs w:val="22"/>
        </w:rPr>
        <w:t>Exelon</w:t>
      </w:r>
      <w:r>
        <w:rPr>
          <w:rFonts w:ascii="Arial" w:hAnsi="Arial" w:cs="Arial"/>
          <w:sz w:val="22"/>
          <w:szCs w:val="22"/>
        </w:rPr>
        <w:t xml:space="preserve"> #</w:t>
      </w:r>
      <w:r w:rsidRPr="00E663D8">
        <w:rPr>
          <w:rFonts w:ascii="Arial" w:hAnsi="Arial" w:cs="Arial"/>
          <w:sz w:val="22"/>
          <w:szCs w:val="22"/>
        </w:rPr>
        <w:t xml:space="preserve"> (rivastigmine patch) – </w:t>
      </w:r>
      <w:r w:rsidRPr="00E663D8">
        <w:rPr>
          <w:rFonts w:ascii="Arial" w:hAnsi="Arial" w:cs="Arial"/>
          <w:b/>
          <w:sz w:val="22"/>
          <w:szCs w:val="22"/>
        </w:rPr>
        <w:t>PA</w:t>
      </w:r>
      <w:r w:rsidRPr="00E663D8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1 unit/day</w:t>
      </w:r>
    </w:p>
    <w:p w14:paraId="311CE492" w14:textId="77777777" w:rsidR="00F47D34" w:rsidRPr="00E663D8" w:rsidRDefault="00F47D34" w:rsidP="00F47D34">
      <w:pPr>
        <w:pStyle w:val="Default"/>
        <w:numPr>
          <w:ilvl w:val="0"/>
          <w:numId w:val="4"/>
        </w:numPr>
        <w:spacing w:line="276" w:lineRule="auto"/>
        <w:rPr>
          <w:rFonts w:ascii="Arial" w:hAnsi="Arial" w:cs="Arial"/>
          <w:sz w:val="22"/>
          <w:szCs w:val="22"/>
        </w:rPr>
      </w:pPr>
      <w:r w:rsidRPr="00E663D8">
        <w:rPr>
          <w:rFonts w:ascii="Arial" w:hAnsi="Arial" w:cs="Arial"/>
          <w:sz w:val="22"/>
          <w:szCs w:val="22"/>
        </w:rPr>
        <w:t>Effective</w:t>
      </w:r>
      <w:r w:rsidRPr="00D22DEC">
        <w:rPr>
          <w:rFonts w:ascii="Arial" w:hAnsi="Arial" w:cs="Arial"/>
          <w:sz w:val="22"/>
          <w:szCs w:val="22"/>
        </w:rPr>
        <w:t xml:space="preserve"> December 21, 2020</w:t>
      </w:r>
      <w:r w:rsidRPr="00E663D8">
        <w:rPr>
          <w:rFonts w:ascii="Arial" w:hAnsi="Arial" w:cs="Arial"/>
          <w:sz w:val="22"/>
          <w:szCs w:val="22"/>
        </w:rPr>
        <w:t xml:space="preserve">, the following </w:t>
      </w:r>
      <w:r>
        <w:rPr>
          <w:rFonts w:ascii="Arial" w:hAnsi="Arial" w:cs="Arial"/>
          <w:sz w:val="22"/>
          <w:szCs w:val="22"/>
        </w:rPr>
        <w:t>A</w:t>
      </w:r>
      <w:r w:rsidRPr="00E663D8">
        <w:rPr>
          <w:rFonts w:ascii="Arial" w:hAnsi="Arial" w:cs="Arial"/>
          <w:sz w:val="22"/>
          <w:szCs w:val="22"/>
        </w:rPr>
        <w:t>lzheimer’s agent</w:t>
      </w:r>
      <w:r>
        <w:rPr>
          <w:rFonts w:ascii="Arial" w:hAnsi="Arial" w:cs="Arial"/>
          <w:sz w:val="22"/>
          <w:szCs w:val="22"/>
        </w:rPr>
        <w:t>s</w:t>
      </w:r>
      <w:r w:rsidRPr="00E663D8">
        <w:rPr>
          <w:rFonts w:ascii="Arial" w:hAnsi="Arial" w:cs="Arial"/>
          <w:sz w:val="22"/>
          <w:szCs w:val="22"/>
        </w:rPr>
        <w:t xml:space="preserve"> will </w:t>
      </w:r>
      <w:r>
        <w:rPr>
          <w:rFonts w:ascii="Arial" w:hAnsi="Arial" w:cs="Arial"/>
          <w:sz w:val="22"/>
          <w:szCs w:val="22"/>
        </w:rPr>
        <w:t xml:space="preserve">no longer </w:t>
      </w:r>
      <w:r w:rsidRPr="00E663D8">
        <w:rPr>
          <w:rFonts w:ascii="Arial" w:hAnsi="Arial" w:cs="Arial"/>
          <w:sz w:val="22"/>
          <w:szCs w:val="22"/>
        </w:rPr>
        <w:t xml:space="preserve">require </w:t>
      </w:r>
      <w:r>
        <w:rPr>
          <w:rFonts w:ascii="Arial" w:hAnsi="Arial" w:cs="Arial"/>
          <w:sz w:val="22"/>
          <w:szCs w:val="22"/>
        </w:rPr>
        <w:t>PA below age limits</w:t>
      </w:r>
      <w:r w:rsidRPr="00E663D8">
        <w:rPr>
          <w:rFonts w:ascii="Arial" w:hAnsi="Arial" w:cs="Arial"/>
          <w:sz w:val="22"/>
          <w:szCs w:val="22"/>
        </w:rPr>
        <w:t xml:space="preserve">. </w:t>
      </w:r>
    </w:p>
    <w:p w14:paraId="3C799180" w14:textId="77777777" w:rsidR="00F47D34" w:rsidRPr="00AD10EC" w:rsidRDefault="00F47D34" w:rsidP="00F47D34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b/>
          <w:bCs/>
          <w:sz w:val="22"/>
          <w:szCs w:val="22"/>
        </w:rPr>
      </w:pPr>
      <w:proofErr w:type="spellStart"/>
      <w:r w:rsidRPr="008B2E92">
        <w:rPr>
          <w:rFonts w:ascii="Arial" w:hAnsi="Arial" w:cs="Arial"/>
          <w:sz w:val="22"/>
          <w:szCs w:val="22"/>
        </w:rPr>
        <w:t>Razadyne</w:t>
      </w:r>
      <w:proofErr w:type="spellEnd"/>
      <w:r w:rsidRPr="008B2E92">
        <w:rPr>
          <w:rFonts w:ascii="Arial" w:hAnsi="Arial" w:cs="Arial"/>
          <w:sz w:val="22"/>
          <w:szCs w:val="22"/>
        </w:rPr>
        <w:t xml:space="preserve"> ER</w:t>
      </w:r>
      <w:r>
        <w:rPr>
          <w:rFonts w:ascii="Arial" w:hAnsi="Arial" w:cs="Arial"/>
          <w:sz w:val="22"/>
          <w:szCs w:val="22"/>
        </w:rPr>
        <w:t xml:space="preserve"> #</w:t>
      </w:r>
      <w:r w:rsidRPr="008B2E92">
        <w:rPr>
          <w:rFonts w:ascii="Arial" w:hAnsi="Arial" w:cs="Arial"/>
          <w:sz w:val="22"/>
          <w:szCs w:val="22"/>
        </w:rPr>
        <w:t xml:space="preserve"> (galantamine extended-release capsule) – </w:t>
      </w:r>
      <w:r w:rsidRPr="008B2E92">
        <w:rPr>
          <w:rFonts w:ascii="Arial" w:hAnsi="Arial" w:cs="Arial"/>
          <w:b/>
          <w:sz w:val="22"/>
          <w:szCs w:val="22"/>
        </w:rPr>
        <w:t>PA</w:t>
      </w:r>
      <w:r w:rsidRPr="008B2E92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&gt; 1 unit/day</w:t>
      </w:r>
    </w:p>
    <w:p w14:paraId="1ECFBAE3" w14:textId="77777777" w:rsidR="00F47D34" w:rsidRPr="00E663D8" w:rsidRDefault="00F47D34" w:rsidP="00F47D34">
      <w:pPr>
        <w:pStyle w:val="Default"/>
        <w:numPr>
          <w:ilvl w:val="1"/>
          <w:numId w:val="4"/>
        </w:numPr>
        <w:spacing w:line="276" w:lineRule="auto"/>
        <w:ind w:left="1080"/>
        <w:rPr>
          <w:rFonts w:ascii="Arial" w:hAnsi="Arial" w:cs="Arial"/>
          <w:sz w:val="22"/>
          <w:szCs w:val="22"/>
        </w:rPr>
      </w:pPr>
      <w:r w:rsidRPr="008B2E92">
        <w:rPr>
          <w:rFonts w:ascii="Arial" w:hAnsi="Arial" w:cs="Arial"/>
          <w:sz w:val="22"/>
          <w:szCs w:val="22"/>
        </w:rPr>
        <w:t xml:space="preserve">rivastigmine capsule – </w:t>
      </w:r>
      <w:r w:rsidRPr="008B2E92">
        <w:rPr>
          <w:rFonts w:ascii="Arial" w:hAnsi="Arial" w:cs="Arial"/>
          <w:b/>
          <w:sz w:val="22"/>
          <w:szCs w:val="22"/>
        </w:rPr>
        <w:t>PA</w:t>
      </w:r>
      <w:r w:rsidRPr="008B2E92">
        <w:rPr>
          <w:rFonts w:ascii="Arial" w:hAnsi="Arial" w:cs="Arial"/>
          <w:sz w:val="22"/>
          <w:szCs w:val="22"/>
        </w:rPr>
        <w:t xml:space="preserve"> </w:t>
      </w:r>
      <w:r w:rsidRPr="00AD10EC">
        <w:rPr>
          <w:rFonts w:ascii="Arial" w:hAnsi="Arial" w:cs="Arial"/>
          <w:b/>
          <w:bCs/>
          <w:sz w:val="22"/>
          <w:szCs w:val="22"/>
        </w:rPr>
        <w:t>&gt; 2 units/day</w:t>
      </w:r>
    </w:p>
    <w:p w14:paraId="224152B6" w14:textId="77777777" w:rsidR="00F47D34" w:rsidRPr="00F147C1" w:rsidRDefault="00F47D34" w:rsidP="00F47D34"/>
    <w:p w14:paraId="3F0EC518" w14:textId="77777777" w:rsidR="00F47D34" w:rsidRPr="003E455A" w:rsidRDefault="00F47D34" w:rsidP="00F47D34">
      <w:pPr>
        <w:rPr>
          <w:rFonts w:ascii="Arial" w:hAnsi="Arial" w:cs="Arial"/>
          <w:b/>
          <w:bCs/>
        </w:rPr>
      </w:pPr>
      <w:r w:rsidRPr="003E455A">
        <w:rPr>
          <w:rFonts w:ascii="Arial" w:hAnsi="Arial" w:cs="Arial"/>
          <w:b/>
          <w:bCs/>
        </w:rPr>
        <w:t>Updated MassHealth Non-Drug Product List</w:t>
      </w:r>
    </w:p>
    <w:p w14:paraId="34ABED4E" w14:textId="77777777" w:rsidR="00F47D34" w:rsidRPr="00F47D34" w:rsidRDefault="00F47D34" w:rsidP="00F47D34">
      <w:pPr>
        <w:rPr>
          <w:b/>
          <w:bCs/>
        </w:rPr>
      </w:pPr>
    </w:p>
    <w:p w14:paraId="42BB9D08" w14:textId="77777777" w:rsidR="005F65C8" w:rsidRPr="0037348F" w:rsidRDefault="005F65C8" w:rsidP="005F65C8">
      <w:pPr>
        <w:pStyle w:val="ListParagraph"/>
        <w:autoSpaceDE w:val="0"/>
        <w:autoSpaceDN w:val="0"/>
        <w:adjustRightInd w:val="0"/>
        <w:spacing w:line="276" w:lineRule="auto"/>
        <w:ind w:left="0"/>
        <w:rPr>
          <w:rFonts w:ascii="Arial" w:hAnsi="Arial" w:cs="Arial"/>
          <w:color w:val="000000"/>
          <w:sz w:val="22"/>
          <w:szCs w:val="22"/>
        </w:rPr>
      </w:pPr>
      <w:r w:rsidRPr="0037348F">
        <w:rPr>
          <w:rFonts w:ascii="Arial" w:hAnsi="Arial" w:cs="Arial"/>
          <w:color w:val="000000"/>
          <w:sz w:val="22"/>
          <w:szCs w:val="22"/>
        </w:rPr>
        <w:t xml:space="preserve">Effective </w:t>
      </w:r>
      <w:r w:rsidRPr="0037348F">
        <w:rPr>
          <w:rFonts w:ascii="Arial" w:hAnsi="Arial" w:cs="Arial"/>
          <w:sz w:val="22"/>
          <w:szCs w:val="22"/>
        </w:rPr>
        <w:t>January 1,</w:t>
      </w:r>
      <w:r w:rsidRPr="0037348F">
        <w:rPr>
          <w:rFonts w:ascii="Arial" w:hAnsi="Arial" w:cs="Arial"/>
          <w:color w:val="000000"/>
          <w:sz w:val="22"/>
          <w:szCs w:val="22"/>
        </w:rPr>
        <w:t xml:space="preserve"> 2021, the following medical supplies will be added to the MassHealth Non-Drug Product List. </w:t>
      </w:r>
    </w:p>
    <w:p w14:paraId="328411A0" w14:textId="77777777" w:rsidR="005F65C8" w:rsidRDefault="005F65C8" w:rsidP="005F65C8">
      <w:pPr>
        <w:pStyle w:val="BodyText1"/>
        <w:numPr>
          <w:ilvl w:val="0"/>
          <w:numId w:val="31"/>
        </w:numPr>
        <w:rPr>
          <w:sz w:val="22"/>
          <w:szCs w:val="22"/>
        </w:rPr>
      </w:pPr>
      <w:r w:rsidRPr="0037348F">
        <w:rPr>
          <w:sz w:val="22"/>
          <w:szCs w:val="22"/>
        </w:rPr>
        <w:t xml:space="preserve">Dexcom G6 and Freestyle Libre continuous glucose monitors used for the management of diabetes – </w:t>
      </w:r>
      <w:r w:rsidRPr="0037348F">
        <w:rPr>
          <w:b/>
          <w:sz w:val="22"/>
          <w:szCs w:val="22"/>
        </w:rPr>
        <w:t>PA</w:t>
      </w:r>
      <w:r w:rsidRPr="0037348F">
        <w:rPr>
          <w:sz w:val="22"/>
          <w:szCs w:val="22"/>
        </w:rPr>
        <w:t xml:space="preserve"> </w:t>
      </w:r>
    </w:p>
    <w:p w14:paraId="0FA4F92D" w14:textId="77777777" w:rsidR="00D22AD2" w:rsidRDefault="00D22AD2" w:rsidP="005F65C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6F7E2DA" w14:textId="77777777" w:rsidR="005F65C8" w:rsidRPr="003E455A" w:rsidRDefault="005F65C8" w:rsidP="005F65C8">
      <w:pPr>
        <w:rPr>
          <w:rFonts w:ascii="Arial" w:hAnsi="Arial" w:cs="Arial"/>
          <w:b/>
          <w:bCs/>
          <w:color w:val="000000"/>
        </w:rPr>
      </w:pPr>
      <w:r w:rsidRPr="003E455A">
        <w:rPr>
          <w:rFonts w:ascii="Arial" w:hAnsi="Arial" w:cs="Arial"/>
          <w:b/>
          <w:bCs/>
          <w:color w:val="000000"/>
        </w:rPr>
        <w:t>Updated MassHealth Brand Name Preferred Over Generic Drug List</w:t>
      </w:r>
    </w:p>
    <w:p w14:paraId="2EC6A52E" w14:textId="77777777" w:rsidR="005F65C8" w:rsidRPr="005F65C8" w:rsidRDefault="005F65C8" w:rsidP="005F65C8">
      <w:pPr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15BBA357" w14:textId="77777777" w:rsidR="005F65C8" w:rsidRPr="003E455A" w:rsidRDefault="005F65C8" w:rsidP="005F65C8">
      <w:pPr>
        <w:rPr>
          <w:rFonts w:ascii="Arial" w:hAnsi="Arial" w:cs="Arial"/>
          <w:sz w:val="22"/>
          <w:szCs w:val="22"/>
        </w:rPr>
      </w:pPr>
      <w:r w:rsidRPr="003E455A">
        <w:rPr>
          <w:rFonts w:ascii="Arial" w:hAnsi="Arial" w:cs="Arial"/>
          <w:sz w:val="22"/>
          <w:szCs w:val="22"/>
        </w:rPr>
        <w:t>The MassHealth Brand Name Preferred Over Generic Drug List has been updated to reflect recent changes to the MassHealth Drug List.</w:t>
      </w:r>
    </w:p>
    <w:p w14:paraId="5A75FAF9" w14:textId="77777777" w:rsidR="005F65C8" w:rsidRDefault="005F65C8" w:rsidP="005F65C8">
      <w:pPr>
        <w:rPr>
          <w:szCs w:val="21"/>
        </w:rPr>
      </w:pPr>
    </w:p>
    <w:p w14:paraId="7B2A0F66" w14:textId="77777777" w:rsidR="005F65C8" w:rsidRPr="00033CDC" w:rsidRDefault="005F65C8" w:rsidP="005F65C8">
      <w:pPr>
        <w:pStyle w:val="Default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1"/>
        </w:rPr>
      </w:pPr>
      <w:bookmarkStart w:id="11" w:name="_Hlk57642218"/>
      <w:r w:rsidRPr="00033CDC">
        <w:rPr>
          <w:rFonts w:ascii="Arial" w:hAnsi="Arial" w:cs="Arial"/>
          <w:sz w:val="22"/>
          <w:szCs w:val="21"/>
        </w:rPr>
        <w:t xml:space="preserve">Effective </w:t>
      </w:r>
      <w:r w:rsidRPr="00FF66C5">
        <w:rPr>
          <w:rFonts w:ascii="Arial" w:hAnsi="Arial" w:cs="Arial"/>
          <w:sz w:val="22"/>
          <w:szCs w:val="21"/>
        </w:rPr>
        <w:t>December 21, 2020</w:t>
      </w:r>
      <w:r w:rsidRPr="00033CDC">
        <w:rPr>
          <w:rFonts w:ascii="Arial" w:hAnsi="Arial" w:cs="Arial"/>
          <w:sz w:val="22"/>
          <w:szCs w:val="21"/>
        </w:rPr>
        <w:t xml:space="preserve">, the following agents will be added to the MassHealth Brand Name Preferred Over Generic Drug List. </w:t>
      </w:r>
    </w:p>
    <w:p w14:paraId="179DC04E" w14:textId="77777777" w:rsidR="005F65C8" w:rsidRPr="00094D35" w:rsidRDefault="005F65C8" w:rsidP="005F65C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1"/>
        </w:rPr>
      </w:pPr>
      <w:proofErr w:type="spellStart"/>
      <w:r w:rsidRPr="00094D35">
        <w:rPr>
          <w:rFonts w:ascii="Arial" w:hAnsi="Arial" w:cs="Arial"/>
          <w:sz w:val="22"/>
          <w:szCs w:val="21"/>
        </w:rPr>
        <w:t>Banzel</w:t>
      </w:r>
      <w:proofErr w:type="spellEnd"/>
      <w:r w:rsidRPr="00094D35">
        <w:rPr>
          <w:rFonts w:ascii="Arial" w:hAnsi="Arial" w:cs="Arial"/>
          <w:sz w:val="22"/>
          <w:szCs w:val="21"/>
        </w:rPr>
        <w:t xml:space="preserve"> (rufinamide</w:t>
      </w:r>
      <w:r w:rsidRPr="00437C71">
        <w:rPr>
          <w:rFonts w:ascii="Arial" w:hAnsi="Arial" w:cs="Arial"/>
          <w:sz w:val="22"/>
          <w:szCs w:val="21"/>
        </w:rPr>
        <w:t xml:space="preserve">) </w:t>
      </w:r>
      <w:r w:rsidRPr="00437C71">
        <w:rPr>
          <w:rFonts w:ascii="Arial" w:hAnsi="Arial" w:cs="Arial"/>
          <w:sz w:val="22"/>
          <w:szCs w:val="21"/>
          <w:vertAlign w:val="superscript"/>
        </w:rPr>
        <w:t>BP</w:t>
      </w:r>
      <w:r w:rsidRPr="00094D35">
        <w:rPr>
          <w:rFonts w:ascii="Arial" w:hAnsi="Arial" w:cs="Arial"/>
          <w:sz w:val="22"/>
          <w:szCs w:val="21"/>
        </w:rPr>
        <w:t xml:space="preserve"> – </w:t>
      </w:r>
      <w:r w:rsidRPr="00094D35">
        <w:rPr>
          <w:rFonts w:ascii="Arial" w:hAnsi="Arial" w:cs="Arial"/>
          <w:b/>
          <w:sz w:val="22"/>
          <w:szCs w:val="21"/>
        </w:rPr>
        <w:t xml:space="preserve">PA </w:t>
      </w:r>
    </w:p>
    <w:p w14:paraId="19E73ABE" w14:textId="77777777" w:rsidR="005F65C8" w:rsidRPr="00EA1492" w:rsidRDefault="005F65C8" w:rsidP="005F65C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0"/>
          <w:szCs w:val="20"/>
        </w:rPr>
      </w:pPr>
      <w:r w:rsidRPr="00EA1492">
        <w:rPr>
          <w:rFonts w:ascii="Arial" w:hAnsi="Arial" w:cs="Arial"/>
          <w:sz w:val="22"/>
          <w:szCs w:val="22"/>
        </w:rPr>
        <w:t>Emend (</w:t>
      </w:r>
      <w:proofErr w:type="spellStart"/>
      <w:r w:rsidRPr="00EA1492">
        <w:rPr>
          <w:rFonts w:ascii="Arial" w:hAnsi="Arial" w:cs="Arial"/>
          <w:sz w:val="22"/>
          <w:szCs w:val="22"/>
        </w:rPr>
        <w:t>fosaprepitant</w:t>
      </w:r>
      <w:proofErr w:type="spellEnd"/>
      <w:r w:rsidRPr="00EA1492">
        <w:rPr>
          <w:rFonts w:ascii="Arial" w:hAnsi="Arial" w:cs="Arial"/>
          <w:sz w:val="22"/>
          <w:szCs w:val="22"/>
        </w:rPr>
        <w:t xml:space="preserve"> injection) </w:t>
      </w:r>
      <w:r w:rsidRPr="00EA1492">
        <w:rPr>
          <w:rFonts w:ascii="Arial" w:hAnsi="Arial" w:cs="Arial"/>
          <w:sz w:val="22"/>
          <w:szCs w:val="22"/>
          <w:vertAlign w:val="superscript"/>
        </w:rPr>
        <w:t>BP</w:t>
      </w:r>
      <w:r w:rsidRPr="00EA1492">
        <w:rPr>
          <w:rFonts w:ascii="Arial" w:hAnsi="Arial" w:cs="Arial"/>
          <w:sz w:val="22"/>
          <w:szCs w:val="22"/>
        </w:rPr>
        <w:t xml:space="preserve"> – </w:t>
      </w:r>
      <w:r w:rsidRPr="00EA1492">
        <w:rPr>
          <w:rFonts w:ascii="Arial" w:hAnsi="Arial" w:cs="Arial"/>
          <w:b/>
          <w:bCs/>
          <w:sz w:val="22"/>
          <w:szCs w:val="22"/>
        </w:rPr>
        <w:t>PA</w:t>
      </w:r>
      <w:r w:rsidRPr="00EA1492">
        <w:rPr>
          <w:rFonts w:ascii="Arial" w:hAnsi="Arial" w:cs="Arial"/>
          <w:sz w:val="22"/>
          <w:szCs w:val="22"/>
        </w:rPr>
        <w:t xml:space="preserve"> </w:t>
      </w:r>
      <w:r w:rsidRPr="002965CC">
        <w:rPr>
          <w:rFonts w:ascii="Arial" w:hAnsi="Arial" w:cs="Arial"/>
          <w:b/>
          <w:bCs/>
          <w:sz w:val="22"/>
          <w:szCs w:val="22"/>
        </w:rPr>
        <w:t>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2965CC">
        <w:rPr>
          <w:rFonts w:ascii="Arial" w:hAnsi="Arial" w:cs="Arial"/>
          <w:b/>
          <w:bCs/>
          <w:sz w:val="22"/>
          <w:szCs w:val="22"/>
        </w:rPr>
        <w:t>2 vials/28 days</w:t>
      </w:r>
    </w:p>
    <w:p w14:paraId="56C54CA9" w14:textId="77777777" w:rsidR="005F65C8" w:rsidRPr="005E04B7" w:rsidRDefault="005F65C8" w:rsidP="005F65C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E04B7">
        <w:rPr>
          <w:rFonts w:ascii="Arial" w:hAnsi="Arial" w:cs="Arial"/>
          <w:sz w:val="22"/>
          <w:szCs w:val="22"/>
        </w:rPr>
        <w:t>Tirosint</w:t>
      </w:r>
      <w:proofErr w:type="spellEnd"/>
      <w:r w:rsidRPr="005E04B7">
        <w:rPr>
          <w:rFonts w:ascii="Arial" w:hAnsi="Arial" w:cs="Arial"/>
          <w:sz w:val="22"/>
          <w:szCs w:val="22"/>
        </w:rPr>
        <w:t xml:space="preserve"> (levothyroxine)</w:t>
      </w:r>
      <w:r>
        <w:rPr>
          <w:rFonts w:ascii="Arial" w:hAnsi="Arial" w:cs="Arial"/>
          <w:sz w:val="22"/>
          <w:szCs w:val="22"/>
        </w:rPr>
        <w:t xml:space="preserve"> </w:t>
      </w:r>
      <w:r w:rsidRPr="005E04B7">
        <w:rPr>
          <w:rFonts w:ascii="Arial" w:hAnsi="Arial" w:cs="Arial"/>
          <w:sz w:val="22"/>
          <w:szCs w:val="22"/>
          <w:vertAlign w:val="superscript"/>
        </w:rPr>
        <w:t>BP</w:t>
      </w:r>
    </w:p>
    <w:p w14:paraId="6A1ACDBA" w14:textId="77777777" w:rsidR="005F65C8" w:rsidRPr="005E04B7" w:rsidRDefault="005F65C8" w:rsidP="005F65C8">
      <w:pPr>
        <w:pStyle w:val="Default"/>
        <w:numPr>
          <w:ilvl w:val="0"/>
          <w:numId w:val="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5E04B7">
        <w:rPr>
          <w:rFonts w:ascii="Arial" w:hAnsi="Arial" w:cs="Arial"/>
          <w:sz w:val="22"/>
          <w:szCs w:val="21"/>
        </w:rPr>
        <w:t>Vascepa</w:t>
      </w:r>
      <w:proofErr w:type="spellEnd"/>
      <w:r w:rsidRPr="005E04B7">
        <w:rPr>
          <w:rFonts w:ascii="Arial" w:hAnsi="Arial" w:cs="Arial"/>
          <w:sz w:val="22"/>
          <w:szCs w:val="21"/>
        </w:rPr>
        <w:t xml:space="preserve"> (</w:t>
      </w:r>
      <w:proofErr w:type="spellStart"/>
      <w:r w:rsidRPr="005E04B7">
        <w:rPr>
          <w:rFonts w:ascii="Arial" w:hAnsi="Arial" w:cs="Arial"/>
          <w:sz w:val="22"/>
          <w:szCs w:val="21"/>
        </w:rPr>
        <w:t>icosapent</w:t>
      </w:r>
      <w:proofErr w:type="spellEnd"/>
      <w:r w:rsidRPr="005E04B7">
        <w:rPr>
          <w:rFonts w:ascii="Arial" w:hAnsi="Arial" w:cs="Arial"/>
          <w:sz w:val="22"/>
          <w:szCs w:val="21"/>
        </w:rPr>
        <w:t xml:space="preserve"> ethyl) </w:t>
      </w:r>
      <w:r w:rsidRPr="005E04B7">
        <w:rPr>
          <w:rFonts w:ascii="Arial" w:hAnsi="Arial" w:cs="Arial"/>
          <w:sz w:val="22"/>
          <w:szCs w:val="21"/>
          <w:vertAlign w:val="superscript"/>
        </w:rPr>
        <w:t>BP</w:t>
      </w:r>
      <w:r w:rsidRPr="005E04B7">
        <w:rPr>
          <w:rFonts w:ascii="Arial" w:hAnsi="Arial" w:cs="Arial"/>
          <w:sz w:val="22"/>
          <w:szCs w:val="21"/>
        </w:rPr>
        <w:t xml:space="preserve"> – </w:t>
      </w:r>
      <w:r w:rsidRPr="005E04B7">
        <w:rPr>
          <w:rFonts w:ascii="Arial" w:hAnsi="Arial" w:cs="Arial"/>
          <w:b/>
          <w:sz w:val="22"/>
          <w:szCs w:val="21"/>
        </w:rPr>
        <w:t xml:space="preserve">PA </w:t>
      </w:r>
    </w:p>
    <w:p w14:paraId="21534CB6" w14:textId="77777777" w:rsidR="005F65C8" w:rsidRPr="00B81730" w:rsidRDefault="005F65C8" w:rsidP="005F65C8">
      <w:pPr>
        <w:pStyle w:val="Default"/>
        <w:numPr>
          <w:ilvl w:val="0"/>
          <w:numId w:val="32"/>
        </w:numPr>
        <w:spacing w:line="276" w:lineRule="auto"/>
        <w:rPr>
          <w:rFonts w:ascii="Arial" w:hAnsi="Arial" w:cs="Arial"/>
          <w:sz w:val="22"/>
          <w:szCs w:val="21"/>
        </w:rPr>
      </w:pPr>
      <w:r w:rsidRPr="00B81730">
        <w:rPr>
          <w:rFonts w:ascii="Arial" w:hAnsi="Arial" w:cs="Arial"/>
          <w:sz w:val="22"/>
          <w:szCs w:val="21"/>
        </w:rPr>
        <w:t xml:space="preserve">Effective </w:t>
      </w:r>
      <w:r w:rsidRPr="00FF66C5">
        <w:rPr>
          <w:rFonts w:ascii="Arial" w:hAnsi="Arial" w:cs="Arial"/>
          <w:color w:val="auto"/>
          <w:sz w:val="22"/>
          <w:szCs w:val="21"/>
        </w:rPr>
        <w:t>December 21, 2020</w:t>
      </w:r>
      <w:r w:rsidRPr="00B81730">
        <w:rPr>
          <w:rFonts w:ascii="Arial" w:hAnsi="Arial" w:cs="Arial"/>
          <w:sz w:val="22"/>
          <w:szCs w:val="21"/>
        </w:rPr>
        <w:t xml:space="preserve">, the following agent will be removed from the MassHealth Brand Name Preferred Over Generic Drug List. </w:t>
      </w:r>
    </w:p>
    <w:p w14:paraId="13B2AA6D" w14:textId="77777777" w:rsidR="005F65C8" w:rsidRPr="00B81730" w:rsidRDefault="005F65C8" w:rsidP="005F65C8">
      <w:pPr>
        <w:pStyle w:val="Default"/>
        <w:numPr>
          <w:ilvl w:val="0"/>
          <w:numId w:val="16"/>
        </w:numPr>
        <w:spacing w:line="276" w:lineRule="auto"/>
        <w:rPr>
          <w:rFonts w:ascii="Arial" w:hAnsi="Arial" w:cs="Arial"/>
          <w:sz w:val="22"/>
          <w:szCs w:val="22"/>
        </w:rPr>
      </w:pPr>
      <w:proofErr w:type="spellStart"/>
      <w:r w:rsidRPr="00B81730">
        <w:rPr>
          <w:rFonts w:ascii="Arial" w:hAnsi="Arial" w:cs="Arial"/>
          <w:sz w:val="22"/>
          <w:szCs w:val="22"/>
        </w:rPr>
        <w:t>Tarceva</w:t>
      </w:r>
      <w:proofErr w:type="spellEnd"/>
      <w:r w:rsidRPr="00B81730">
        <w:rPr>
          <w:rFonts w:ascii="Arial" w:hAnsi="Arial" w:cs="Arial"/>
          <w:sz w:val="22"/>
          <w:szCs w:val="22"/>
        </w:rPr>
        <w:t xml:space="preserve"> (erlotinib) – </w:t>
      </w:r>
      <w:r w:rsidRPr="00B81730">
        <w:rPr>
          <w:rFonts w:ascii="Arial" w:hAnsi="Arial" w:cs="Arial"/>
          <w:b/>
          <w:bCs/>
          <w:sz w:val="22"/>
          <w:szCs w:val="22"/>
        </w:rPr>
        <w:t>PA</w:t>
      </w:r>
    </w:p>
    <w:bookmarkEnd w:id="11"/>
    <w:p w14:paraId="4840D5F0" w14:textId="77777777" w:rsidR="0086142C" w:rsidRPr="003C78FE" w:rsidRDefault="0086142C" w:rsidP="0086142C">
      <w:pPr>
        <w:autoSpaceDE w:val="0"/>
        <w:autoSpaceDN w:val="0"/>
        <w:adjustRightInd w:val="0"/>
        <w:spacing w:line="360" w:lineRule="auto"/>
        <w:ind w:left="108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</w:t>
      </w:r>
    </w:p>
    <w:p w14:paraId="7A5C36D2" w14:textId="77777777" w:rsidR="00EF7C8A" w:rsidRDefault="00EF7C8A" w:rsidP="00B645C9">
      <w:pPr>
        <w:shd w:val="clear" w:color="auto" w:fill="FFFFFF"/>
        <w:ind w:left="729" w:hanging="630"/>
        <w:jc w:val="center"/>
        <w:rPr>
          <w:rFonts w:ascii="Arial" w:hAnsi="Arial"/>
          <w:b/>
          <w:bCs/>
          <w:sz w:val="18"/>
          <w:szCs w:val="18"/>
        </w:rPr>
      </w:pPr>
      <w:r w:rsidRPr="006E1C33">
        <w:rPr>
          <w:rFonts w:ascii="Arial" w:hAnsi="Arial"/>
          <w:b/>
          <w:bCs/>
          <w:sz w:val="18"/>
          <w:szCs w:val="18"/>
        </w:rPr>
        <w:t>Legend</w:t>
      </w:r>
    </w:p>
    <w:p w14:paraId="3EAFFFF0" w14:textId="77777777" w:rsidR="005B15B3" w:rsidRPr="008474A5" w:rsidRDefault="005B15B3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/>
          <w:bCs/>
          <w:color w:val="FF0000"/>
          <w:sz w:val="18"/>
          <w:szCs w:val="18"/>
        </w:rPr>
      </w:pPr>
    </w:p>
    <w:p w14:paraId="00FA7887" w14:textId="77777777" w:rsidR="00E50862" w:rsidRDefault="00E50862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bCs/>
          <w:sz w:val="18"/>
          <w:szCs w:val="18"/>
        </w:rPr>
        <w:t>PA</w:t>
      </w:r>
      <w:r w:rsidR="009F0526"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Prior authorization is required. The prescriber must obtain prior authorization for the drug in order for the pharmacy to receive payment. Note: PA applies to both the brand-name and the FDA “A”-rated generic equivalent of listed product.</w:t>
      </w:r>
    </w:p>
    <w:p w14:paraId="23EE7A75" w14:textId="77777777" w:rsidR="003240F1" w:rsidRDefault="003240F1" w:rsidP="005B15B3">
      <w:pPr>
        <w:shd w:val="clear" w:color="auto" w:fill="FFFFFF"/>
        <w:tabs>
          <w:tab w:val="left" w:pos="18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</w:p>
    <w:p w14:paraId="0EDCA2D0" w14:textId="77777777" w:rsidR="009D6D73" w:rsidRPr="009D6D73" w:rsidRDefault="009D6D73" w:rsidP="009D6D73">
      <w:pPr>
        <w:shd w:val="clear" w:color="auto" w:fill="FFFFFF"/>
        <w:tabs>
          <w:tab w:val="left" w:pos="270"/>
          <w:tab w:val="left" w:pos="360"/>
        </w:tabs>
        <w:ind w:left="270" w:hanging="360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Cs/>
          <w:sz w:val="22"/>
          <w:szCs w:val="22"/>
        </w:rPr>
        <w:t xml:space="preserve">#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</w:t>
      </w:r>
      <w:r w:rsidRPr="009D6D7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 xml:space="preserve"> D</w:t>
      </w:r>
      <w:r w:rsidRPr="009D6D73">
        <w:rPr>
          <w:rFonts w:ascii="Arial" w:hAnsi="Arial"/>
          <w:bCs/>
          <w:sz w:val="18"/>
          <w:szCs w:val="18"/>
        </w:rPr>
        <w:t>esignates a brand-name drug with FDA “A”-rated generic equivalents. </w:t>
      </w:r>
      <w:bookmarkStart w:id="12" w:name="Prior_Authorization"/>
      <w:r w:rsidRPr="009D6D73">
        <w:rPr>
          <w:rFonts w:ascii="Arial" w:hAnsi="Arial"/>
          <w:bCs/>
          <w:sz w:val="18"/>
          <w:szCs w:val="18"/>
        </w:rPr>
        <w:t>Prior authorization</w:t>
      </w:r>
      <w:bookmarkEnd w:id="12"/>
      <w:r w:rsidRPr="009D6D73">
        <w:rPr>
          <w:rFonts w:ascii="Arial" w:hAnsi="Arial"/>
          <w:bCs/>
          <w:sz w:val="18"/>
          <w:szCs w:val="18"/>
        </w:rPr>
        <w:t xml:space="preserve"> is required for the brand, unless a particular form of that drug (for example, tablet, capsule, or liquid) does not have an FDA “A”-rated generic equivalent. </w:t>
      </w:r>
    </w:p>
    <w:p w14:paraId="415ECF68" w14:textId="77777777" w:rsidR="009D6D73" w:rsidRPr="005B15B3" w:rsidRDefault="009D6D73" w:rsidP="00E50862">
      <w:pPr>
        <w:shd w:val="clear" w:color="auto" w:fill="FFFFFF"/>
        <w:tabs>
          <w:tab w:val="left" w:pos="360"/>
        </w:tabs>
        <w:ind w:left="540" w:hanging="630"/>
        <w:rPr>
          <w:rFonts w:ascii="Arial" w:hAnsi="Arial"/>
          <w:bCs/>
          <w:sz w:val="22"/>
          <w:szCs w:val="22"/>
        </w:rPr>
      </w:pPr>
    </w:p>
    <w:p w14:paraId="6D478FB3" w14:textId="77777777" w:rsidR="00212622" w:rsidRDefault="00E5086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5B15B3">
        <w:rPr>
          <w:rFonts w:ascii="Arial" w:hAnsi="Arial"/>
          <w:b/>
          <w:sz w:val="22"/>
          <w:szCs w:val="22"/>
          <w:vertAlign w:val="superscript"/>
        </w:rPr>
        <w:t>BP</w:t>
      </w:r>
      <w:r w:rsidR="004D79B2" w:rsidRPr="005B15B3">
        <w:rPr>
          <w:rFonts w:ascii="Arial" w:hAnsi="Arial"/>
          <w:b/>
          <w:sz w:val="22"/>
          <w:szCs w:val="22"/>
          <w:vertAlign w:val="superscript"/>
        </w:rPr>
        <w:t xml:space="preserve"> </w:t>
      </w:r>
      <w:r w:rsidR="004D79B2">
        <w:rPr>
          <w:rFonts w:ascii="Arial" w:hAnsi="Arial"/>
          <w:b/>
          <w:sz w:val="18"/>
          <w:szCs w:val="18"/>
          <w:vertAlign w:val="superscript"/>
        </w:rPr>
        <w:t xml:space="preserve">  </w:t>
      </w:r>
      <w:r w:rsidR="004D79B2">
        <w:rPr>
          <w:rFonts w:ascii="Arial" w:hAnsi="Arial"/>
          <w:bCs/>
          <w:sz w:val="18"/>
          <w:szCs w:val="18"/>
        </w:rPr>
        <w:t xml:space="preserve">  </w:t>
      </w:r>
      <w:r w:rsidR="009F0526">
        <w:rPr>
          <w:rFonts w:ascii="Arial" w:hAnsi="Arial"/>
          <w:bCs/>
          <w:sz w:val="18"/>
          <w:szCs w:val="18"/>
        </w:rPr>
        <w:tab/>
      </w:r>
      <w:r>
        <w:rPr>
          <w:rFonts w:ascii="Arial" w:hAnsi="Arial"/>
          <w:bCs/>
          <w:sz w:val="18"/>
          <w:szCs w:val="18"/>
        </w:rPr>
        <w:t>Brand preferred over generic equivalents.</w:t>
      </w:r>
      <w:r w:rsidR="005B15B3">
        <w:rPr>
          <w:rFonts w:ascii="Arial" w:hAnsi="Arial"/>
          <w:bCs/>
          <w:sz w:val="18"/>
          <w:szCs w:val="18"/>
        </w:rPr>
        <w:t xml:space="preserve"> </w:t>
      </w:r>
      <w:r>
        <w:rPr>
          <w:rFonts w:ascii="Arial" w:hAnsi="Arial"/>
          <w:bCs/>
          <w:sz w:val="18"/>
          <w:szCs w:val="18"/>
        </w:rPr>
        <w:t>In general, MassHealth requires a trial of the preferred drug or clinical rationale for prescribing the nonpreferred drug generic equivalent</w:t>
      </w:r>
      <w:r w:rsidR="00212622">
        <w:rPr>
          <w:rFonts w:ascii="Arial" w:hAnsi="Arial"/>
          <w:bCs/>
          <w:sz w:val="18"/>
          <w:szCs w:val="18"/>
        </w:rPr>
        <w:t>.</w:t>
      </w:r>
    </w:p>
    <w:p w14:paraId="6D60B020" w14:textId="77777777" w:rsidR="00212622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14:paraId="31519D42" w14:textId="77777777" w:rsidR="00212622" w:rsidRPr="005B15B3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 w:cs="Arial"/>
          <w:b/>
          <w:sz w:val="22"/>
          <w:szCs w:val="22"/>
          <w:vertAlign w:val="superscript"/>
        </w:rPr>
        <w:t>H</w:t>
      </w:r>
      <w:r>
        <w:rPr>
          <w:rFonts w:ascii="Arial" w:hAnsi="Arial" w:cs="Arial"/>
          <w:sz w:val="18"/>
          <w:szCs w:val="18"/>
          <w:vertAlign w:val="superscript"/>
        </w:rPr>
        <w:t xml:space="preserve">    </w:t>
      </w:r>
      <w:r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ab/>
      </w:r>
      <w:r>
        <w:rPr>
          <w:rFonts w:ascii="Arial" w:eastAsia="Calibri" w:hAnsi="Arial" w:cs="Arial"/>
          <w:sz w:val="18"/>
          <w:szCs w:val="18"/>
        </w:rPr>
        <w:t>Available only in an inpatient hospital setting. Mass</w:t>
      </w:r>
      <w:r w:rsidRPr="00B645C9">
        <w:rPr>
          <w:rFonts w:ascii="Arial" w:eastAsia="Calibri" w:hAnsi="Arial" w:cs="Arial"/>
          <w:sz w:val="18"/>
          <w:szCs w:val="18"/>
        </w:rPr>
        <w:t xml:space="preserve">Health </w:t>
      </w:r>
      <w:r>
        <w:rPr>
          <w:rFonts w:ascii="Arial" w:eastAsia="Calibri" w:hAnsi="Arial" w:cs="Arial"/>
          <w:sz w:val="18"/>
          <w:szCs w:val="18"/>
        </w:rPr>
        <w:t>does not pay for this drug to be dispensed through the retail pharmacy or physician's office.</w:t>
      </w:r>
    </w:p>
    <w:p w14:paraId="230ABA88" w14:textId="77777777" w:rsidR="00212622" w:rsidRDefault="00212622" w:rsidP="00212622">
      <w:pPr>
        <w:shd w:val="clear" w:color="auto" w:fill="FFFFFF"/>
        <w:tabs>
          <w:tab w:val="left" w:pos="360"/>
        </w:tabs>
        <w:ind w:left="729" w:hanging="630"/>
        <w:rPr>
          <w:rFonts w:ascii="Arial" w:hAnsi="Arial"/>
          <w:bCs/>
          <w:sz w:val="18"/>
          <w:szCs w:val="18"/>
        </w:rPr>
      </w:pPr>
    </w:p>
    <w:p w14:paraId="6DA2A6CE" w14:textId="77777777" w:rsidR="00212622" w:rsidRDefault="00212622" w:rsidP="00212622">
      <w:pPr>
        <w:shd w:val="clear" w:color="auto" w:fill="FFFFFF"/>
        <w:ind w:left="270" w:hanging="441"/>
        <w:rPr>
          <w:rFonts w:ascii="Arial" w:hAnsi="Arial"/>
          <w:bCs/>
          <w:sz w:val="18"/>
          <w:szCs w:val="18"/>
        </w:rPr>
      </w:pPr>
      <w:r w:rsidRPr="00B645C9">
        <w:rPr>
          <w:rFonts w:ascii="Arial" w:hAnsi="Arial"/>
          <w:b/>
          <w:sz w:val="22"/>
          <w:szCs w:val="22"/>
          <w:vertAlign w:val="superscript"/>
        </w:rPr>
        <w:t>PD</w:t>
      </w:r>
      <w:r w:rsidRPr="00B645C9">
        <w:rPr>
          <w:rFonts w:ascii="Arial" w:hAnsi="Arial"/>
          <w:b/>
          <w:sz w:val="18"/>
          <w:szCs w:val="18"/>
          <w:vertAlign w:val="superscript"/>
        </w:rPr>
        <w:t xml:space="preserve">    </w:t>
      </w:r>
      <w:r>
        <w:rPr>
          <w:rFonts w:ascii="Arial" w:hAnsi="Arial"/>
          <w:bCs/>
          <w:sz w:val="18"/>
          <w:szCs w:val="18"/>
          <w:vertAlign w:val="superscript"/>
        </w:rPr>
        <w:tab/>
      </w:r>
      <w:r w:rsidRPr="004D79B2">
        <w:rPr>
          <w:rFonts w:ascii="Arial" w:eastAsia="Calibri" w:hAnsi="Arial" w:cs="Arial"/>
          <w:sz w:val="18"/>
          <w:szCs w:val="18"/>
        </w:rPr>
        <w:t>In general, MassHealth requires a trial of the preferred drug (PD) or a clinical rationale for prescribing a nonpreferred drug within a therapeutic class.</w:t>
      </w:r>
      <w:r w:rsidRPr="00212622">
        <w:rPr>
          <w:rFonts w:ascii="Arial" w:hAnsi="Arial"/>
          <w:bCs/>
          <w:sz w:val="18"/>
          <w:szCs w:val="18"/>
        </w:rPr>
        <w:t xml:space="preserve"> </w:t>
      </w:r>
    </w:p>
    <w:p w14:paraId="13E61DE8" w14:textId="77777777" w:rsidR="00212622" w:rsidRDefault="00212622" w:rsidP="00212622">
      <w:pPr>
        <w:shd w:val="clear" w:color="auto" w:fill="FFFFFF"/>
        <w:ind w:left="270" w:hanging="441"/>
        <w:rPr>
          <w:rFonts w:ascii="Arial" w:hAnsi="Arial" w:cs="Arial"/>
          <w:b/>
          <w:sz w:val="22"/>
          <w:szCs w:val="22"/>
          <w:vertAlign w:val="superscript"/>
        </w:rPr>
      </w:pPr>
    </w:p>
    <w:p w14:paraId="7E160480" w14:textId="77777777" w:rsidR="00D22AD2" w:rsidRPr="00D22AD2" w:rsidRDefault="00D22AD2" w:rsidP="00D22AD2">
      <w:pPr>
        <w:shd w:val="clear" w:color="auto" w:fill="FFFFFF"/>
        <w:ind w:left="270" w:hanging="441"/>
        <w:rPr>
          <w:rFonts w:ascii="Arial" w:hAnsi="Arial" w:cs="Arial"/>
          <w:b/>
          <w:sz w:val="18"/>
          <w:szCs w:val="18"/>
          <w:vertAlign w:val="superscript"/>
        </w:rPr>
      </w:pPr>
      <w:r w:rsidRPr="005C299C">
        <w:rPr>
          <w:rFonts w:ascii="Arial" w:hAnsi="Arial" w:cs="Arial"/>
          <w:b/>
          <w:sz w:val="22"/>
          <w:szCs w:val="22"/>
          <w:vertAlign w:val="superscript"/>
        </w:rPr>
        <w:lastRenderedPageBreak/>
        <w:t>CO</w:t>
      </w:r>
      <w:r w:rsidRPr="00D22AD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5C299C">
        <w:rPr>
          <w:rFonts w:ascii="Arial" w:hAnsi="Arial" w:cs="Arial"/>
          <w:b/>
          <w:sz w:val="18"/>
          <w:szCs w:val="18"/>
          <w:vertAlign w:val="superscript"/>
        </w:rPr>
        <w:tab/>
      </w:r>
      <w:r w:rsidRPr="00D22AD2">
        <w:rPr>
          <w:rFonts w:ascii="Arial" w:hAnsi="Arial" w:cs="Arial"/>
          <w:bCs/>
          <w:sz w:val="18"/>
          <w:szCs w:val="18"/>
        </w:rPr>
        <w:t>Carve-Out. This agent is listed on the Acute Hospital Carve-Out Drugs List and is subject to additional monitoring and billing requirements.</w:t>
      </w:r>
    </w:p>
    <w:p w14:paraId="2DB79DAF" w14:textId="77777777" w:rsidR="00D66801" w:rsidRPr="00D22AD2" w:rsidRDefault="00D22AD2" w:rsidP="00D22AD2">
      <w:pPr>
        <w:shd w:val="clear" w:color="auto" w:fill="FFFFFF"/>
        <w:ind w:left="270" w:hanging="441"/>
        <w:rPr>
          <w:bCs/>
          <w:sz w:val="18"/>
          <w:szCs w:val="18"/>
        </w:rPr>
        <w:sectPr w:rsidR="00D66801" w:rsidRPr="00D22AD2" w:rsidSect="00137D3D">
          <w:headerReference w:type="default" r:id="rId16"/>
          <w:footerReference w:type="default" r:id="rId17"/>
          <w:type w:val="continuous"/>
          <w:pgSz w:w="12240" w:h="15840" w:code="1"/>
          <w:pgMar w:top="360" w:right="907" w:bottom="720" w:left="907" w:header="720" w:footer="576" w:gutter="0"/>
          <w:cols w:num="2" w:sep="1" w:space="720"/>
          <w:docGrid w:linePitch="360"/>
        </w:sectPr>
      </w:pPr>
      <w:r w:rsidRPr="005C299C">
        <w:rPr>
          <w:rFonts w:ascii="Arial" w:hAnsi="Arial" w:cs="Arial"/>
          <w:b/>
          <w:sz w:val="22"/>
          <w:szCs w:val="22"/>
          <w:vertAlign w:val="superscript"/>
        </w:rPr>
        <w:t>^</w:t>
      </w:r>
      <w:r w:rsidRPr="00D22AD2">
        <w:rPr>
          <w:rFonts w:ascii="Arial" w:hAnsi="Arial" w:cs="Arial"/>
          <w:b/>
          <w:sz w:val="18"/>
          <w:szCs w:val="18"/>
          <w:vertAlign w:val="superscript"/>
        </w:rPr>
        <w:t xml:space="preserve"> </w:t>
      </w:r>
      <w:r w:rsidR="005C299C">
        <w:rPr>
          <w:rFonts w:ascii="Arial" w:hAnsi="Arial" w:cs="Arial"/>
          <w:b/>
          <w:sz w:val="18"/>
          <w:szCs w:val="18"/>
          <w:vertAlign w:val="superscript"/>
        </w:rPr>
        <w:tab/>
      </w:r>
      <w:r w:rsidRPr="005C299C">
        <w:rPr>
          <w:rFonts w:ascii="Arial" w:hAnsi="Arial" w:cs="Arial"/>
          <w:bCs/>
          <w:sz w:val="18"/>
          <w:szCs w:val="18"/>
        </w:rPr>
        <w:t>Available through the health care professional who administers the drug. MassHealth does not pay for this drug to be dispensed through a retail pharmacy.</w:t>
      </w:r>
    </w:p>
    <w:p w14:paraId="78290DB9" w14:textId="77777777" w:rsidR="00A650DC" w:rsidRPr="001721D8" w:rsidRDefault="00A650DC" w:rsidP="00375713">
      <w:pPr>
        <w:tabs>
          <w:tab w:val="left" w:pos="1606"/>
        </w:tabs>
      </w:pPr>
    </w:p>
    <w:sectPr w:rsidR="00A650DC" w:rsidRPr="001721D8" w:rsidSect="00137D3D">
      <w:type w:val="continuous"/>
      <w:pgSz w:w="12240" w:h="15840" w:code="1"/>
      <w:pgMar w:top="1267" w:right="346" w:bottom="288" w:left="907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C2A306" w14:textId="77777777" w:rsidR="00A02FCD" w:rsidRDefault="00A02FCD" w:rsidP="00492602">
      <w:r>
        <w:separator/>
      </w:r>
    </w:p>
  </w:endnote>
  <w:endnote w:type="continuationSeparator" w:id="0">
    <w:p w14:paraId="7DD236B4" w14:textId="77777777" w:rsidR="00A02FCD" w:rsidRDefault="00A02FCD" w:rsidP="004926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E699B9" w14:textId="77777777" w:rsidR="00BF43D2" w:rsidRDefault="00BF43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3D8BF0" w14:textId="77777777" w:rsidR="00637A67" w:rsidRDefault="006D3B5F" w:rsidP="006D3B5F">
    <w:pPr>
      <w:pStyle w:val="Footer"/>
      <w:pBdr>
        <w:top w:val="single" w:sz="18" w:space="1" w:color="auto"/>
      </w:pBdr>
      <w:tabs>
        <w:tab w:val="clear" w:pos="4680"/>
        <w:tab w:val="clear" w:pos="9360"/>
        <w:tab w:val="left" w:pos="3840"/>
      </w:tabs>
      <w:spacing w:before="120"/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64F25B" w14:textId="77777777" w:rsidR="00637A67" w:rsidRDefault="00637A67">
    <w:pPr>
      <w:pStyle w:val="Footer"/>
    </w:pPr>
    <w:r>
      <w:t>[Type text]</w:t>
    </w:r>
  </w:p>
  <w:p w14:paraId="69B250DE" w14:textId="77777777" w:rsidR="00637A67" w:rsidRDefault="00637A6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6C63DB" w14:textId="77777777" w:rsidR="00207DE3" w:rsidRPr="00207DE3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  <w:rPr>
        <w:rFonts w:ascii="Arial" w:hAnsi="Arial" w:cs="Arial"/>
        <w:iCs/>
        <w:sz w:val="18"/>
        <w:szCs w:val="18"/>
      </w:rPr>
    </w:pPr>
    <w:r w:rsidRPr="00207DE3">
      <w:rPr>
        <w:rFonts w:ascii="Arial" w:hAnsi="Arial" w:cs="Arial"/>
        <w:iCs/>
        <w:sz w:val="18"/>
        <w:szCs w:val="18"/>
      </w:rPr>
      <w:t xml:space="preserve">If you have questions or comments, or want to be removed from this fax distribution, </w:t>
    </w:r>
  </w:p>
  <w:p w14:paraId="5A3FB355" w14:textId="77777777" w:rsidR="00637A67" w:rsidRPr="00E24139" w:rsidRDefault="00207DE3" w:rsidP="00207DE3">
    <w:pPr>
      <w:tabs>
        <w:tab w:val="left" w:pos="-90"/>
      </w:tabs>
      <w:autoSpaceDE w:val="0"/>
      <w:autoSpaceDN w:val="0"/>
      <w:adjustRightInd w:val="0"/>
      <w:jc w:val="center"/>
      <w:textAlignment w:val="baseline"/>
    </w:pPr>
    <w:r w:rsidRPr="00207DE3">
      <w:rPr>
        <w:rFonts w:ascii="Arial" w:hAnsi="Arial" w:cs="Arial"/>
        <w:iCs/>
        <w:sz w:val="18"/>
        <w:szCs w:val="18"/>
      </w:rPr>
      <w:t xml:space="preserve">please contact </w:t>
    </w:r>
    <w:proofErr w:type="spellStart"/>
    <w:r w:rsidRPr="00207DE3">
      <w:rPr>
        <w:rFonts w:ascii="Arial" w:hAnsi="Arial" w:cs="Arial"/>
        <w:iCs/>
        <w:sz w:val="18"/>
        <w:szCs w:val="18"/>
      </w:rPr>
      <w:t>Josel</w:t>
    </w:r>
    <w:proofErr w:type="spellEnd"/>
    <w:r w:rsidRPr="00207DE3">
      <w:rPr>
        <w:rFonts w:ascii="Arial" w:hAnsi="Arial" w:cs="Arial"/>
        <w:iCs/>
        <w:sz w:val="18"/>
        <w:szCs w:val="18"/>
      </w:rPr>
      <w:t xml:space="preserve"> Fernandes at (617) 423-9842.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FB16B2" w14:textId="77777777" w:rsidR="00A02FCD" w:rsidRDefault="00A02FCD" w:rsidP="00492602">
      <w:r>
        <w:separator/>
      </w:r>
    </w:p>
  </w:footnote>
  <w:footnote w:type="continuationSeparator" w:id="0">
    <w:p w14:paraId="5B5D7F0F" w14:textId="77777777" w:rsidR="00A02FCD" w:rsidRDefault="00A02FCD" w:rsidP="004926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31628D" w14:textId="77777777" w:rsidR="00BF43D2" w:rsidRDefault="00BF43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8436D5" w14:textId="77777777" w:rsidR="00492602" w:rsidRDefault="00492602" w:rsidP="00492602">
    <w:pPr>
      <w:pStyle w:val="Header"/>
    </w:pPr>
  </w:p>
  <w:p w14:paraId="2D38465F" w14:textId="77777777" w:rsidR="00492602" w:rsidRDefault="0049260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5100AB" w14:textId="77777777" w:rsidR="00BF43D2" w:rsidRDefault="00BF43D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9B899B" w14:textId="77777777" w:rsidR="00492602" w:rsidRDefault="00492602" w:rsidP="006D3B5F">
    <w:pPr>
      <w:pStyle w:val="Default"/>
      <w:pBdr>
        <w:bottom w:val="single" w:sz="18" w:space="1" w:color="auto"/>
      </w:pBdr>
      <w:tabs>
        <w:tab w:val="right" w:pos="10440"/>
      </w:tabs>
      <w:spacing w:after="240"/>
      <w:rPr>
        <w:color w:val="FF0000"/>
        <w:sz w:val="18"/>
        <w:szCs w:val="18"/>
      </w:rPr>
    </w:pPr>
    <w:r w:rsidRPr="00AD18B8">
      <w:rPr>
        <w:sz w:val="18"/>
        <w:szCs w:val="18"/>
      </w:rPr>
      <w:t>P</w:t>
    </w:r>
    <w:r>
      <w:rPr>
        <w:sz w:val="18"/>
        <w:szCs w:val="18"/>
      </w:rPr>
      <w:t xml:space="preserve">harmacy Facts, Number </w:t>
    </w:r>
    <w:r w:rsidR="005C299C" w:rsidRPr="00BF43D2">
      <w:rPr>
        <w:color w:val="auto"/>
        <w:sz w:val="18"/>
        <w:szCs w:val="18"/>
      </w:rPr>
      <w:t>158</w:t>
    </w:r>
    <w:r>
      <w:rPr>
        <w:color w:val="FF0000"/>
        <w:sz w:val="18"/>
        <w:szCs w:val="18"/>
      </w:rPr>
      <w:tab/>
    </w:r>
    <w:r w:rsidRPr="00EC1948">
      <w:rPr>
        <w:color w:val="auto"/>
        <w:sz w:val="18"/>
        <w:szCs w:val="18"/>
      </w:rPr>
      <w:t xml:space="preserve">Page </w:t>
    </w:r>
    <w:r w:rsidR="005A57BA" w:rsidRPr="00EC1948">
      <w:rPr>
        <w:color w:val="auto"/>
        <w:sz w:val="18"/>
        <w:szCs w:val="18"/>
      </w:rPr>
      <w:fldChar w:fldCharType="begin"/>
    </w:r>
    <w:r w:rsidR="005A57BA" w:rsidRPr="00EC1948">
      <w:rPr>
        <w:color w:val="auto"/>
        <w:sz w:val="18"/>
        <w:szCs w:val="18"/>
      </w:rPr>
      <w:instrText xml:space="preserve"> PAGE   \* MERGEFORMAT </w:instrText>
    </w:r>
    <w:r w:rsidR="005A57BA" w:rsidRPr="00EC1948">
      <w:rPr>
        <w:color w:val="auto"/>
        <w:sz w:val="18"/>
        <w:szCs w:val="18"/>
      </w:rPr>
      <w:fldChar w:fldCharType="separate"/>
    </w:r>
    <w:r w:rsidR="00FA6801">
      <w:rPr>
        <w:noProof/>
        <w:color w:val="auto"/>
        <w:sz w:val="18"/>
        <w:szCs w:val="18"/>
      </w:rPr>
      <w:t>2</w:t>
    </w:r>
    <w:r w:rsidR="005A57BA" w:rsidRPr="00EC1948">
      <w:rPr>
        <w:noProof/>
        <w:color w:val="auto"/>
        <w:sz w:val="18"/>
        <w:szCs w:val="18"/>
      </w:rPr>
      <w:fldChar w:fldCharType="end"/>
    </w:r>
    <w:r w:rsidR="005A57BA" w:rsidRPr="00EC1948">
      <w:rPr>
        <w:noProof/>
        <w:color w:val="auto"/>
        <w:sz w:val="18"/>
        <w:szCs w:val="18"/>
      </w:rPr>
      <w:t xml:space="preserve"> of </w:t>
    </w:r>
    <w:r w:rsidR="005C299C">
      <w:rPr>
        <w:noProof/>
        <w:color w:val="auto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F5748"/>
    <w:multiLevelType w:val="hybridMultilevel"/>
    <w:tmpl w:val="815E7E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36ADA"/>
    <w:multiLevelType w:val="hybridMultilevel"/>
    <w:tmpl w:val="F5B4A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D40758"/>
    <w:multiLevelType w:val="hybridMultilevel"/>
    <w:tmpl w:val="BE52F1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B6E0A"/>
    <w:multiLevelType w:val="hybridMultilevel"/>
    <w:tmpl w:val="1714C2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0427348"/>
    <w:multiLevelType w:val="hybridMultilevel"/>
    <w:tmpl w:val="D67E6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82499"/>
    <w:multiLevelType w:val="hybridMultilevel"/>
    <w:tmpl w:val="8B5AA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3EE4818"/>
    <w:multiLevelType w:val="hybridMultilevel"/>
    <w:tmpl w:val="CADAB5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61608BA"/>
    <w:multiLevelType w:val="hybridMultilevel"/>
    <w:tmpl w:val="DA825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2770E0"/>
    <w:multiLevelType w:val="hybridMultilevel"/>
    <w:tmpl w:val="8746E7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DF7073"/>
    <w:multiLevelType w:val="hybridMultilevel"/>
    <w:tmpl w:val="5D304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F1C32E7"/>
    <w:multiLevelType w:val="hybridMultilevel"/>
    <w:tmpl w:val="A04AB496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FB72BA"/>
    <w:multiLevelType w:val="hybridMultilevel"/>
    <w:tmpl w:val="2D5476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6D74651E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88255C"/>
    <w:multiLevelType w:val="hybridMultilevel"/>
    <w:tmpl w:val="C11E1E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6D74651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32898"/>
    <w:multiLevelType w:val="hybridMultilevel"/>
    <w:tmpl w:val="F05A61BA"/>
    <w:lvl w:ilvl="0" w:tplc="8020DB58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1BC0F66"/>
    <w:multiLevelType w:val="hybridMultilevel"/>
    <w:tmpl w:val="1DA6E372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617136B"/>
    <w:multiLevelType w:val="hybridMultilevel"/>
    <w:tmpl w:val="7744C8A4"/>
    <w:lvl w:ilvl="0" w:tplc="F26CBC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91F7C70"/>
    <w:multiLevelType w:val="hybridMultilevel"/>
    <w:tmpl w:val="2A00940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CC2FEB"/>
    <w:multiLevelType w:val="hybridMultilevel"/>
    <w:tmpl w:val="2DA09AF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616417"/>
    <w:multiLevelType w:val="hybridMultilevel"/>
    <w:tmpl w:val="3C1EC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2F132B"/>
    <w:multiLevelType w:val="hybridMultilevel"/>
    <w:tmpl w:val="DCD45CE8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1374B5"/>
    <w:multiLevelType w:val="hybridMultilevel"/>
    <w:tmpl w:val="59EE6934"/>
    <w:lvl w:ilvl="0" w:tplc="6D7465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7C7384"/>
    <w:multiLevelType w:val="hybridMultilevel"/>
    <w:tmpl w:val="99609AF0"/>
    <w:lvl w:ilvl="0" w:tplc="781C6C4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692164E8"/>
    <w:multiLevelType w:val="hybridMultilevel"/>
    <w:tmpl w:val="C510893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3" w15:restartNumberingAfterBreak="0">
    <w:nsid w:val="6C0C5364"/>
    <w:multiLevelType w:val="hybridMultilevel"/>
    <w:tmpl w:val="F4807D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4" w15:restartNumberingAfterBreak="0">
    <w:nsid w:val="6C2933E9"/>
    <w:multiLevelType w:val="hybridMultilevel"/>
    <w:tmpl w:val="6058879C"/>
    <w:lvl w:ilvl="0" w:tplc="6D74651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FAA156C"/>
    <w:multiLevelType w:val="hybridMultilevel"/>
    <w:tmpl w:val="9C8C216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AC4BB8"/>
    <w:multiLevelType w:val="hybridMultilevel"/>
    <w:tmpl w:val="1AB28AAE"/>
    <w:lvl w:ilvl="0" w:tplc="8020DB58">
      <w:start w:val="1"/>
      <w:numFmt w:val="lowerLetter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FD366C"/>
    <w:multiLevelType w:val="hybridMultilevel"/>
    <w:tmpl w:val="15E2F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237D44"/>
    <w:multiLevelType w:val="hybridMultilevel"/>
    <w:tmpl w:val="F3FA3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0"/>
  </w:num>
  <w:num w:numId="3">
    <w:abstractNumId w:val="24"/>
  </w:num>
  <w:num w:numId="4">
    <w:abstractNumId w:val="12"/>
  </w:num>
  <w:num w:numId="5">
    <w:abstractNumId w:val="14"/>
  </w:num>
  <w:num w:numId="6">
    <w:abstractNumId w:val="19"/>
  </w:num>
  <w:num w:numId="7">
    <w:abstractNumId w:val="25"/>
  </w:num>
  <w:num w:numId="8">
    <w:abstractNumId w:val="5"/>
  </w:num>
  <w:num w:numId="9">
    <w:abstractNumId w:val="0"/>
  </w:num>
  <w:num w:numId="10">
    <w:abstractNumId w:val="22"/>
  </w:num>
  <w:num w:numId="11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24"/>
  </w:num>
  <w:num w:numId="14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</w:num>
  <w:num w:numId="16">
    <w:abstractNumId w:val="21"/>
  </w:num>
  <w:num w:numId="17">
    <w:abstractNumId w:val="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7"/>
  </w:num>
  <w:num w:numId="21">
    <w:abstractNumId w:val="13"/>
  </w:num>
  <w:num w:numId="22">
    <w:abstractNumId w:val="26"/>
  </w:num>
  <w:num w:numId="23">
    <w:abstractNumId w:val="28"/>
  </w:num>
  <w:num w:numId="24">
    <w:abstractNumId w:val="18"/>
  </w:num>
  <w:num w:numId="25">
    <w:abstractNumId w:val="23"/>
  </w:num>
  <w:num w:numId="26">
    <w:abstractNumId w:val="4"/>
  </w:num>
  <w:num w:numId="27">
    <w:abstractNumId w:val="6"/>
  </w:num>
  <w:num w:numId="28">
    <w:abstractNumId w:val="1"/>
  </w:num>
  <w:num w:numId="29">
    <w:abstractNumId w:val="8"/>
  </w:num>
  <w:num w:numId="30">
    <w:abstractNumId w:val="11"/>
  </w:num>
  <w:num w:numId="31">
    <w:abstractNumId w:val="27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839"/>
    <w:rsid w:val="0002450C"/>
    <w:rsid w:val="00054839"/>
    <w:rsid w:val="00061F50"/>
    <w:rsid w:val="000713D3"/>
    <w:rsid w:val="00074014"/>
    <w:rsid w:val="00081E8E"/>
    <w:rsid w:val="000A6318"/>
    <w:rsid w:val="000D1502"/>
    <w:rsid w:val="00110D18"/>
    <w:rsid w:val="00123D58"/>
    <w:rsid w:val="0012682D"/>
    <w:rsid w:val="001378CB"/>
    <w:rsid w:val="00137D3D"/>
    <w:rsid w:val="00140D08"/>
    <w:rsid w:val="00147437"/>
    <w:rsid w:val="00157A49"/>
    <w:rsid w:val="00171445"/>
    <w:rsid w:val="001721D8"/>
    <w:rsid w:val="0018357E"/>
    <w:rsid w:val="001864A9"/>
    <w:rsid w:val="001A125B"/>
    <w:rsid w:val="001C1481"/>
    <w:rsid w:val="001E779F"/>
    <w:rsid w:val="00207DE3"/>
    <w:rsid w:val="0021214A"/>
    <w:rsid w:val="00212622"/>
    <w:rsid w:val="002275AE"/>
    <w:rsid w:val="002509E9"/>
    <w:rsid w:val="00274F3E"/>
    <w:rsid w:val="00276F3A"/>
    <w:rsid w:val="00286CBE"/>
    <w:rsid w:val="00291397"/>
    <w:rsid w:val="002C7C67"/>
    <w:rsid w:val="002D390F"/>
    <w:rsid w:val="002D738C"/>
    <w:rsid w:val="002E2F9E"/>
    <w:rsid w:val="003152DA"/>
    <w:rsid w:val="003240F1"/>
    <w:rsid w:val="0033053B"/>
    <w:rsid w:val="00360067"/>
    <w:rsid w:val="00361733"/>
    <w:rsid w:val="0036343A"/>
    <w:rsid w:val="00372195"/>
    <w:rsid w:val="0037373E"/>
    <w:rsid w:val="00375713"/>
    <w:rsid w:val="00382054"/>
    <w:rsid w:val="003911FC"/>
    <w:rsid w:val="003B6839"/>
    <w:rsid w:val="003C45A1"/>
    <w:rsid w:val="003D3B27"/>
    <w:rsid w:val="003E455A"/>
    <w:rsid w:val="003F533B"/>
    <w:rsid w:val="00447A5F"/>
    <w:rsid w:val="00456B5A"/>
    <w:rsid w:val="004664D3"/>
    <w:rsid w:val="00492602"/>
    <w:rsid w:val="0049423D"/>
    <w:rsid w:val="004A3BAA"/>
    <w:rsid w:val="004A7395"/>
    <w:rsid w:val="004C1DAD"/>
    <w:rsid w:val="004D1BC7"/>
    <w:rsid w:val="004D79B2"/>
    <w:rsid w:val="004F5612"/>
    <w:rsid w:val="005052D9"/>
    <w:rsid w:val="00516394"/>
    <w:rsid w:val="0052118E"/>
    <w:rsid w:val="00525250"/>
    <w:rsid w:val="00527F95"/>
    <w:rsid w:val="005314A6"/>
    <w:rsid w:val="005502E1"/>
    <w:rsid w:val="0056481B"/>
    <w:rsid w:val="0057156C"/>
    <w:rsid w:val="00571898"/>
    <w:rsid w:val="00574ECE"/>
    <w:rsid w:val="00574F07"/>
    <w:rsid w:val="0057528C"/>
    <w:rsid w:val="00581E50"/>
    <w:rsid w:val="005835F0"/>
    <w:rsid w:val="005842A0"/>
    <w:rsid w:val="005958DD"/>
    <w:rsid w:val="005A57BA"/>
    <w:rsid w:val="005B15B3"/>
    <w:rsid w:val="005C299C"/>
    <w:rsid w:val="005D723D"/>
    <w:rsid w:val="005F2371"/>
    <w:rsid w:val="005F65C8"/>
    <w:rsid w:val="00623469"/>
    <w:rsid w:val="00634C49"/>
    <w:rsid w:val="00637A67"/>
    <w:rsid w:val="00650095"/>
    <w:rsid w:val="00651CA7"/>
    <w:rsid w:val="00656A01"/>
    <w:rsid w:val="00657D21"/>
    <w:rsid w:val="006615EC"/>
    <w:rsid w:val="00673F96"/>
    <w:rsid w:val="00674418"/>
    <w:rsid w:val="00674428"/>
    <w:rsid w:val="00686C26"/>
    <w:rsid w:val="00690023"/>
    <w:rsid w:val="00696F48"/>
    <w:rsid w:val="0069772F"/>
    <w:rsid w:val="006A7D28"/>
    <w:rsid w:val="006D3B5F"/>
    <w:rsid w:val="006E0C20"/>
    <w:rsid w:val="006E22A3"/>
    <w:rsid w:val="006F35F9"/>
    <w:rsid w:val="007319D7"/>
    <w:rsid w:val="00731FAF"/>
    <w:rsid w:val="007426BF"/>
    <w:rsid w:val="00760FDF"/>
    <w:rsid w:val="007757E7"/>
    <w:rsid w:val="00781D3B"/>
    <w:rsid w:val="007A038A"/>
    <w:rsid w:val="007A41F5"/>
    <w:rsid w:val="007B2F2D"/>
    <w:rsid w:val="007B4429"/>
    <w:rsid w:val="007B4751"/>
    <w:rsid w:val="007B7425"/>
    <w:rsid w:val="007F5417"/>
    <w:rsid w:val="00804116"/>
    <w:rsid w:val="0080526D"/>
    <w:rsid w:val="00812480"/>
    <w:rsid w:val="00816CE2"/>
    <w:rsid w:val="00821937"/>
    <w:rsid w:val="008340D0"/>
    <w:rsid w:val="008403CA"/>
    <w:rsid w:val="008474A5"/>
    <w:rsid w:val="0085395A"/>
    <w:rsid w:val="00853F8E"/>
    <w:rsid w:val="0086142C"/>
    <w:rsid w:val="00870F52"/>
    <w:rsid w:val="00872E7F"/>
    <w:rsid w:val="00880FA9"/>
    <w:rsid w:val="008930F1"/>
    <w:rsid w:val="00893F45"/>
    <w:rsid w:val="008A5B6F"/>
    <w:rsid w:val="008C5414"/>
    <w:rsid w:val="008E4B33"/>
    <w:rsid w:val="008F0130"/>
    <w:rsid w:val="008F2E4C"/>
    <w:rsid w:val="00905C46"/>
    <w:rsid w:val="00906EEC"/>
    <w:rsid w:val="009166DF"/>
    <w:rsid w:val="009204C7"/>
    <w:rsid w:val="00922030"/>
    <w:rsid w:val="009365C7"/>
    <w:rsid w:val="00941258"/>
    <w:rsid w:val="00942245"/>
    <w:rsid w:val="00956812"/>
    <w:rsid w:val="0095770E"/>
    <w:rsid w:val="009725E5"/>
    <w:rsid w:val="00974CFD"/>
    <w:rsid w:val="00981567"/>
    <w:rsid w:val="009C3981"/>
    <w:rsid w:val="009D1341"/>
    <w:rsid w:val="009D6D73"/>
    <w:rsid w:val="009D79C6"/>
    <w:rsid w:val="009F0440"/>
    <w:rsid w:val="009F0526"/>
    <w:rsid w:val="00A01DE3"/>
    <w:rsid w:val="00A02FCD"/>
    <w:rsid w:val="00A06542"/>
    <w:rsid w:val="00A11371"/>
    <w:rsid w:val="00A120E1"/>
    <w:rsid w:val="00A3020F"/>
    <w:rsid w:val="00A31FAA"/>
    <w:rsid w:val="00A343A9"/>
    <w:rsid w:val="00A5239C"/>
    <w:rsid w:val="00A571F6"/>
    <w:rsid w:val="00A650DC"/>
    <w:rsid w:val="00A6764A"/>
    <w:rsid w:val="00A84255"/>
    <w:rsid w:val="00AC1AC7"/>
    <w:rsid w:val="00AD18B8"/>
    <w:rsid w:val="00AD33D5"/>
    <w:rsid w:val="00AE21FC"/>
    <w:rsid w:val="00B01BAA"/>
    <w:rsid w:val="00B02CFF"/>
    <w:rsid w:val="00B07BD7"/>
    <w:rsid w:val="00B13AA5"/>
    <w:rsid w:val="00B3099B"/>
    <w:rsid w:val="00B40A71"/>
    <w:rsid w:val="00B503C7"/>
    <w:rsid w:val="00B54AB5"/>
    <w:rsid w:val="00B645C9"/>
    <w:rsid w:val="00B86F04"/>
    <w:rsid w:val="00B92C96"/>
    <w:rsid w:val="00BA64D7"/>
    <w:rsid w:val="00BA68F0"/>
    <w:rsid w:val="00BD08CA"/>
    <w:rsid w:val="00BF0DF4"/>
    <w:rsid w:val="00BF43D2"/>
    <w:rsid w:val="00C00CF2"/>
    <w:rsid w:val="00C15672"/>
    <w:rsid w:val="00C21680"/>
    <w:rsid w:val="00C31421"/>
    <w:rsid w:val="00C33753"/>
    <w:rsid w:val="00C35B94"/>
    <w:rsid w:val="00C559C9"/>
    <w:rsid w:val="00C82FA4"/>
    <w:rsid w:val="00C83228"/>
    <w:rsid w:val="00CA0669"/>
    <w:rsid w:val="00CA1E7C"/>
    <w:rsid w:val="00CA69B3"/>
    <w:rsid w:val="00CB0030"/>
    <w:rsid w:val="00CB7521"/>
    <w:rsid w:val="00CC57AC"/>
    <w:rsid w:val="00CC776C"/>
    <w:rsid w:val="00CD6D68"/>
    <w:rsid w:val="00CF2057"/>
    <w:rsid w:val="00D0584B"/>
    <w:rsid w:val="00D22AD2"/>
    <w:rsid w:val="00D2695E"/>
    <w:rsid w:val="00D450C8"/>
    <w:rsid w:val="00D521FA"/>
    <w:rsid w:val="00D66801"/>
    <w:rsid w:val="00D81121"/>
    <w:rsid w:val="00D939D0"/>
    <w:rsid w:val="00DA6A55"/>
    <w:rsid w:val="00E06F7D"/>
    <w:rsid w:val="00E1183D"/>
    <w:rsid w:val="00E24139"/>
    <w:rsid w:val="00E3616D"/>
    <w:rsid w:val="00E50862"/>
    <w:rsid w:val="00E60ABB"/>
    <w:rsid w:val="00E62D91"/>
    <w:rsid w:val="00E67611"/>
    <w:rsid w:val="00E67713"/>
    <w:rsid w:val="00E72DFF"/>
    <w:rsid w:val="00E92E47"/>
    <w:rsid w:val="00E9576D"/>
    <w:rsid w:val="00EC08AC"/>
    <w:rsid w:val="00EC1948"/>
    <w:rsid w:val="00ED4639"/>
    <w:rsid w:val="00EE54D2"/>
    <w:rsid w:val="00EF7C8A"/>
    <w:rsid w:val="00F2514F"/>
    <w:rsid w:val="00F25E7F"/>
    <w:rsid w:val="00F274DE"/>
    <w:rsid w:val="00F47D34"/>
    <w:rsid w:val="00F6038A"/>
    <w:rsid w:val="00F643E6"/>
    <w:rsid w:val="00F76D69"/>
    <w:rsid w:val="00F9012C"/>
    <w:rsid w:val="00F9097E"/>
    <w:rsid w:val="00F93C6C"/>
    <w:rsid w:val="00FA5147"/>
    <w:rsid w:val="00FA6801"/>
    <w:rsid w:val="00FB0C11"/>
    <w:rsid w:val="00FD4894"/>
    <w:rsid w:val="00FE6B9E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5DC41D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47D34"/>
    <w:pPr>
      <w:keepNext/>
      <w:jc w:val="center"/>
      <w:outlineLvl w:val="0"/>
    </w:pPr>
    <w:rPr>
      <w:rFonts w:ascii="Tahoma" w:hAnsi="Tahoma" w:cs="Tahoma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A06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D18B8"/>
    <w:pPr>
      <w:autoSpaceDE w:val="0"/>
      <w:autoSpaceDN w:val="0"/>
      <w:adjustRightInd w:val="0"/>
    </w:pPr>
    <w:rPr>
      <w:rFonts w:ascii="Arial Black" w:hAnsi="Arial Black" w:cs="Arial Black"/>
      <w:color w:val="000000"/>
      <w:sz w:val="24"/>
      <w:szCs w:val="24"/>
    </w:rPr>
  </w:style>
  <w:style w:type="paragraph" w:customStyle="1" w:styleId="Noparagraphstyle">
    <w:name w:val="[No paragraph style]"/>
    <w:rsid w:val="00956812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Subtitle">
    <w:name w:val="Sub title"/>
    <w:basedOn w:val="Normal"/>
    <w:rsid w:val="00FF40A0"/>
    <w:pPr>
      <w:autoSpaceDE w:val="0"/>
      <w:autoSpaceDN w:val="0"/>
      <w:adjustRightInd w:val="0"/>
      <w:spacing w:before="200" w:after="80" w:line="288" w:lineRule="auto"/>
      <w:textAlignment w:val="baseline"/>
    </w:pPr>
    <w:rPr>
      <w:rFonts w:ascii="Arial Black" w:hAnsi="Arial Black" w:cs="Arial Black"/>
      <w:color w:val="000000"/>
      <w:sz w:val="22"/>
      <w:szCs w:val="22"/>
    </w:rPr>
  </w:style>
  <w:style w:type="paragraph" w:customStyle="1" w:styleId="body">
    <w:name w:val="body"/>
    <w:basedOn w:val="Normal"/>
    <w:rsid w:val="00956812"/>
    <w:pPr>
      <w:tabs>
        <w:tab w:val="left" w:pos="-90"/>
      </w:tabs>
      <w:autoSpaceDE w:val="0"/>
      <w:autoSpaceDN w:val="0"/>
      <w:adjustRightInd w:val="0"/>
      <w:spacing w:after="122" w:line="296" w:lineRule="atLeast"/>
      <w:textAlignment w:val="baseline"/>
    </w:pPr>
    <w:rPr>
      <w:rFonts w:ascii="Arial" w:hAnsi="Arial" w:cs="Arial"/>
      <w:color w:val="000000"/>
      <w:sz w:val="22"/>
      <w:szCs w:val="22"/>
    </w:rPr>
  </w:style>
  <w:style w:type="paragraph" w:styleId="BalloonText">
    <w:name w:val="Balloon Text"/>
    <w:basedOn w:val="Normal"/>
    <w:semiHidden/>
    <w:rsid w:val="00286CBE"/>
    <w:rPr>
      <w:rFonts w:ascii="Tahoma" w:hAnsi="Tahoma" w:cs="Tahoma"/>
      <w:sz w:val="16"/>
      <w:szCs w:val="16"/>
    </w:rPr>
  </w:style>
  <w:style w:type="paragraph" w:customStyle="1" w:styleId="BodyText1">
    <w:name w:val="Body Text1"/>
    <w:basedOn w:val="Normal"/>
    <w:link w:val="BODYTEXTChar"/>
    <w:rsid w:val="00A84255"/>
    <w:pPr>
      <w:tabs>
        <w:tab w:val="left" w:pos="-90"/>
      </w:tabs>
      <w:autoSpaceDE w:val="0"/>
      <w:autoSpaceDN w:val="0"/>
      <w:adjustRightInd w:val="0"/>
      <w:spacing w:after="122" w:line="292" w:lineRule="atLeast"/>
      <w:textAlignment w:val="baseline"/>
    </w:pPr>
    <w:rPr>
      <w:rFonts w:ascii="Arial" w:hAnsi="Arial" w:cs="Arial"/>
      <w:color w:val="000000"/>
      <w:sz w:val="21"/>
      <w:szCs w:val="21"/>
    </w:rPr>
  </w:style>
  <w:style w:type="table" w:styleId="TableClassic1">
    <w:name w:val="Table Classic 1"/>
    <w:basedOn w:val="TableNormal"/>
    <w:rsid w:val="00650095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BODYTEXTChar">
    <w:name w:val="BODY TEXT Char"/>
    <w:link w:val="BodyText1"/>
    <w:rsid w:val="00FF40A0"/>
    <w:rPr>
      <w:rFonts w:ascii="Arial" w:hAnsi="Arial" w:cs="Arial"/>
      <w:color w:val="000000"/>
      <w:sz w:val="21"/>
      <w:szCs w:val="21"/>
      <w:lang w:val="en-US" w:eastAsia="en-US" w:bidi="ar-SA"/>
    </w:rPr>
  </w:style>
  <w:style w:type="table" w:styleId="Table3Deffects2">
    <w:name w:val="Table 3D effects 2"/>
    <w:basedOn w:val="TableNormal"/>
    <w:rsid w:val="00650095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65009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1">
    <w:name w:val="Table 3D effects 1"/>
    <w:basedOn w:val="TableNormal"/>
    <w:rsid w:val="00E67713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E67713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odyTextIndent2">
    <w:name w:val="Body Text Indent 2"/>
    <w:basedOn w:val="Normal"/>
    <w:link w:val="BodyTextIndent2Char"/>
    <w:rsid w:val="002509E9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2509E9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6F35F9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92602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4926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92602"/>
    <w:rPr>
      <w:sz w:val="24"/>
      <w:szCs w:val="24"/>
    </w:rPr>
  </w:style>
  <w:style w:type="paragraph" w:customStyle="1" w:styleId="BodyText10">
    <w:name w:val="Body Text1"/>
    <w:basedOn w:val="Normal"/>
    <w:rsid w:val="00E50862"/>
    <w:pPr>
      <w:tabs>
        <w:tab w:val="left" w:pos="-90"/>
      </w:tabs>
      <w:autoSpaceDE w:val="0"/>
      <w:autoSpaceDN w:val="0"/>
      <w:adjustRightInd w:val="0"/>
      <w:spacing w:after="122" w:line="292" w:lineRule="atLeast"/>
    </w:pPr>
    <w:rPr>
      <w:rFonts w:ascii="Arial" w:hAnsi="Arial" w:cs="Arial"/>
      <w:color w:val="000000"/>
      <w:sz w:val="21"/>
      <w:szCs w:val="21"/>
    </w:rPr>
  </w:style>
  <w:style w:type="paragraph" w:styleId="ListParagraph">
    <w:name w:val="List Paragraph"/>
    <w:basedOn w:val="Normal"/>
    <w:uiPriority w:val="34"/>
    <w:qFormat/>
    <w:rsid w:val="00AD33D5"/>
    <w:pPr>
      <w:ind w:left="720"/>
    </w:pPr>
  </w:style>
  <w:style w:type="character" w:customStyle="1" w:styleId="Heading1Char">
    <w:name w:val="Heading 1 Char"/>
    <w:basedOn w:val="DefaultParagraphFont"/>
    <w:link w:val="Heading1"/>
    <w:rsid w:val="00F47D34"/>
    <w:rPr>
      <w:rFonts w:ascii="Tahoma" w:hAnsi="Tahoma" w:cs="Tahoma"/>
      <w:b/>
      <w:bCs/>
      <w:sz w:val="32"/>
      <w:szCs w:val="24"/>
    </w:rPr>
  </w:style>
  <w:style w:type="character" w:styleId="Hyperlink">
    <w:name w:val="Hyperlink"/>
    <w:rsid w:val="00F47D34"/>
    <w:rPr>
      <w:color w:val="0000FF"/>
      <w:u w:val="single"/>
    </w:rPr>
  </w:style>
  <w:style w:type="paragraph" w:styleId="BodyTextIndent3">
    <w:name w:val="Body Text Indent 3"/>
    <w:basedOn w:val="Normal"/>
    <w:link w:val="BodyTextIndent3Char"/>
    <w:rsid w:val="005F65C8"/>
    <w:pPr>
      <w:spacing w:after="120"/>
      <w:ind w:left="360"/>
    </w:pPr>
    <w:rPr>
      <w:rFonts w:ascii="Arial" w:hAnsi="Arial"/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5F65C8"/>
    <w:rPr>
      <w:rFonts w:ascii="Arial" w:hAnsi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52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druglist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2068A4-8A1D-4871-B23E-2CCD5960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4586</Characters>
  <Application>Microsoft Office Word</Application>
  <DocSecurity>0</DocSecurity>
  <Lines>182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2020-12-18T18:52:00Z</dcterms:created>
  <dcterms:modified xsi:type="dcterms:W3CDTF">2020-12-18T18:57:00Z</dcterms:modified>
</cp:coreProperties>
</file>