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92F0" w14:textId="1C8A18E8" w:rsidR="007E4380" w:rsidRPr="00814A17" w:rsidRDefault="00814A17" w:rsidP="00814A17">
      <w:pPr>
        <w:pStyle w:val="Heading1"/>
        <w:rPr>
          <w:color w:val="auto"/>
        </w:rPr>
      </w:pPr>
      <w:bookmarkStart w:id="0" w:name="_GoBack"/>
      <w:bookmarkEnd w:id="0"/>
      <w:r w:rsidRPr="00814A17">
        <w:t>Pharmacy Facts</w:t>
      </w:r>
      <w:r w:rsidRPr="00814A17">
        <w:br w:type="textWrapping" w:clear="all"/>
      </w:r>
      <w:r w:rsidR="007E4380" w:rsidRPr="00814A17">
        <w:rPr>
          <w:color w:val="auto"/>
        </w:rPr>
        <w:t xml:space="preserve">Number </w:t>
      </w:r>
      <w:r w:rsidR="004074F0" w:rsidRPr="00814A17">
        <w:rPr>
          <w:color w:val="auto"/>
        </w:rPr>
        <w:t>162,</w:t>
      </w:r>
      <w:r w:rsidR="007E4380" w:rsidRPr="00814A17">
        <w:rPr>
          <w:color w:val="auto"/>
        </w:rPr>
        <w:t xml:space="preserve"> </w:t>
      </w:r>
      <w:r w:rsidR="004074F0" w:rsidRPr="00814A17">
        <w:rPr>
          <w:color w:val="auto"/>
        </w:rPr>
        <w:t xml:space="preserve">March </w:t>
      </w:r>
      <w:r w:rsidR="00913040">
        <w:rPr>
          <w:color w:val="auto"/>
        </w:rPr>
        <w:t>25</w:t>
      </w:r>
      <w:r w:rsidR="004074F0" w:rsidRPr="00814A17">
        <w:rPr>
          <w:color w:val="auto"/>
        </w:rPr>
        <w:t>, 2021</w:t>
      </w:r>
    </w:p>
    <w:p w14:paraId="3B65DBED" w14:textId="77777777" w:rsidR="006F35F9" w:rsidRDefault="007E4380" w:rsidP="007E4380">
      <w:pPr>
        <w:tabs>
          <w:tab w:val="left" w:pos="10530"/>
        </w:tabs>
        <w:ind w:right="720"/>
        <w:rPr>
          <w:rFonts w:ascii="Arial" w:hAnsi="Arial" w:cs="Arial"/>
          <w:color w:val="000000"/>
          <w:sz w:val="21"/>
          <w:szCs w:val="21"/>
        </w:rPr>
        <w:sectPr w:rsidR="006F35F9" w:rsidSect="003C1739">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288" w:gutter="0"/>
          <w:cols w:space="720"/>
          <w:docGrid w:linePitch="360"/>
        </w:sectPr>
      </w:pPr>
      <w:r>
        <w:rPr>
          <w:b/>
          <w:noProof/>
        </w:rPr>
        <w:drawing>
          <wp:inline distT="0" distB="0" distL="0" distR="0" wp14:anchorId="49546D0E" wp14:editId="46E880C3">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14:paraId="4DB2EBAA" w14:textId="77777777" w:rsidR="00CD6D68" w:rsidRPr="00814A17" w:rsidRDefault="00903922" w:rsidP="00814A17">
      <w:pPr>
        <w:pStyle w:val="Heading2"/>
      </w:pPr>
      <w:r w:rsidRPr="00814A17">
        <w:lastRenderedPageBreak/>
        <w:t>COVID Vaccine Billing Information</w:t>
      </w:r>
    </w:p>
    <w:p w14:paraId="7B538856" w14:textId="77777777" w:rsidR="005B59BE" w:rsidRDefault="00903922" w:rsidP="00921F00">
      <w:pPr>
        <w:spacing w:after="120"/>
        <w:rPr>
          <w:rFonts w:ascii="Arial" w:hAnsi="Arial" w:cs="Arial"/>
          <w:sz w:val="22"/>
          <w:szCs w:val="22"/>
        </w:rPr>
      </w:pPr>
      <w:r w:rsidRPr="00903922">
        <w:rPr>
          <w:rFonts w:ascii="Arial" w:hAnsi="Arial" w:cs="Arial"/>
          <w:sz w:val="22"/>
          <w:szCs w:val="22"/>
        </w:rPr>
        <w:t xml:space="preserve">MassHealth has </w:t>
      </w:r>
      <w:r w:rsidR="005B59BE">
        <w:rPr>
          <w:rFonts w:ascii="Arial" w:hAnsi="Arial" w:cs="Arial"/>
          <w:sz w:val="22"/>
          <w:szCs w:val="22"/>
        </w:rPr>
        <w:t xml:space="preserve">issued several All Provider Bulletins, listed </w:t>
      </w:r>
      <w:proofErr w:type="gramStart"/>
      <w:r w:rsidR="005B59BE">
        <w:rPr>
          <w:rFonts w:ascii="Arial" w:hAnsi="Arial" w:cs="Arial"/>
          <w:sz w:val="22"/>
          <w:szCs w:val="22"/>
        </w:rPr>
        <w:t>below,</w:t>
      </w:r>
      <w:proofErr w:type="gramEnd"/>
      <w:r w:rsidR="005B59BE">
        <w:rPr>
          <w:rFonts w:ascii="Arial" w:hAnsi="Arial" w:cs="Arial"/>
          <w:sz w:val="22"/>
          <w:szCs w:val="22"/>
        </w:rPr>
        <w:t xml:space="preserve"> describing the rates MassHealth will pay for COVID-19 vaccine administration, including new rates effective for dates of service on or after April 1, 2021.</w:t>
      </w:r>
    </w:p>
    <w:p w14:paraId="5226184E" w14:textId="77777777" w:rsidR="000E7894" w:rsidRDefault="00D74B38" w:rsidP="005B59BE">
      <w:pPr>
        <w:pStyle w:val="ListParagraph"/>
        <w:numPr>
          <w:ilvl w:val="0"/>
          <w:numId w:val="15"/>
        </w:numPr>
        <w:ind w:left="270" w:hanging="180"/>
        <w:rPr>
          <w:rFonts w:ascii="Arial" w:hAnsi="Arial" w:cs="Arial"/>
          <w:sz w:val="22"/>
          <w:szCs w:val="22"/>
        </w:rPr>
      </w:pPr>
      <w:hyperlink r:id="rId16" w:history="1">
        <w:r w:rsidR="00903922" w:rsidRPr="005B59BE">
          <w:rPr>
            <w:rStyle w:val="Hyperlink"/>
            <w:rFonts w:ascii="Arial" w:hAnsi="Arial" w:cs="Arial"/>
            <w:sz w:val="22"/>
            <w:szCs w:val="22"/>
          </w:rPr>
          <w:t>All-Provider Bulletin 304</w:t>
        </w:r>
      </w:hyperlink>
      <w:r w:rsidR="000E7894">
        <w:rPr>
          <w:rFonts w:ascii="Arial" w:hAnsi="Arial" w:cs="Arial"/>
          <w:sz w:val="22"/>
          <w:szCs w:val="22"/>
        </w:rPr>
        <w:t xml:space="preserve"> (December 2020)</w:t>
      </w:r>
    </w:p>
    <w:p w14:paraId="46B9ACB4" w14:textId="4608B336" w:rsidR="000E7894" w:rsidRDefault="00D74B38" w:rsidP="005B59BE">
      <w:pPr>
        <w:pStyle w:val="ListParagraph"/>
        <w:numPr>
          <w:ilvl w:val="0"/>
          <w:numId w:val="15"/>
        </w:numPr>
        <w:ind w:left="270" w:hanging="180"/>
        <w:rPr>
          <w:rFonts w:ascii="Arial" w:hAnsi="Arial" w:cs="Arial"/>
          <w:sz w:val="22"/>
          <w:szCs w:val="22"/>
        </w:rPr>
      </w:pPr>
      <w:hyperlink r:id="rId17" w:history="1">
        <w:r w:rsidR="000E7894" w:rsidRPr="000E7894">
          <w:rPr>
            <w:rStyle w:val="Hyperlink"/>
            <w:rFonts w:ascii="Arial" w:hAnsi="Arial" w:cs="Arial"/>
            <w:sz w:val="22"/>
            <w:szCs w:val="22"/>
          </w:rPr>
          <w:t>All Provider Bulletin 307</w:t>
        </w:r>
      </w:hyperlink>
      <w:r w:rsidR="000E7894">
        <w:rPr>
          <w:rFonts w:ascii="Arial" w:hAnsi="Arial" w:cs="Arial"/>
          <w:sz w:val="22"/>
          <w:szCs w:val="22"/>
        </w:rPr>
        <w:t xml:space="preserve"> (January 2021)</w:t>
      </w:r>
    </w:p>
    <w:p w14:paraId="51CB9A4B" w14:textId="3AA27D1A" w:rsidR="000E7894" w:rsidRDefault="00D74B38" w:rsidP="005B59BE">
      <w:pPr>
        <w:pStyle w:val="ListParagraph"/>
        <w:numPr>
          <w:ilvl w:val="0"/>
          <w:numId w:val="15"/>
        </w:numPr>
        <w:ind w:left="270" w:hanging="180"/>
        <w:rPr>
          <w:rFonts w:ascii="Arial" w:hAnsi="Arial" w:cs="Arial"/>
          <w:sz w:val="22"/>
          <w:szCs w:val="22"/>
        </w:rPr>
      </w:pPr>
      <w:hyperlink r:id="rId18" w:history="1">
        <w:r w:rsidR="000E7894" w:rsidRPr="000E7894">
          <w:rPr>
            <w:rStyle w:val="Hyperlink"/>
            <w:rFonts w:ascii="Arial" w:hAnsi="Arial" w:cs="Arial"/>
            <w:sz w:val="22"/>
            <w:szCs w:val="22"/>
          </w:rPr>
          <w:t>All Provider Bulletin 312</w:t>
        </w:r>
      </w:hyperlink>
      <w:r w:rsidR="000E7894">
        <w:rPr>
          <w:rFonts w:ascii="Arial" w:hAnsi="Arial" w:cs="Arial"/>
          <w:sz w:val="22"/>
          <w:szCs w:val="22"/>
        </w:rPr>
        <w:t xml:space="preserve"> (March 2021) and</w:t>
      </w:r>
    </w:p>
    <w:p w14:paraId="78914297" w14:textId="5229FA79" w:rsidR="000E7894" w:rsidRDefault="00D74B38" w:rsidP="005B59BE">
      <w:pPr>
        <w:pStyle w:val="ListParagraph"/>
        <w:numPr>
          <w:ilvl w:val="0"/>
          <w:numId w:val="15"/>
        </w:numPr>
        <w:ind w:left="270" w:hanging="180"/>
        <w:rPr>
          <w:rFonts w:ascii="Arial" w:hAnsi="Arial" w:cs="Arial"/>
          <w:sz w:val="22"/>
          <w:szCs w:val="22"/>
        </w:rPr>
      </w:pPr>
      <w:hyperlink r:id="rId19" w:history="1">
        <w:r w:rsidR="000E7894" w:rsidRPr="00F40F9C">
          <w:rPr>
            <w:rStyle w:val="Hyperlink"/>
            <w:rFonts w:ascii="Arial" w:hAnsi="Arial" w:cs="Arial"/>
            <w:sz w:val="22"/>
            <w:szCs w:val="22"/>
          </w:rPr>
          <w:t xml:space="preserve">All Provider Bulletin </w:t>
        </w:r>
        <w:r w:rsidR="00F40F9C" w:rsidRPr="00F40F9C">
          <w:rPr>
            <w:rStyle w:val="Hyperlink"/>
            <w:rFonts w:ascii="Arial" w:hAnsi="Arial" w:cs="Arial"/>
            <w:sz w:val="22"/>
            <w:szCs w:val="22"/>
          </w:rPr>
          <w:t>313</w:t>
        </w:r>
      </w:hyperlink>
      <w:r w:rsidR="000E7894">
        <w:rPr>
          <w:rFonts w:ascii="Arial" w:hAnsi="Arial" w:cs="Arial"/>
          <w:sz w:val="22"/>
          <w:szCs w:val="22"/>
        </w:rPr>
        <w:t xml:space="preserve"> (March 2021)</w:t>
      </w:r>
    </w:p>
    <w:p w14:paraId="4F2428CC" w14:textId="77777777" w:rsidR="00A2424D" w:rsidRDefault="00A2424D" w:rsidP="00A2424D">
      <w:pPr>
        <w:rPr>
          <w:rFonts w:ascii="Arial" w:hAnsi="Arial" w:cs="Arial"/>
          <w:sz w:val="22"/>
          <w:szCs w:val="22"/>
        </w:rPr>
      </w:pPr>
    </w:p>
    <w:p w14:paraId="1B59A535" w14:textId="4A91AB60" w:rsidR="00903922" w:rsidRDefault="000E7894" w:rsidP="00CD6D68">
      <w:pPr>
        <w:rPr>
          <w:rFonts w:ascii="Arial" w:hAnsi="Arial" w:cs="Arial"/>
          <w:sz w:val="22"/>
          <w:szCs w:val="22"/>
        </w:rPr>
      </w:pPr>
      <w:r>
        <w:rPr>
          <w:rFonts w:ascii="Arial" w:hAnsi="Arial" w:cs="Arial"/>
          <w:sz w:val="22"/>
          <w:szCs w:val="22"/>
        </w:rPr>
        <w:t xml:space="preserve">Since the issuance of </w:t>
      </w:r>
      <w:hyperlink r:id="rId20" w:history="1">
        <w:r w:rsidR="001B3510" w:rsidRPr="004458B2">
          <w:rPr>
            <w:rStyle w:val="Hyperlink"/>
            <w:rFonts w:ascii="Arial" w:hAnsi="Arial" w:cs="Arial"/>
            <w:sz w:val="20"/>
            <w:szCs w:val="22"/>
          </w:rPr>
          <w:t>Pharmacy Facts 160</w:t>
        </w:r>
      </w:hyperlink>
      <w:r w:rsidR="00921F00">
        <w:rPr>
          <w:rFonts w:ascii="Arial" w:hAnsi="Arial" w:cs="Arial"/>
          <w:sz w:val="22"/>
          <w:szCs w:val="22"/>
        </w:rPr>
        <w:t xml:space="preserve">, </w:t>
      </w:r>
      <w:r w:rsidRPr="000E7894">
        <w:rPr>
          <w:rFonts w:ascii="Arial" w:hAnsi="Arial" w:cs="Arial"/>
          <w:sz w:val="22"/>
          <w:szCs w:val="22"/>
        </w:rPr>
        <w:t>a third COVID-19 vaccine product received Emergency Use Authorization (EUA) by the U.S. Food and Drug Administration (FDA) on February 27, 2021. Unlike the first two authorized vaccine products, this newly approved vaccine product requires only one dose.</w:t>
      </w:r>
    </w:p>
    <w:p w14:paraId="2C006A27" w14:textId="77777777" w:rsidR="00921F00" w:rsidRPr="00921F00" w:rsidRDefault="00921F00" w:rsidP="00CD6D68">
      <w:pPr>
        <w:rPr>
          <w:rFonts w:ascii="Arial" w:hAnsi="Arial" w:cs="Arial"/>
          <w:sz w:val="22"/>
          <w:szCs w:val="22"/>
        </w:rPr>
      </w:pPr>
    </w:p>
    <w:p w14:paraId="2BB59C9E" w14:textId="77777777" w:rsidR="00921F00" w:rsidRPr="00921F00" w:rsidRDefault="00921F00" w:rsidP="00921F00">
      <w:pPr>
        <w:rPr>
          <w:rFonts w:ascii="Arial" w:hAnsi="Arial" w:cs="Arial"/>
          <w:sz w:val="22"/>
          <w:szCs w:val="22"/>
        </w:rPr>
      </w:pPr>
      <w:r w:rsidRPr="00921F00">
        <w:rPr>
          <w:rFonts w:ascii="Arial" w:hAnsi="Arial" w:cs="Arial"/>
          <w:sz w:val="22"/>
          <w:szCs w:val="22"/>
        </w:rPr>
        <w:t>As of April 1, 2021, MassHealth will align its rates for all COVID-19 vaccine administration with those recently set by Medicare for the metropolitan Boston geographic area. All other information included in All Provider Bulletins 304, 307, and 312 remains in effect, including payment rates for COVID-19 vaccine administration for dates of service before April 1, 2021.</w:t>
      </w:r>
    </w:p>
    <w:p w14:paraId="68E75D73" w14:textId="77777777" w:rsidR="004458B2" w:rsidRDefault="004458B2" w:rsidP="004458B2">
      <w:pPr>
        <w:rPr>
          <w:rFonts w:ascii="Arial" w:hAnsi="Arial" w:cs="Arial"/>
          <w:sz w:val="22"/>
          <w:szCs w:val="22"/>
        </w:rPr>
      </w:pPr>
    </w:p>
    <w:p w14:paraId="0EF8EE81" w14:textId="77777777" w:rsidR="004458B2" w:rsidRDefault="004458B2" w:rsidP="00CD6D68">
      <w:pPr>
        <w:rPr>
          <w:rFonts w:ascii="Arial" w:hAnsi="Arial" w:cs="Arial"/>
          <w:sz w:val="22"/>
          <w:szCs w:val="22"/>
        </w:rPr>
      </w:pPr>
      <w:r w:rsidRPr="004458B2">
        <w:rPr>
          <w:rFonts w:ascii="Arial" w:hAnsi="Arial" w:cs="Arial"/>
          <w:sz w:val="22"/>
          <w:szCs w:val="22"/>
        </w:rPr>
        <w:t xml:space="preserve">MassHealth will follow NDCPD guidance for claims submission through the Pharmacy Online Processing System (POPS) as indicated </w:t>
      </w:r>
      <w:r>
        <w:rPr>
          <w:rFonts w:ascii="Arial" w:hAnsi="Arial" w:cs="Arial"/>
          <w:sz w:val="22"/>
          <w:szCs w:val="22"/>
        </w:rPr>
        <w:t xml:space="preserve">in </w:t>
      </w:r>
      <w:r w:rsidRPr="004458B2">
        <w:rPr>
          <w:rFonts w:ascii="Arial" w:hAnsi="Arial" w:cs="Arial"/>
          <w:sz w:val="22"/>
          <w:szCs w:val="22"/>
        </w:rPr>
        <w:t xml:space="preserve">the </w:t>
      </w:r>
    </w:p>
    <w:p w14:paraId="7EE289A6" w14:textId="77777777" w:rsidR="00903922" w:rsidRDefault="004458B2" w:rsidP="00CD6D68">
      <w:pPr>
        <w:rPr>
          <w:rFonts w:ascii="Arial" w:hAnsi="Arial" w:cs="Arial"/>
          <w:sz w:val="22"/>
          <w:szCs w:val="22"/>
        </w:rPr>
      </w:pPr>
      <w:r w:rsidRPr="004458B2">
        <w:rPr>
          <w:rFonts w:ascii="Arial" w:hAnsi="Arial" w:cs="Arial"/>
          <w:sz w:val="22"/>
          <w:szCs w:val="22"/>
        </w:rPr>
        <w:t>National Council for Prescription Drug Programs</w:t>
      </w:r>
      <w:r>
        <w:rPr>
          <w:rFonts w:ascii="Arial" w:hAnsi="Arial" w:cs="Arial"/>
          <w:sz w:val="22"/>
          <w:szCs w:val="22"/>
        </w:rPr>
        <w:t xml:space="preserve">  (NCPDP) </w:t>
      </w:r>
      <w:hyperlink r:id="rId21" w:history="1">
        <w:r w:rsidRPr="004458B2">
          <w:rPr>
            <w:rStyle w:val="Hyperlink"/>
            <w:rFonts w:ascii="Arial" w:hAnsi="Arial" w:cs="Arial"/>
            <w:sz w:val="22"/>
            <w:szCs w:val="22"/>
          </w:rPr>
          <w:t>Emergency Preparedness Guidance</w:t>
        </w:r>
      </w:hyperlink>
      <w:r w:rsidRPr="004458B2">
        <w:rPr>
          <w:rFonts w:ascii="Arial" w:hAnsi="Arial" w:cs="Arial"/>
          <w:sz w:val="22"/>
          <w:szCs w:val="22"/>
        </w:rPr>
        <w:t>.</w:t>
      </w:r>
    </w:p>
    <w:p w14:paraId="53C7ADC0" w14:textId="77777777" w:rsidR="00903922" w:rsidRDefault="00903922" w:rsidP="00CD6D68">
      <w:pPr>
        <w:rPr>
          <w:rFonts w:ascii="Arial" w:hAnsi="Arial" w:cs="Arial"/>
          <w:sz w:val="22"/>
          <w:szCs w:val="22"/>
        </w:rPr>
      </w:pPr>
    </w:p>
    <w:p w14:paraId="2E616FC0" w14:textId="77777777" w:rsidR="004458B2" w:rsidRPr="004458B2" w:rsidRDefault="004458B2" w:rsidP="004458B2">
      <w:pPr>
        <w:rPr>
          <w:rFonts w:ascii="Arial" w:hAnsi="Arial" w:cs="Arial"/>
          <w:sz w:val="22"/>
          <w:szCs w:val="22"/>
        </w:rPr>
      </w:pPr>
      <w:r w:rsidRPr="004458B2">
        <w:rPr>
          <w:rFonts w:ascii="Arial" w:hAnsi="Arial" w:cs="Arial"/>
          <w:sz w:val="22"/>
          <w:szCs w:val="22"/>
        </w:rPr>
        <w:t>In general, claims submitted for zero-cost vaccines should be submitted on a single B1/B3 billing transaction, including the fol</w:t>
      </w:r>
      <w:r w:rsidR="00791953">
        <w:rPr>
          <w:rFonts w:ascii="Arial" w:hAnsi="Arial" w:cs="Arial"/>
          <w:sz w:val="22"/>
          <w:szCs w:val="22"/>
        </w:rPr>
        <w:t>lowing data elements and values</w:t>
      </w:r>
      <w:r w:rsidRPr="004458B2">
        <w:rPr>
          <w:rFonts w:ascii="Arial" w:hAnsi="Arial" w:cs="Arial"/>
          <w:sz w:val="22"/>
          <w:szCs w:val="22"/>
        </w:rPr>
        <w:t>:</w:t>
      </w:r>
    </w:p>
    <w:p w14:paraId="6B08D9C9" w14:textId="77777777" w:rsidR="004458B2" w:rsidRPr="004458B2" w:rsidRDefault="004458B2" w:rsidP="004458B2">
      <w:pPr>
        <w:rPr>
          <w:rFonts w:ascii="Arial" w:hAnsi="Arial" w:cs="Arial"/>
          <w:sz w:val="22"/>
          <w:szCs w:val="22"/>
        </w:rPr>
      </w:pPr>
    </w:p>
    <w:p w14:paraId="4D97E755" w14:textId="77777777" w:rsidR="004458B2" w:rsidRPr="00791953" w:rsidRDefault="004458B2" w:rsidP="00814A17">
      <w:pPr>
        <w:pStyle w:val="ListParagraph"/>
        <w:numPr>
          <w:ilvl w:val="0"/>
          <w:numId w:val="4"/>
        </w:numPr>
        <w:ind w:left="180" w:hanging="180"/>
        <w:rPr>
          <w:rFonts w:ascii="Arial" w:hAnsi="Arial" w:cs="Arial"/>
          <w:sz w:val="22"/>
          <w:szCs w:val="22"/>
        </w:rPr>
      </w:pPr>
      <w:r w:rsidRPr="00791953">
        <w:rPr>
          <w:rFonts w:ascii="Arial" w:hAnsi="Arial" w:cs="Arial"/>
          <w:sz w:val="22"/>
          <w:szCs w:val="22"/>
        </w:rPr>
        <w:t>Prescription/Service Reference Number Qualifier (455-EM) of “1” (Rx Billing)</w:t>
      </w:r>
    </w:p>
    <w:p w14:paraId="579296B2" w14:textId="77777777" w:rsidR="00903922" w:rsidRDefault="004458B2" w:rsidP="00814A17">
      <w:pPr>
        <w:pStyle w:val="ListParagraph"/>
        <w:numPr>
          <w:ilvl w:val="0"/>
          <w:numId w:val="4"/>
        </w:numPr>
        <w:spacing w:before="240"/>
        <w:ind w:left="187" w:hanging="277"/>
        <w:rPr>
          <w:rFonts w:ascii="Arial" w:hAnsi="Arial" w:cs="Arial"/>
          <w:sz w:val="22"/>
          <w:szCs w:val="22"/>
        </w:rPr>
      </w:pPr>
      <w:r w:rsidRPr="004458B2">
        <w:rPr>
          <w:rFonts w:ascii="Arial" w:hAnsi="Arial" w:cs="Arial"/>
          <w:sz w:val="22"/>
          <w:szCs w:val="22"/>
        </w:rPr>
        <w:lastRenderedPageBreak/>
        <w:t>Product/Service ID Qualifier (436/E1) – usually “03” for NDC</w:t>
      </w:r>
      <w:r w:rsidR="00047FD7">
        <w:rPr>
          <w:rFonts w:ascii="Arial" w:hAnsi="Arial" w:cs="Arial"/>
          <w:sz w:val="22"/>
          <w:szCs w:val="22"/>
        </w:rPr>
        <w:t>.</w:t>
      </w:r>
    </w:p>
    <w:p w14:paraId="2DAC1D4E" w14:textId="77777777" w:rsidR="00261523" w:rsidRDefault="00261523" w:rsidP="00814A17">
      <w:pPr>
        <w:pStyle w:val="ListParagraph"/>
        <w:numPr>
          <w:ilvl w:val="0"/>
          <w:numId w:val="4"/>
        </w:numPr>
        <w:spacing w:before="80"/>
        <w:ind w:left="188" w:hanging="274"/>
        <w:rPr>
          <w:rFonts w:ascii="Arial" w:hAnsi="Arial" w:cs="Arial"/>
          <w:sz w:val="22"/>
          <w:szCs w:val="22"/>
        </w:rPr>
      </w:pPr>
      <w:r w:rsidRPr="00261523">
        <w:rPr>
          <w:rFonts w:ascii="Arial" w:hAnsi="Arial" w:cs="Arial"/>
          <w:sz w:val="22"/>
          <w:szCs w:val="22"/>
        </w:rPr>
        <w:t>Product/Service ID (407-D7) containing the NDC number of the vaccine or other product that was administered and obtained at a zero cost</w:t>
      </w:r>
      <w:r w:rsidR="00047FD7">
        <w:rPr>
          <w:rFonts w:ascii="Arial" w:hAnsi="Arial" w:cs="Arial"/>
          <w:sz w:val="22"/>
          <w:szCs w:val="22"/>
        </w:rPr>
        <w:t>.</w:t>
      </w:r>
    </w:p>
    <w:p w14:paraId="3EED0FBB" w14:textId="77777777" w:rsidR="00261523" w:rsidRDefault="00261523" w:rsidP="00814A17">
      <w:pPr>
        <w:pStyle w:val="ListParagraph"/>
        <w:numPr>
          <w:ilvl w:val="0"/>
          <w:numId w:val="4"/>
        </w:numPr>
        <w:spacing w:before="80"/>
        <w:ind w:left="188" w:hanging="274"/>
        <w:rPr>
          <w:rFonts w:ascii="Arial" w:hAnsi="Arial" w:cs="Arial"/>
          <w:sz w:val="22"/>
          <w:szCs w:val="22"/>
        </w:rPr>
      </w:pPr>
      <w:r w:rsidRPr="00261523">
        <w:rPr>
          <w:rFonts w:ascii="Arial" w:hAnsi="Arial" w:cs="Arial"/>
          <w:sz w:val="22"/>
          <w:szCs w:val="22"/>
        </w:rPr>
        <w:t xml:space="preserve">Quantity Dispensed (442-E7) should be submitted with the value that represents the quantity of drug product administered. </w:t>
      </w:r>
    </w:p>
    <w:p w14:paraId="27813CF8" w14:textId="77777777" w:rsidR="00261523" w:rsidRDefault="00261523" w:rsidP="00814A17">
      <w:pPr>
        <w:pStyle w:val="ListParagraph"/>
        <w:numPr>
          <w:ilvl w:val="0"/>
          <w:numId w:val="4"/>
        </w:numPr>
        <w:spacing w:before="80"/>
        <w:ind w:left="188" w:hanging="274"/>
        <w:rPr>
          <w:rFonts w:ascii="Arial" w:hAnsi="Arial" w:cs="Arial"/>
          <w:sz w:val="22"/>
          <w:szCs w:val="22"/>
        </w:rPr>
      </w:pPr>
      <w:r w:rsidRPr="00261523">
        <w:rPr>
          <w:rFonts w:ascii="Arial" w:hAnsi="Arial" w:cs="Arial"/>
          <w:sz w:val="22"/>
          <w:szCs w:val="22"/>
        </w:rPr>
        <w:t>Professional Service Code (440-E5) value of “MA” (Medication Administered)</w:t>
      </w:r>
      <w:r w:rsidR="00047FD7">
        <w:rPr>
          <w:rFonts w:ascii="Arial" w:hAnsi="Arial" w:cs="Arial"/>
          <w:sz w:val="22"/>
          <w:szCs w:val="22"/>
        </w:rPr>
        <w:t>.</w:t>
      </w:r>
    </w:p>
    <w:p w14:paraId="240CCD3D" w14:textId="2C7158F8" w:rsidR="00261523" w:rsidRDefault="00261523" w:rsidP="00814A17">
      <w:pPr>
        <w:pStyle w:val="ListParagraph"/>
        <w:numPr>
          <w:ilvl w:val="0"/>
          <w:numId w:val="4"/>
        </w:numPr>
        <w:spacing w:before="80"/>
        <w:ind w:left="188" w:hanging="274"/>
        <w:rPr>
          <w:rFonts w:ascii="Arial" w:hAnsi="Arial" w:cs="Arial"/>
          <w:sz w:val="22"/>
          <w:szCs w:val="22"/>
        </w:rPr>
      </w:pPr>
      <w:r w:rsidRPr="00261523">
        <w:rPr>
          <w:rFonts w:ascii="Arial" w:hAnsi="Arial" w:cs="Arial"/>
          <w:sz w:val="22"/>
          <w:szCs w:val="22"/>
        </w:rPr>
        <w:t>Incentive Amount Submitted (438-E3) should be submitted to identify the pharmacy is seeking reimbursement for the administration of the product. For a two-dose vaccine, the allowable fee for the initial dose will be $ 33.88</w:t>
      </w:r>
      <w:r w:rsidR="007B4632" w:rsidRPr="007B4632">
        <w:rPr>
          <w:sz w:val="22"/>
          <w:szCs w:val="22"/>
          <w:highlight w:val="yellow"/>
        </w:rPr>
        <w:t xml:space="preserve"> </w:t>
      </w:r>
      <w:r w:rsidR="007B4632" w:rsidRPr="007B4632">
        <w:rPr>
          <w:rFonts w:ascii="Arial" w:hAnsi="Arial" w:cs="Arial"/>
          <w:sz w:val="22"/>
          <w:szCs w:val="22"/>
        </w:rPr>
        <w:t>until April 1, 2021</w:t>
      </w:r>
      <w:r w:rsidR="007B4632">
        <w:rPr>
          <w:rFonts w:ascii="Arial" w:hAnsi="Arial" w:cs="Arial"/>
          <w:sz w:val="22"/>
          <w:szCs w:val="22"/>
        </w:rPr>
        <w:t>,</w:t>
      </w:r>
      <w:r w:rsidR="007B4632" w:rsidRPr="007B4632">
        <w:rPr>
          <w:rFonts w:ascii="Arial" w:hAnsi="Arial" w:cs="Arial"/>
          <w:sz w:val="22"/>
          <w:szCs w:val="22"/>
        </w:rPr>
        <w:t xml:space="preserve"> when the allowable fee will be $45.87</w:t>
      </w:r>
      <w:r w:rsidRPr="00261523">
        <w:rPr>
          <w:rFonts w:ascii="Arial" w:hAnsi="Arial" w:cs="Arial"/>
          <w:sz w:val="22"/>
          <w:szCs w:val="22"/>
        </w:rPr>
        <w:t xml:space="preserve">. For the final dose </w:t>
      </w:r>
      <w:r w:rsidR="00E64717">
        <w:rPr>
          <w:rFonts w:ascii="Arial" w:hAnsi="Arial" w:cs="Arial"/>
          <w:sz w:val="22"/>
          <w:szCs w:val="22"/>
        </w:rPr>
        <w:t>the allowable fee will be $ 56.</w:t>
      </w:r>
      <w:r w:rsidRPr="00261523">
        <w:rPr>
          <w:rFonts w:ascii="Arial" w:hAnsi="Arial" w:cs="Arial"/>
          <w:sz w:val="22"/>
          <w:szCs w:val="22"/>
        </w:rPr>
        <w:t>78</w:t>
      </w:r>
      <w:r w:rsidR="00917DE7">
        <w:rPr>
          <w:rFonts w:ascii="Arial" w:hAnsi="Arial" w:cs="Arial"/>
          <w:sz w:val="22"/>
          <w:szCs w:val="22"/>
        </w:rPr>
        <w:t xml:space="preserve"> until April 1, 2021, when the allowable fee will be $45.87.</w:t>
      </w:r>
      <w:r w:rsidRPr="00261523">
        <w:rPr>
          <w:rFonts w:ascii="Arial" w:hAnsi="Arial" w:cs="Arial"/>
          <w:sz w:val="22"/>
          <w:szCs w:val="22"/>
        </w:rPr>
        <w:t xml:space="preserve"> For a one-dose vaccine, the</w:t>
      </w:r>
      <w:r w:rsidR="00047FD7">
        <w:rPr>
          <w:rFonts w:ascii="Arial" w:hAnsi="Arial" w:cs="Arial"/>
          <w:sz w:val="22"/>
          <w:szCs w:val="22"/>
        </w:rPr>
        <w:t xml:space="preserve"> allowable fee will be $56.78</w:t>
      </w:r>
      <w:r w:rsidR="00917DE7">
        <w:rPr>
          <w:rFonts w:ascii="Arial" w:hAnsi="Arial" w:cs="Arial"/>
          <w:sz w:val="22"/>
          <w:szCs w:val="22"/>
        </w:rPr>
        <w:t xml:space="preserve"> until April 1, 2021, when the allowable fee will be $45.87</w:t>
      </w:r>
      <w:r w:rsidR="00047FD7">
        <w:rPr>
          <w:rFonts w:ascii="Arial" w:hAnsi="Arial" w:cs="Arial"/>
          <w:sz w:val="22"/>
          <w:szCs w:val="22"/>
        </w:rPr>
        <w:t>.</w:t>
      </w:r>
    </w:p>
    <w:p w14:paraId="1A2A5A28" w14:textId="77777777" w:rsidR="00261523" w:rsidRDefault="00261523" w:rsidP="00814A17">
      <w:pPr>
        <w:pStyle w:val="ListParagraph"/>
        <w:numPr>
          <w:ilvl w:val="0"/>
          <w:numId w:val="4"/>
        </w:numPr>
        <w:spacing w:before="80"/>
        <w:ind w:left="188" w:hanging="274"/>
        <w:rPr>
          <w:rFonts w:ascii="Arial" w:hAnsi="Arial" w:cs="Arial"/>
          <w:sz w:val="22"/>
          <w:szCs w:val="22"/>
        </w:rPr>
      </w:pPr>
      <w:r w:rsidRPr="00047FD7">
        <w:rPr>
          <w:rFonts w:ascii="Arial" w:hAnsi="Arial" w:cs="Arial"/>
          <w:sz w:val="22"/>
          <w:szCs w:val="22"/>
        </w:rPr>
        <w:t>Ingredient Cost Submitted (409-D9) value of $0.00. This could change in the future if vaccines are no longer available free of charge.</w:t>
      </w:r>
    </w:p>
    <w:p w14:paraId="65D15E76" w14:textId="77777777" w:rsidR="00047FD7" w:rsidRPr="00047FD7" w:rsidRDefault="00047FD7" w:rsidP="00814A17">
      <w:pPr>
        <w:pStyle w:val="ListParagraph"/>
        <w:numPr>
          <w:ilvl w:val="0"/>
          <w:numId w:val="4"/>
        </w:numPr>
        <w:spacing w:before="80"/>
        <w:ind w:left="173" w:hanging="274"/>
        <w:rPr>
          <w:rFonts w:ascii="Arial" w:hAnsi="Arial" w:cs="Arial"/>
          <w:sz w:val="22"/>
          <w:szCs w:val="22"/>
        </w:rPr>
      </w:pPr>
      <w:r w:rsidRPr="00047FD7">
        <w:rPr>
          <w:rFonts w:ascii="Arial" w:hAnsi="Arial" w:cs="Arial"/>
          <w:sz w:val="22"/>
          <w:szCs w:val="22"/>
        </w:rPr>
        <w:t>Gross Amount Due (430-DU) value should be submitted to include the Incentive Amount Submitted for the vaccine administration fee and zero cost of the vaccine.</w:t>
      </w:r>
    </w:p>
    <w:p w14:paraId="2C21BBF8" w14:textId="77777777" w:rsidR="00047FD7" w:rsidRPr="00047FD7" w:rsidRDefault="00047FD7" w:rsidP="00814A17">
      <w:pPr>
        <w:pStyle w:val="ListParagraph"/>
        <w:numPr>
          <w:ilvl w:val="0"/>
          <w:numId w:val="4"/>
        </w:numPr>
        <w:spacing w:before="80"/>
        <w:ind w:left="173" w:hanging="274"/>
        <w:rPr>
          <w:rFonts w:ascii="Arial" w:hAnsi="Arial" w:cs="Arial"/>
          <w:sz w:val="22"/>
          <w:szCs w:val="22"/>
        </w:rPr>
      </w:pPr>
      <w:r w:rsidRPr="00047FD7">
        <w:rPr>
          <w:rFonts w:ascii="Arial" w:hAnsi="Arial" w:cs="Arial"/>
          <w:sz w:val="22"/>
          <w:szCs w:val="22"/>
        </w:rPr>
        <w:t>Usual and Customary Charge (426-DQ) value should reflect the amount charged to a cash- paying customer.</w:t>
      </w:r>
    </w:p>
    <w:p w14:paraId="2534F089" w14:textId="77777777" w:rsidR="00903922" w:rsidRPr="00957C93" w:rsidRDefault="00047FD7" w:rsidP="00814A17">
      <w:pPr>
        <w:pStyle w:val="ListParagraph"/>
        <w:numPr>
          <w:ilvl w:val="0"/>
          <w:numId w:val="4"/>
        </w:numPr>
        <w:spacing w:before="80"/>
        <w:ind w:left="188" w:hanging="274"/>
        <w:rPr>
          <w:rFonts w:ascii="Arial" w:hAnsi="Arial" w:cs="Arial"/>
          <w:sz w:val="22"/>
          <w:szCs w:val="22"/>
        </w:rPr>
      </w:pPr>
      <w:r w:rsidRPr="00047FD7">
        <w:rPr>
          <w:rFonts w:ascii="Arial" w:hAnsi="Arial" w:cs="Arial"/>
          <w:sz w:val="22"/>
          <w:szCs w:val="22"/>
        </w:rPr>
        <w:t>Basis of Cost Determination (423-DN) value “15” (free product or no associated cost)</w:t>
      </w:r>
      <w:r>
        <w:rPr>
          <w:rFonts w:ascii="Arial" w:hAnsi="Arial" w:cs="Arial"/>
          <w:sz w:val="22"/>
          <w:szCs w:val="22"/>
        </w:rPr>
        <w:t>.</w:t>
      </w:r>
    </w:p>
    <w:p w14:paraId="7AFC90A2" w14:textId="77777777" w:rsidR="00903922" w:rsidRPr="00ED0A53" w:rsidRDefault="00ED0A53" w:rsidP="00814A17">
      <w:pPr>
        <w:pStyle w:val="Heading2"/>
        <w:rPr>
          <w:rFonts w:ascii="Arial" w:hAnsi="Arial"/>
        </w:rPr>
      </w:pPr>
      <w:r>
        <w:t>Use of Submission Clarification Codes (420-DK)</w:t>
      </w:r>
    </w:p>
    <w:p w14:paraId="46458106" w14:textId="77777777" w:rsidR="00ED0A53" w:rsidRPr="00BC2A71" w:rsidRDefault="00ED0A53" w:rsidP="00ED0A53">
      <w:pPr>
        <w:rPr>
          <w:rFonts w:ascii="Arial" w:hAnsi="Arial" w:cs="Arial"/>
          <w:color w:val="000000"/>
          <w:sz w:val="22"/>
          <w:szCs w:val="22"/>
        </w:rPr>
      </w:pPr>
      <w:r w:rsidRPr="00BC2A71">
        <w:rPr>
          <w:rFonts w:ascii="Arial" w:hAnsi="Arial" w:cs="Arial"/>
          <w:color w:val="000000"/>
          <w:sz w:val="22"/>
          <w:szCs w:val="22"/>
        </w:rPr>
        <w:t xml:space="preserve">In order to clearly identify whether the claim is for an initial dose or final dose of the vaccine series, </w:t>
      </w:r>
      <w:r w:rsidRPr="00BC2A71">
        <w:rPr>
          <w:rFonts w:ascii="Arial" w:hAnsi="Arial" w:cs="Arial"/>
          <w:color w:val="000000"/>
          <w:sz w:val="22"/>
          <w:szCs w:val="22"/>
        </w:rPr>
        <w:lastRenderedPageBreak/>
        <w:t>a Submission Clarification Code value should be submitted on all claims for two-dose vaccines. Please note that claims for a one dose vaccine do not need to be submitted with one of these submission clarification codes. The following distinct Submission Clarification Code values should be used to clarify the submission as an initial or final dose.</w:t>
      </w:r>
    </w:p>
    <w:p w14:paraId="7373ABDA" w14:textId="77777777" w:rsidR="00ED0A53" w:rsidRPr="004439D7" w:rsidRDefault="00ED0A53" w:rsidP="00ED0A53">
      <w:pPr>
        <w:pStyle w:val="Subtitle"/>
        <w:spacing w:before="0" w:after="0" w:line="240" w:lineRule="auto"/>
        <w:rPr>
          <w:rFonts w:ascii="Arial" w:hAnsi="Arial" w:cs="Arial"/>
          <w:sz w:val="8"/>
        </w:rPr>
      </w:pPr>
    </w:p>
    <w:p w14:paraId="3794C0E2" w14:textId="074849C2" w:rsidR="00F72340" w:rsidRPr="00F72340" w:rsidRDefault="00F72340" w:rsidP="00F72340">
      <w:pPr>
        <w:rPr>
          <w:rFonts w:ascii="Arial" w:hAnsi="Arial" w:cs="Arial"/>
          <w:sz w:val="22"/>
          <w:szCs w:val="22"/>
        </w:rPr>
      </w:pPr>
      <w:r w:rsidRPr="00F72340">
        <w:rPr>
          <w:rFonts w:ascii="Arial" w:hAnsi="Arial" w:cs="Arial"/>
          <w:sz w:val="22"/>
          <w:szCs w:val="22"/>
          <w:u w:val="single"/>
        </w:rPr>
        <w:t>Initial Dose</w:t>
      </w:r>
      <w:r>
        <w:rPr>
          <w:rFonts w:ascii="Arial" w:hAnsi="Arial" w:cs="Arial"/>
          <w:sz w:val="22"/>
          <w:szCs w:val="22"/>
        </w:rPr>
        <w:t xml:space="preserve">: </w:t>
      </w:r>
      <w:r w:rsidRPr="00F72340">
        <w:rPr>
          <w:rFonts w:ascii="Arial" w:hAnsi="Arial" w:cs="Arial"/>
          <w:sz w:val="22"/>
          <w:szCs w:val="22"/>
        </w:rPr>
        <w:t>Submission Clarificati</w:t>
      </w:r>
      <w:r>
        <w:rPr>
          <w:rFonts w:ascii="Arial" w:hAnsi="Arial" w:cs="Arial"/>
          <w:sz w:val="22"/>
          <w:szCs w:val="22"/>
        </w:rPr>
        <w:t xml:space="preserve">on Code of 2 </w:t>
      </w:r>
      <w:r w:rsidR="0075308F">
        <w:rPr>
          <w:rFonts w:ascii="Arial" w:hAnsi="Arial" w:cs="Arial"/>
          <w:sz w:val="22"/>
          <w:szCs w:val="22"/>
        </w:rPr>
        <w:t>“Other Override” is</w:t>
      </w:r>
      <w:r>
        <w:rPr>
          <w:rFonts w:ascii="Arial" w:hAnsi="Arial" w:cs="Arial"/>
          <w:sz w:val="22"/>
          <w:szCs w:val="22"/>
        </w:rPr>
        <w:t xml:space="preserve"> defined as</w:t>
      </w:r>
      <w:r w:rsidRPr="00F72340">
        <w:rPr>
          <w:rFonts w:ascii="Arial" w:hAnsi="Arial" w:cs="Arial"/>
          <w:sz w:val="22"/>
          <w:szCs w:val="22"/>
        </w:rPr>
        <w:t xml:space="preserve"> “Used when authorized by the payer in business cases not currently addressed by other SCC values” to indicate that the first dose of a two-dose vaccine is being administered. The allowable administration fee of $33.88 should be entered in field 438-E3</w:t>
      </w:r>
      <w:r w:rsidR="0075308F">
        <w:rPr>
          <w:rFonts w:ascii="Arial" w:hAnsi="Arial" w:cs="Arial"/>
          <w:sz w:val="22"/>
          <w:szCs w:val="22"/>
        </w:rPr>
        <w:t xml:space="preserve"> until April 1, 2021, when the allowable fee will be $45.87</w:t>
      </w:r>
      <w:r w:rsidRPr="00F72340">
        <w:rPr>
          <w:rFonts w:ascii="Arial" w:hAnsi="Arial" w:cs="Arial"/>
          <w:sz w:val="22"/>
          <w:szCs w:val="22"/>
        </w:rPr>
        <w:t>.</w:t>
      </w:r>
    </w:p>
    <w:p w14:paraId="60B86D26" w14:textId="77777777" w:rsidR="00F72340" w:rsidRPr="00A22C0B" w:rsidRDefault="00F72340" w:rsidP="00F72340">
      <w:pPr>
        <w:rPr>
          <w:rFonts w:ascii="Arial" w:hAnsi="Arial" w:cs="Arial"/>
          <w:sz w:val="18"/>
          <w:szCs w:val="22"/>
        </w:rPr>
      </w:pPr>
    </w:p>
    <w:p w14:paraId="1E403CD9" w14:textId="30162A02" w:rsidR="00903922" w:rsidRDefault="00F72340" w:rsidP="00CD6D68">
      <w:pPr>
        <w:rPr>
          <w:rFonts w:ascii="Arial" w:hAnsi="Arial" w:cs="Arial"/>
          <w:sz w:val="22"/>
          <w:szCs w:val="22"/>
        </w:rPr>
      </w:pPr>
      <w:r w:rsidRPr="00F72340">
        <w:rPr>
          <w:rFonts w:ascii="Arial" w:hAnsi="Arial" w:cs="Arial"/>
          <w:sz w:val="22"/>
          <w:szCs w:val="22"/>
          <w:u w:val="single"/>
        </w:rPr>
        <w:t>Final Dose</w:t>
      </w:r>
      <w:r w:rsidRPr="00F72340">
        <w:rPr>
          <w:rFonts w:ascii="Arial" w:hAnsi="Arial" w:cs="Arial"/>
          <w:sz w:val="22"/>
          <w:szCs w:val="22"/>
        </w:rPr>
        <w:t>:</w:t>
      </w:r>
      <w:r>
        <w:rPr>
          <w:rFonts w:ascii="Arial" w:hAnsi="Arial" w:cs="Arial"/>
          <w:sz w:val="22"/>
          <w:szCs w:val="22"/>
        </w:rPr>
        <w:t xml:space="preserve"> </w:t>
      </w:r>
      <w:r w:rsidRPr="00F72340">
        <w:rPr>
          <w:rFonts w:ascii="Arial" w:hAnsi="Arial" w:cs="Arial"/>
          <w:sz w:val="22"/>
          <w:szCs w:val="22"/>
        </w:rPr>
        <w:t>Submission Clarific</w:t>
      </w:r>
      <w:r w:rsidR="0075308F">
        <w:rPr>
          <w:rFonts w:ascii="Arial" w:hAnsi="Arial" w:cs="Arial"/>
          <w:sz w:val="22"/>
          <w:szCs w:val="22"/>
        </w:rPr>
        <w:t>ation Code of 6 “Starter Dose” is</w:t>
      </w:r>
      <w:r>
        <w:rPr>
          <w:rFonts w:ascii="Arial" w:hAnsi="Arial" w:cs="Arial"/>
          <w:sz w:val="22"/>
          <w:szCs w:val="22"/>
        </w:rPr>
        <w:t xml:space="preserve"> defined as</w:t>
      </w:r>
      <w:r w:rsidRPr="00F72340">
        <w:rPr>
          <w:rFonts w:ascii="Arial" w:hAnsi="Arial" w:cs="Arial"/>
          <w:sz w:val="22"/>
          <w:szCs w:val="22"/>
        </w:rPr>
        <w:t xml:space="preserve"> “The pharmacist is indicating that the previous medication was a starter dose and now additional medication </w:t>
      </w:r>
      <w:r w:rsidR="0075308F">
        <w:rPr>
          <w:rFonts w:ascii="Arial" w:hAnsi="Arial" w:cs="Arial"/>
          <w:sz w:val="22"/>
          <w:szCs w:val="22"/>
        </w:rPr>
        <w:t>is needed to continue treatment</w:t>
      </w:r>
      <w:r w:rsidRPr="00F72340">
        <w:rPr>
          <w:rFonts w:ascii="Arial" w:hAnsi="Arial" w:cs="Arial"/>
          <w:sz w:val="22"/>
          <w:szCs w:val="22"/>
        </w:rPr>
        <w:t>” to indicate that the final dose of a two-dose vaccine is being administered. The allowable administration fee of $56.78 should be entered in field 438-E3</w:t>
      </w:r>
      <w:r w:rsidR="0075308F">
        <w:rPr>
          <w:rFonts w:ascii="Arial" w:hAnsi="Arial" w:cs="Arial"/>
          <w:sz w:val="22"/>
          <w:szCs w:val="22"/>
        </w:rPr>
        <w:t xml:space="preserve"> until April 1, 2021, when the allowable fee will be $45.87</w:t>
      </w:r>
      <w:r w:rsidRPr="00F72340">
        <w:rPr>
          <w:rFonts w:ascii="Arial" w:hAnsi="Arial" w:cs="Arial"/>
          <w:sz w:val="22"/>
          <w:szCs w:val="22"/>
        </w:rPr>
        <w:t>.</w:t>
      </w:r>
    </w:p>
    <w:p w14:paraId="216B15D8" w14:textId="77777777" w:rsidR="00F72340" w:rsidRPr="00905C46" w:rsidRDefault="00F72340" w:rsidP="00814A17">
      <w:pPr>
        <w:pStyle w:val="Heading2"/>
      </w:pPr>
      <w:r>
        <w:t>MHDL Update</w:t>
      </w:r>
    </w:p>
    <w:p w14:paraId="23570C52" w14:textId="3CAAECE3" w:rsidR="00F72340" w:rsidRPr="00F72340" w:rsidRDefault="00F72340" w:rsidP="00AD75CA">
      <w:pPr>
        <w:rPr>
          <w:sz w:val="22"/>
          <w:szCs w:val="22"/>
        </w:rPr>
      </w:pPr>
      <w:r w:rsidRPr="00F72340">
        <w:rPr>
          <w:rFonts w:ascii="Arial" w:hAnsi="Arial" w:cs="Arial"/>
          <w:sz w:val="22"/>
          <w:szCs w:val="22"/>
        </w:rPr>
        <w:t>Below are certain updates to the MassHealth Drug List (MHDL).  See the MHDL for a complete listing of updates.</w:t>
      </w:r>
    </w:p>
    <w:p w14:paraId="5D805897" w14:textId="77777777" w:rsidR="00903922" w:rsidRPr="00AD75CA" w:rsidRDefault="00F72340" w:rsidP="00AD75CA">
      <w:pPr>
        <w:pStyle w:val="Heading3"/>
      </w:pPr>
      <w:r w:rsidRPr="00AD75CA">
        <w:t>Additions</w:t>
      </w:r>
    </w:p>
    <w:p w14:paraId="0EC41E40" w14:textId="77777777" w:rsidR="00F72340" w:rsidRPr="00F72340" w:rsidRDefault="00F72340" w:rsidP="00F72340">
      <w:pPr>
        <w:ind w:left="270" w:hanging="270"/>
        <w:rPr>
          <w:rFonts w:ascii="Arial" w:hAnsi="Arial" w:cs="Arial"/>
          <w:sz w:val="22"/>
          <w:szCs w:val="22"/>
        </w:rPr>
      </w:pPr>
      <w:r>
        <w:rPr>
          <w:rFonts w:ascii="Arial" w:hAnsi="Arial" w:cs="Arial"/>
          <w:sz w:val="22"/>
          <w:szCs w:val="22"/>
        </w:rPr>
        <w:t>a.</w:t>
      </w:r>
      <w:r>
        <w:rPr>
          <w:rFonts w:ascii="Arial" w:hAnsi="Arial" w:cs="Arial"/>
          <w:sz w:val="22"/>
          <w:szCs w:val="22"/>
        </w:rPr>
        <w:tab/>
        <w:t xml:space="preserve">Effective March 22, 2021, the following newly marketed drugs have been added to the MassHealth Drug List. </w:t>
      </w:r>
    </w:p>
    <w:p w14:paraId="14C9481B" w14:textId="77777777" w:rsidR="00F72340" w:rsidRPr="009A7554" w:rsidRDefault="00F72340" w:rsidP="00814A17">
      <w:pPr>
        <w:pStyle w:val="Default"/>
        <w:numPr>
          <w:ilvl w:val="0"/>
          <w:numId w:val="5"/>
        </w:numPr>
        <w:spacing w:line="276" w:lineRule="auto"/>
        <w:ind w:left="540" w:hanging="270"/>
        <w:rPr>
          <w:rFonts w:ascii="Arial" w:hAnsi="Arial" w:cs="Arial"/>
          <w:sz w:val="22"/>
          <w:szCs w:val="22"/>
        </w:rPr>
      </w:pPr>
      <w:proofErr w:type="spellStart"/>
      <w:r w:rsidRPr="009A7554">
        <w:rPr>
          <w:rFonts w:ascii="Arial" w:hAnsi="Arial" w:cs="Arial"/>
          <w:sz w:val="22"/>
          <w:szCs w:val="22"/>
        </w:rPr>
        <w:t>Alkindi</w:t>
      </w:r>
      <w:proofErr w:type="spellEnd"/>
      <w:r w:rsidRPr="009A7554">
        <w:rPr>
          <w:rFonts w:ascii="Arial" w:hAnsi="Arial" w:cs="Arial"/>
          <w:sz w:val="22"/>
          <w:szCs w:val="22"/>
        </w:rPr>
        <w:t xml:space="preserve"> (hydrocortisone sprinkle capsule) – </w:t>
      </w:r>
      <w:r w:rsidRPr="009A7554">
        <w:rPr>
          <w:rFonts w:ascii="Arial" w:hAnsi="Arial" w:cs="Arial"/>
          <w:b/>
          <w:bCs/>
          <w:sz w:val="22"/>
          <w:szCs w:val="22"/>
        </w:rPr>
        <w:t>PA</w:t>
      </w:r>
      <w:r w:rsidRPr="009A7554">
        <w:rPr>
          <w:rFonts w:ascii="Arial" w:hAnsi="Arial" w:cs="Arial"/>
          <w:sz w:val="22"/>
          <w:szCs w:val="22"/>
        </w:rPr>
        <w:t xml:space="preserve"> </w:t>
      </w:r>
    </w:p>
    <w:p w14:paraId="08DFF8E5" w14:textId="77777777" w:rsidR="00F72340" w:rsidRPr="00F72340" w:rsidRDefault="00F72340" w:rsidP="00814A17">
      <w:pPr>
        <w:pStyle w:val="ListParagraph"/>
        <w:numPr>
          <w:ilvl w:val="0"/>
          <w:numId w:val="5"/>
        </w:numPr>
        <w:spacing w:line="276" w:lineRule="auto"/>
        <w:ind w:left="540" w:hanging="270"/>
        <w:rPr>
          <w:rFonts w:ascii="Arial" w:hAnsi="Arial" w:cs="Arial"/>
          <w:sz w:val="22"/>
        </w:rPr>
      </w:pPr>
      <w:proofErr w:type="spellStart"/>
      <w:r w:rsidRPr="00F72340">
        <w:rPr>
          <w:rFonts w:ascii="Arial" w:hAnsi="Arial" w:cs="Arial"/>
          <w:sz w:val="22"/>
        </w:rPr>
        <w:t>Blenrep</w:t>
      </w:r>
      <w:proofErr w:type="spellEnd"/>
      <w:r w:rsidRPr="00F72340">
        <w:rPr>
          <w:rFonts w:ascii="Arial" w:hAnsi="Arial" w:cs="Arial"/>
          <w:sz w:val="22"/>
        </w:rPr>
        <w:t xml:space="preserve"> (</w:t>
      </w:r>
      <w:proofErr w:type="spellStart"/>
      <w:r w:rsidRPr="00F72340">
        <w:rPr>
          <w:rFonts w:ascii="Arial" w:hAnsi="Arial" w:cs="Arial"/>
          <w:sz w:val="22"/>
        </w:rPr>
        <w:t>belantamab</w:t>
      </w:r>
      <w:proofErr w:type="spellEnd"/>
      <w:r w:rsidRPr="00F72340">
        <w:rPr>
          <w:rFonts w:ascii="Arial" w:hAnsi="Arial" w:cs="Arial"/>
          <w:sz w:val="22"/>
        </w:rPr>
        <w:t xml:space="preserve"> </w:t>
      </w:r>
      <w:proofErr w:type="spellStart"/>
      <w:r w:rsidRPr="00F72340">
        <w:rPr>
          <w:rFonts w:ascii="Arial" w:hAnsi="Arial" w:cs="Arial"/>
          <w:sz w:val="22"/>
        </w:rPr>
        <w:t>mafodotin-blmf</w:t>
      </w:r>
      <w:proofErr w:type="spellEnd"/>
      <w:r w:rsidRPr="00F72340">
        <w:rPr>
          <w:rFonts w:ascii="Arial" w:hAnsi="Arial" w:cs="Arial"/>
          <w:sz w:val="22"/>
        </w:rPr>
        <w:t xml:space="preserve">) – </w:t>
      </w:r>
      <w:r w:rsidRPr="00F72340">
        <w:rPr>
          <w:rFonts w:ascii="Arial" w:hAnsi="Arial" w:cs="Arial"/>
          <w:b/>
          <w:bCs/>
          <w:sz w:val="22"/>
        </w:rPr>
        <w:t>PA</w:t>
      </w:r>
    </w:p>
    <w:p w14:paraId="135C2ECE" w14:textId="77777777" w:rsidR="00F72340" w:rsidRPr="008A29C6" w:rsidRDefault="00F72340" w:rsidP="00814A17">
      <w:pPr>
        <w:pStyle w:val="Default"/>
        <w:numPr>
          <w:ilvl w:val="0"/>
          <w:numId w:val="5"/>
        </w:numPr>
        <w:spacing w:line="276" w:lineRule="auto"/>
        <w:ind w:left="540" w:hanging="270"/>
        <w:rPr>
          <w:rFonts w:ascii="Arial" w:hAnsi="Arial" w:cs="Arial"/>
          <w:sz w:val="22"/>
          <w:szCs w:val="22"/>
        </w:rPr>
      </w:pPr>
      <w:proofErr w:type="spellStart"/>
      <w:r w:rsidRPr="008A29C6">
        <w:rPr>
          <w:rFonts w:ascii="Arial" w:hAnsi="Arial" w:cs="Arial"/>
          <w:sz w:val="22"/>
          <w:szCs w:val="22"/>
        </w:rPr>
        <w:t>Bynfezia</w:t>
      </w:r>
      <w:proofErr w:type="spellEnd"/>
      <w:r w:rsidRPr="008A29C6">
        <w:rPr>
          <w:rFonts w:ascii="Arial" w:hAnsi="Arial" w:cs="Arial"/>
          <w:sz w:val="22"/>
          <w:szCs w:val="22"/>
        </w:rPr>
        <w:t xml:space="preserve"> (octreotide </w:t>
      </w:r>
      <w:r>
        <w:rPr>
          <w:rFonts w:ascii="Arial" w:hAnsi="Arial" w:cs="Arial"/>
          <w:sz w:val="22"/>
          <w:szCs w:val="22"/>
        </w:rPr>
        <w:t>prefilled syringe</w:t>
      </w:r>
      <w:r w:rsidRPr="008A29C6">
        <w:rPr>
          <w:rFonts w:ascii="Arial" w:hAnsi="Arial" w:cs="Arial"/>
          <w:sz w:val="22"/>
          <w:szCs w:val="22"/>
        </w:rPr>
        <w:t xml:space="preserve">) </w:t>
      </w:r>
    </w:p>
    <w:p w14:paraId="527C3E7F" w14:textId="77777777" w:rsidR="00F72340" w:rsidRPr="007459FD" w:rsidRDefault="00F72340" w:rsidP="00814A17">
      <w:pPr>
        <w:pStyle w:val="Default"/>
        <w:numPr>
          <w:ilvl w:val="0"/>
          <w:numId w:val="5"/>
        </w:numPr>
        <w:spacing w:line="276" w:lineRule="auto"/>
        <w:ind w:left="540" w:hanging="270"/>
        <w:rPr>
          <w:rFonts w:ascii="Arial" w:hAnsi="Arial" w:cs="Arial"/>
          <w:sz w:val="22"/>
          <w:szCs w:val="22"/>
        </w:rPr>
      </w:pPr>
      <w:proofErr w:type="spellStart"/>
      <w:r w:rsidRPr="007459FD">
        <w:rPr>
          <w:rFonts w:ascii="Arial" w:hAnsi="Arial" w:cs="Arial"/>
          <w:sz w:val="22"/>
          <w:szCs w:val="22"/>
        </w:rPr>
        <w:t>Cystadrops</w:t>
      </w:r>
      <w:proofErr w:type="spellEnd"/>
      <w:r w:rsidRPr="007459FD">
        <w:rPr>
          <w:rFonts w:ascii="Arial" w:hAnsi="Arial" w:cs="Arial"/>
          <w:sz w:val="22"/>
          <w:szCs w:val="22"/>
        </w:rPr>
        <w:t xml:space="preserve"> (</w:t>
      </w:r>
      <w:proofErr w:type="spellStart"/>
      <w:r w:rsidRPr="007459FD">
        <w:rPr>
          <w:rFonts w:ascii="Arial" w:hAnsi="Arial" w:cs="Arial"/>
          <w:sz w:val="22"/>
          <w:szCs w:val="22"/>
        </w:rPr>
        <w:t>cysteamine</w:t>
      </w:r>
      <w:proofErr w:type="spellEnd"/>
      <w:r w:rsidRPr="007459FD">
        <w:rPr>
          <w:rFonts w:ascii="Arial" w:hAnsi="Arial" w:cs="Arial"/>
          <w:sz w:val="22"/>
          <w:szCs w:val="22"/>
        </w:rPr>
        <w:t xml:space="preserve"> 0.37% ophthalmic solution) – </w:t>
      </w:r>
      <w:r w:rsidRPr="007459FD">
        <w:rPr>
          <w:rFonts w:ascii="Arial" w:hAnsi="Arial" w:cs="Arial"/>
          <w:b/>
          <w:bCs/>
          <w:sz w:val="22"/>
          <w:szCs w:val="22"/>
        </w:rPr>
        <w:t>PA</w:t>
      </w:r>
    </w:p>
    <w:p w14:paraId="037667AE" w14:textId="77777777" w:rsidR="00F72340" w:rsidRDefault="00F72340" w:rsidP="00814A17">
      <w:pPr>
        <w:pStyle w:val="Default"/>
        <w:numPr>
          <w:ilvl w:val="0"/>
          <w:numId w:val="5"/>
        </w:numPr>
        <w:spacing w:line="276" w:lineRule="auto"/>
        <w:ind w:left="540" w:hanging="270"/>
        <w:rPr>
          <w:rFonts w:ascii="Arial" w:hAnsi="Arial" w:cs="Arial"/>
          <w:sz w:val="22"/>
          <w:szCs w:val="22"/>
        </w:rPr>
      </w:pPr>
      <w:proofErr w:type="spellStart"/>
      <w:r>
        <w:rPr>
          <w:rFonts w:ascii="Arial" w:hAnsi="Arial" w:cs="Arial"/>
          <w:sz w:val="22"/>
          <w:szCs w:val="22"/>
        </w:rPr>
        <w:t>Gavreto</w:t>
      </w:r>
      <w:proofErr w:type="spellEnd"/>
      <w:r>
        <w:rPr>
          <w:rFonts w:ascii="Arial" w:hAnsi="Arial" w:cs="Arial"/>
          <w:sz w:val="22"/>
          <w:szCs w:val="22"/>
        </w:rPr>
        <w:t xml:space="preserve"> (</w:t>
      </w:r>
      <w:proofErr w:type="spellStart"/>
      <w:r>
        <w:rPr>
          <w:rFonts w:ascii="Arial" w:hAnsi="Arial" w:cs="Arial"/>
          <w:sz w:val="22"/>
          <w:szCs w:val="22"/>
        </w:rPr>
        <w:t>pralsetinib</w:t>
      </w:r>
      <w:proofErr w:type="spellEnd"/>
      <w:r>
        <w:rPr>
          <w:rFonts w:ascii="Arial" w:hAnsi="Arial" w:cs="Arial"/>
          <w:sz w:val="22"/>
          <w:szCs w:val="22"/>
        </w:rPr>
        <w:t xml:space="preserve">) – </w:t>
      </w:r>
      <w:r w:rsidRPr="00731406">
        <w:rPr>
          <w:rFonts w:ascii="Arial" w:hAnsi="Arial" w:cs="Arial"/>
          <w:b/>
          <w:bCs/>
          <w:sz w:val="22"/>
          <w:szCs w:val="22"/>
        </w:rPr>
        <w:t xml:space="preserve">PA </w:t>
      </w:r>
    </w:p>
    <w:p w14:paraId="70743402" w14:textId="77777777" w:rsidR="00F72340" w:rsidRPr="00356FA1" w:rsidRDefault="00F72340" w:rsidP="00814A17">
      <w:pPr>
        <w:pStyle w:val="Default"/>
        <w:numPr>
          <w:ilvl w:val="0"/>
          <w:numId w:val="5"/>
        </w:numPr>
        <w:spacing w:line="276" w:lineRule="auto"/>
        <w:ind w:left="540" w:hanging="270"/>
        <w:rPr>
          <w:rFonts w:ascii="Arial" w:hAnsi="Arial" w:cs="Arial"/>
          <w:sz w:val="22"/>
          <w:szCs w:val="22"/>
        </w:rPr>
      </w:pPr>
      <w:proofErr w:type="spellStart"/>
      <w:r w:rsidRPr="00356FA1">
        <w:rPr>
          <w:rFonts w:ascii="Arial" w:hAnsi="Arial" w:cs="Arial"/>
          <w:sz w:val="22"/>
          <w:szCs w:val="22"/>
        </w:rPr>
        <w:t>Inqovi</w:t>
      </w:r>
      <w:proofErr w:type="spellEnd"/>
      <w:r w:rsidRPr="00356FA1">
        <w:rPr>
          <w:rFonts w:ascii="Arial" w:hAnsi="Arial" w:cs="Arial"/>
          <w:sz w:val="22"/>
          <w:szCs w:val="22"/>
        </w:rPr>
        <w:t xml:space="preserve"> (</w:t>
      </w:r>
      <w:proofErr w:type="spellStart"/>
      <w:r w:rsidRPr="00356FA1">
        <w:rPr>
          <w:rFonts w:ascii="Arial" w:hAnsi="Arial" w:cs="Arial"/>
          <w:sz w:val="22"/>
          <w:szCs w:val="22"/>
        </w:rPr>
        <w:t>decitabine</w:t>
      </w:r>
      <w:proofErr w:type="spellEnd"/>
      <w:r w:rsidRPr="00356FA1">
        <w:rPr>
          <w:rFonts w:ascii="Arial" w:hAnsi="Arial" w:cs="Arial"/>
          <w:sz w:val="22"/>
          <w:szCs w:val="22"/>
        </w:rPr>
        <w:t>/</w:t>
      </w:r>
      <w:proofErr w:type="spellStart"/>
      <w:r w:rsidRPr="00356FA1">
        <w:rPr>
          <w:rFonts w:ascii="Arial" w:hAnsi="Arial" w:cs="Arial"/>
          <w:sz w:val="22"/>
          <w:szCs w:val="22"/>
        </w:rPr>
        <w:t>cedazuridine</w:t>
      </w:r>
      <w:proofErr w:type="spellEnd"/>
      <w:r w:rsidRPr="00356FA1">
        <w:rPr>
          <w:rFonts w:ascii="Arial" w:hAnsi="Arial" w:cs="Arial"/>
          <w:sz w:val="22"/>
          <w:szCs w:val="22"/>
        </w:rPr>
        <w:t xml:space="preserve">) </w:t>
      </w:r>
    </w:p>
    <w:p w14:paraId="34FC1A9A" w14:textId="77777777" w:rsidR="00654937" w:rsidRPr="00654937" w:rsidRDefault="00F72340" w:rsidP="00814A17">
      <w:pPr>
        <w:pStyle w:val="Default"/>
        <w:numPr>
          <w:ilvl w:val="0"/>
          <w:numId w:val="5"/>
        </w:numPr>
        <w:spacing w:line="276" w:lineRule="auto"/>
        <w:ind w:left="540" w:hanging="270"/>
        <w:rPr>
          <w:rFonts w:ascii="Arial" w:hAnsi="Arial" w:cs="Arial"/>
          <w:b/>
          <w:sz w:val="22"/>
          <w:szCs w:val="22"/>
        </w:rPr>
      </w:pPr>
      <w:bookmarkStart w:id="1" w:name="_Hlk47362325"/>
      <w:proofErr w:type="spellStart"/>
      <w:r w:rsidRPr="00E915E2">
        <w:rPr>
          <w:rFonts w:ascii="Arial" w:hAnsi="Arial" w:cs="Arial"/>
          <w:bCs/>
          <w:sz w:val="22"/>
          <w:szCs w:val="22"/>
        </w:rPr>
        <w:t>Lampit</w:t>
      </w:r>
      <w:proofErr w:type="spellEnd"/>
      <w:r w:rsidRPr="00E915E2">
        <w:rPr>
          <w:rFonts w:ascii="Arial" w:hAnsi="Arial" w:cs="Arial"/>
          <w:bCs/>
          <w:sz w:val="22"/>
          <w:szCs w:val="22"/>
        </w:rPr>
        <w:t xml:space="preserve"> (</w:t>
      </w:r>
      <w:proofErr w:type="spellStart"/>
      <w:r w:rsidRPr="00E915E2">
        <w:rPr>
          <w:rFonts w:ascii="Arial" w:hAnsi="Arial" w:cs="Arial"/>
          <w:bCs/>
          <w:sz w:val="22"/>
          <w:szCs w:val="22"/>
        </w:rPr>
        <w:t>nifurtimox</w:t>
      </w:r>
      <w:proofErr w:type="spellEnd"/>
      <w:r w:rsidRPr="00E915E2">
        <w:rPr>
          <w:rFonts w:ascii="Arial" w:hAnsi="Arial" w:cs="Arial"/>
          <w:bCs/>
          <w:sz w:val="22"/>
          <w:szCs w:val="22"/>
        </w:rPr>
        <w:t xml:space="preserve">) </w:t>
      </w:r>
      <w:r w:rsidRPr="00E915E2">
        <w:rPr>
          <w:rFonts w:ascii="Arial" w:hAnsi="Arial" w:cs="Arial"/>
          <w:sz w:val="22"/>
          <w:szCs w:val="22"/>
        </w:rPr>
        <w:t xml:space="preserve">– </w:t>
      </w:r>
      <w:r w:rsidRPr="00E915E2">
        <w:rPr>
          <w:rFonts w:ascii="Arial" w:hAnsi="Arial" w:cs="Arial"/>
          <w:b/>
          <w:sz w:val="22"/>
          <w:szCs w:val="22"/>
        </w:rPr>
        <w:t>PA</w:t>
      </w:r>
      <w:bookmarkEnd w:id="1"/>
      <w:r w:rsidR="00654937" w:rsidRPr="00654937">
        <w:t xml:space="preserve"> </w:t>
      </w:r>
    </w:p>
    <w:p w14:paraId="469552BF"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proofErr w:type="spellStart"/>
      <w:r w:rsidRPr="00654937">
        <w:rPr>
          <w:rFonts w:ascii="Arial" w:hAnsi="Arial" w:cs="Arial"/>
          <w:sz w:val="22"/>
          <w:szCs w:val="22"/>
        </w:rPr>
        <w:t>Monoferric</w:t>
      </w:r>
      <w:proofErr w:type="spellEnd"/>
      <w:r w:rsidRPr="00654937">
        <w:rPr>
          <w:rFonts w:ascii="Arial" w:hAnsi="Arial" w:cs="Arial"/>
          <w:sz w:val="22"/>
          <w:szCs w:val="22"/>
        </w:rPr>
        <w:t xml:space="preserve"> (ferric </w:t>
      </w:r>
      <w:proofErr w:type="spellStart"/>
      <w:r w:rsidRPr="00654937">
        <w:rPr>
          <w:rFonts w:ascii="Arial" w:hAnsi="Arial" w:cs="Arial"/>
          <w:sz w:val="22"/>
          <w:szCs w:val="22"/>
        </w:rPr>
        <w:t>derisomaltose</w:t>
      </w:r>
      <w:proofErr w:type="spellEnd"/>
      <w:r w:rsidRPr="00654937">
        <w:rPr>
          <w:rFonts w:ascii="Arial" w:hAnsi="Arial" w:cs="Arial"/>
          <w:sz w:val="22"/>
          <w:szCs w:val="22"/>
        </w:rPr>
        <w:t xml:space="preserve">) – </w:t>
      </w:r>
      <w:r w:rsidRPr="00654937">
        <w:rPr>
          <w:rFonts w:ascii="Arial" w:hAnsi="Arial" w:cs="Arial"/>
          <w:b/>
          <w:sz w:val="22"/>
          <w:szCs w:val="22"/>
        </w:rPr>
        <w:t>PA</w:t>
      </w:r>
      <w:r w:rsidRPr="00654937">
        <w:rPr>
          <w:rFonts w:ascii="Arial" w:hAnsi="Arial" w:cs="Arial"/>
          <w:sz w:val="22"/>
          <w:szCs w:val="22"/>
        </w:rPr>
        <w:t xml:space="preserve"> </w:t>
      </w:r>
    </w:p>
    <w:p w14:paraId="69944A31"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proofErr w:type="spellStart"/>
      <w:r w:rsidRPr="00654937">
        <w:rPr>
          <w:rFonts w:ascii="Arial" w:hAnsi="Arial" w:cs="Arial"/>
          <w:sz w:val="22"/>
          <w:szCs w:val="22"/>
        </w:rPr>
        <w:t>Nyvepria</w:t>
      </w:r>
      <w:proofErr w:type="spellEnd"/>
      <w:r w:rsidRPr="00654937">
        <w:rPr>
          <w:rFonts w:ascii="Arial" w:hAnsi="Arial" w:cs="Arial"/>
          <w:sz w:val="22"/>
          <w:szCs w:val="22"/>
        </w:rPr>
        <w:t xml:space="preserve"> (</w:t>
      </w:r>
      <w:proofErr w:type="spellStart"/>
      <w:r w:rsidRPr="00654937">
        <w:rPr>
          <w:rFonts w:ascii="Arial" w:hAnsi="Arial" w:cs="Arial"/>
          <w:sz w:val="22"/>
          <w:szCs w:val="22"/>
        </w:rPr>
        <w:t>pegfilgrastim-apgf</w:t>
      </w:r>
      <w:proofErr w:type="spellEnd"/>
      <w:r w:rsidRPr="00654937">
        <w:rPr>
          <w:rFonts w:ascii="Arial" w:hAnsi="Arial" w:cs="Arial"/>
          <w:sz w:val="22"/>
          <w:szCs w:val="22"/>
        </w:rPr>
        <w:t>)</w:t>
      </w:r>
    </w:p>
    <w:p w14:paraId="78EF2DB6" w14:textId="77777777" w:rsidR="00654937" w:rsidRPr="00654937" w:rsidRDefault="00DD39FC" w:rsidP="00814A17">
      <w:pPr>
        <w:pStyle w:val="Default"/>
        <w:numPr>
          <w:ilvl w:val="0"/>
          <w:numId w:val="5"/>
        </w:numPr>
        <w:spacing w:line="276" w:lineRule="auto"/>
        <w:ind w:left="540" w:hanging="270"/>
        <w:rPr>
          <w:rFonts w:ascii="Arial" w:hAnsi="Arial" w:cs="Arial"/>
          <w:sz w:val="22"/>
          <w:szCs w:val="22"/>
        </w:rPr>
      </w:pPr>
      <w:proofErr w:type="spellStart"/>
      <w:r>
        <w:rPr>
          <w:rFonts w:ascii="Arial" w:hAnsi="Arial" w:cs="Arial"/>
          <w:sz w:val="22"/>
          <w:szCs w:val="22"/>
        </w:rPr>
        <w:lastRenderedPageBreak/>
        <w:t>Phesgo</w:t>
      </w:r>
      <w:proofErr w:type="spellEnd"/>
      <w:r>
        <w:rPr>
          <w:rFonts w:ascii="Arial" w:hAnsi="Arial" w:cs="Arial"/>
          <w:sz w:val="22"/>
          <w:szCs w:val="22"/>
        </w:rPr>
        <w:t xml:space="preserve"> </w:t>
      </w:r>
      <w:r w:rsidR="00654937" w:rsidRPr="00654937">
        <w:rPr>
          <w:rFonts w:ascii="Arial" w:hAnsi="Arial" w:cs="Arial"/>
          <w:sz w:val="22"/>
          <w:szCs w:val="22"/>
        </w:rPr>
        <w:t>(</w:t>
      </w:r>
      <w:proofErr w:type="spellStart"/>
      <w:r w:rsidR="00654937" w:rsidRPr="00654937">
        <w:rPr>
          <w:rFonts w:ascii="Arial" w:hAnsi="Arial" w:cs="Arial"/>
          <w:sz w:val="22"/>
          <w:szCs w:val="22"/>
        </w:rPr>
        <w:t>pertuzumab</w:t>
      </w:r>
      <w:proofErr w:type="spellEnd"/>
      <w:r w:rsidR="00654937" w:rsidRPr="00654937">
        <w:rPr>
          <w:rFonts w:ascii="Arial" w:hAnsi="Arial" w:cs="Arial"/>
          <w:sz w:val="22"/>
          <w:szCs w:val="22"/>
        </w:rPr>
        <w:t>/</w:t>
      </w:r>
      <w:proofErr w:type="spellStart"/>
      <w:r w:rsidR="00654937" w:rsidRPr="00654937">
        <w:rPr>
          <w:rFonts w:ascii="Arial" w:hAnsi="Arial" w:cs="Arial"/>
          <w:sz w:val="22"/>
          <w:szCs w:val="22"/>
        </w:rPr>
        <w:t>trastuzumab</w:t>
      </w:r>
      <w:proofErr w:type="spellEnd"/>
      <w:r w:rsidR="00654937" w:rsidRPr="00654937">
        <w:rPr>
          <w:rFonts w:ascii="Arial" w:hAnsi="Arial" w:cs="Arial"/>
          <w:sz w:val="22"/>
          <w:szCs w:val="22"/>
        </w:rPr>
        <w:t>/</w:t>
      </w:r>
      <w:r>
        <w:rPr>
          <w:rFonts w:ascii="Arial" w:hAnsi="Arial" w:cs="Arial"/>
          <w:sz w:val="22"/>
          <w:szCs w:val="22"/>
        </w:rPr>
        <w:t xml:space="preserve"> </w:t>
      </w:r>
      <w:r w:rsidR="00654937" w:rsidRPr="00654937">
        <w:rPr>
          <w:rFonts w:ascii="Arial" w:hAnsi="Arial" w:cs="Arial"/>
          <w:sz w:val="22"/>
          <w:szCs w:val="22"/>
        </w:rPr>
        <w:t>hyaluronidase-</w:t>
      </w:r>
      <w:proofErr w:type="spellStart"/>
      <w:r w:rsidR="00654937" w:rsidRPr="00654937">
        <w:rPr>
          <w:rFonts w:ascii="Arial" w:hAnsi="Arial" w:cs="Arial"/>
          <w:sz w:val="22"/>
          <w:szCs w:val="22"/>
        </w:rPr>
        <w:t>zzxf</w:t>
      </w:r>
      <w:proofErr w:type="spellEnd"/>
      <w:r w:rsidR="00654937" w:rsidRPr="00654937">
        <w:rPr>
          <w:rFonts w:ascii="Arial" w:hAnsi="Arial" w:cs="Arial"/>
          <w:sz w:val="22"/>
          <w:szCs w:val="22"/>
        </w:rPr>
        <w:t xml:space="preserve">) – </w:t>
      </w:r>
      <w:r w:rsidR="00654937" w:rsidRPr="00654937">
        <w:rPr>
          <w:rFonts w:ascii="Arial" w:hAnsi="Arial" w:cs="Arial"/>
          <w:b/>
          <w:sz w:val="22"/>
          <w:szCs w:val="22"/>
        </w:rPr>
        <w:t>PA</w:t>
      </w:r>
    </w:p>
    <w:p w14:paraId="0AB99F40"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r w:rsidRPr="00654937">
        <w:rPr>
          <w:rFonts w:ascii="Arial" w:hAnsi="Arial" w:cs="Arial"/>
          <w:sz w:val="22"/>
          <w:szCs w:val="22"/>
        </w:rPr>
        <w:t xml:space="preserve">quinidine gluconate extended-release – </w:t>
      </w:r>
      <w:r w:rsidRPr="00654937">
        <w:rPr>
          <w:rFonts w:ascii="Arial" w:hAnsi="Arial" w:cs="Arial"/>
          <w:b/>
          <w:sz w:val="22"/>
          <w:szCs w:val="22"/>
        </w:rPr>
        <w:t xml:space="preserve">PA </w:t>
      </w:r>
    </w:p>
    <w:p w14:paraId="0E1EFEBE"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proofErr w:type="spellStart"/>
      <w:r w:rsidRPr="00654937">
        <w:rPr>
          <w:rFonts w:ascii="Arial" w:hAnsi="Arial" w:cs="Arial"/>
          <w:sz w:val="22"/>
          <w:szCs w:val="22"/>
        </w:rPr>
        <w:t>Sutab</w:t>
      </w:r>
      <w:proofErr w:type="spellEnd"/>
      <w:r w:rsidRPr="00654937">
        <w:rPr>
          <w:rFonts w:ascii="Arial" w:hAnsi="Arial" w:cs="Arial"/>
          <w:sz w:val="22"/>
          <w:szCs w:val="22"/>
        </w:rPr>
        <w:t xml:space="preserve"> (sodium sulfate/magnesium sulfate/potassium chloride) – </w:t>
      </w:r>
      <w:r w:rsidRPr="00654937">
        <w:rPr>
          <w:rFonts w:ascii="Arial" w:hAnsi="Arial" w:cs="Arial"/>
          <w:b/>
          <w:sz w:val="22"/>
          <w:szCs w:val="22"/>
        </w:rPr>
        <w:t>PA</w:t>
      </w:r>
    </w:p>
    <w:p w14:paraId="561F841B"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proofErr w:type="spellStart"/>
      <w:r w:rsidRPr="00654937">
        <w:rPr>
          <w:rFonts w:ascii="Arial" w:hAnsi="Arial" w:cs="Arial"/>
          <w:sz w:val="22"/>
          <w:szCs w:val="22"/>
        </w:rPr>
        <w:t>Viltepso</w:t>
      </w:r>
      <w:proofErr w:type="spellEnd"/>
      <w:r w:rsidRPr="00654937">
        <w:rPr>
          <w:rFonts w:ascii="Arial" w:hAnsi="Arial" w:cs="Arial"/>
          <w:sz w:val="22"/>
          <w:szCs w:val="22"/>
        </w:rPr>
        <w:t xml:space="preserve"> (</w:t>
      </w:r>
      <w:proofErr w:type="spellStart"/>
      <w:r w:rsidRPr="00654937">
        <w:rPr>
          <w:rFonts w:ascii="Arial" w:hAnsi="Arial" w:cs="Arial"/>
          <w:sz w:val="22"/>
          <w:szCs w:val="22"/>
        </w:rPr>
        <w:t>viltolarsen</w:t>
      </w:r>
      <w:proofErr w:type="spellEnd"/>
      <w:r w:rsidRPr="00654937">
        <w:rPr>
          <w:rFonts w:ascii="Arial" w:hAnsi="Arial" w:cs="Arial"/>
          <w:sz w:val="22"/>
          <w:szCs w:val="22"/>
        </w:rPr>
        <w:t xml:space="preserve">) – </w:t>
      </w:r>
      <w:r w:rsidRPr="00654937">
        <w:rPr>
          <w:rFonts w:ascii="Arial" w:hAnsi="Arial" w:cs="Arial"/>
          <w:b/>
          <w:sz w:val="22"/>
          <w:szCs w:val="22"/>
        </w:rPr>
        <w:t>PA</w:t>
      </w:r>
      <w:r w:rsidRPr="00654937">
        <w:rPr>
          <w:rFonts w:ascii="Arial" w:hAnsi="Arial" w:cs="Arial"/>
          <w:sz w:val="22"/>
          <w:szCs w:val="22"/>
        </w:rPr>
        <w:t xml:space="preserve"> </w:t>
      </w:r>
    </w:p>
    <w:p w14:paraId="121BEBC9" w14:textId="77777777" w:rsidR="00654937" w:rsidRPr="00654937" w:rsidRDefault="00654937" w:rsidP="00814A17">
      <w:pPr>
        <w:pStyle w:val="Default"/>
        <w:numPr>
          <w:ilvl w:val="0"/>
          <w:numId w:val="5"/>
        </w:numPr>
        <w:spacing w:line="276" w:lineRule="auto"/>
        <w:ind w:left="540" w:hanging="270"/>
        <w:rPr>
          <w:rFonts w:ascii="Arial" w:hAnsi="Arial" w:cs="Arial"/>
          <w:sz w:val="22"/>
          <w:szCs w:val="22"/>
        </w:rPr>
      </w:pPr>
      <w:proofErr w:type="spellStart"/>
      <w:r w:rsidRPr="00654937">
        <w:rPr>
          <w:rFonts w:ascii="Arial" w:hAnsi="Arial" w:cs="Arial"/>
          <w:sz w:val="22"/>
          <w:szCs w:val="22"/>
        </w:rPr>
        <w:t>Xywav</w:t>
      </w:r>
      <w:proofErr w:type="spellEnd"/>
      <w:r w:rsidRPr="00654937">
        <w:rPr>
          <w:rFonts w:ascii="Arial" w:hAnsi="Arial" w:cs="Arial"/>
          <w:sz w:val="22"/>
          <w:szCs w:val="22"/>
        </w:rPr>
        <w:t xml:space="preserve"> (calcium </w:t>
      </w:r>
      <w:proofErr w:type="spellStart"/>
      <w:r w:rsidRPr="00654937">
        <w:rPr>
          <w:rFonts w:ascii="Arial" w:hAnsi="Arial" w:cs="Arial"/>
          <w:sz w:val="22"/>
          <w:szCs w:val="22"/>
        </w:rPr>
        <w:t>oxybate</w:t>
      </w:r>
      <w:proofErr w:type="spellEnd"/>
      <w:r w:rsidRPr="00654937">
        <w:rPr>
          <w:rFonts w:ascii="Arial" w:hAnsi="Arial" w:cs="Arial"/>
          <w:sz w:val="22"/>
          <w:szCs w:val="22"/>
        </w:rPr>
        <w:t xml:space="preserve">/magnesium </w:t>
      </w:r>
      <w:proofErr w:type="spellStart"/>
      <w:r w:rsidRPr="00654937">
        <w:rPr>
          <w:rFonts w:ascii="Arial" w:hAnsi="Arial" w:cs="Arial"/>
          <w:sz w:val="22"/>
          <w:szCs w:val="22"/>
        </w:rPr>
        <w:t>oxybate</w:t>
      </w:r>
      <w:proofErr w:type="spellEnd"/>
      <w:r w:rsidRPr="00654937">
        <w:rPr>
          <w:rFonts w:ascii="Arial" w:hAnsi="Arial" w:cs="Arial"/>
          <w:sz w:val="22"/>
          <w:szCs w:val="22"/>
        </w:rPr>
        <w:t>/</w:t>
      </w:r>
      <w:r w:rsidR="00BC2A71">
        <w:rPr>
          <w:rFonts w:ascii="Arial" w:hAnsi="Arial" w:cs="Arial"/>
          <w:sz w:val="22"/>
          <w:szCs w:val="22"/>
        </w:rPr>
        <w:t xml:space="preserve"> </w:t>
      </w:r>
      <w:r w:rsidRPr="00654937">
        <w:rPr>
          <w:rFonts w:ascii="Arial" w:hAnsi="Arial" w:cs="Arial"/>
          <w:sz w:val="22"/>
          <w:szCs w:val="22"/>
        </w:rPr>
        <w:t xml:space="preserve">potassium </w:t>
      </w:r>
      <w:proofErr w:type="spellStart"/>
      <w:r w:rsidRPr="00654937">
        <w:rPr>
          <w:rFonts w:ascii="Arial" w:hAnsi="Arial" w:cs="Arial"/>
          <w:sz w:val="22"/>
          <w:szCs w:val="22"/>
        </w:rPr>
        <w:t>oxybate</w:t>
      </w:r>
      <w:proofErr w:type="spellEnd"/>
      <w:r w:rsidRPr="00654937">
        <w:rPr>
          <w:rFonts w:ascii="Arial" w:hAnsi="Arial" w:cs="Arial"/>
          <w:sz w:val="22"/>
          <w:szCs w:val="22"/>
        </w:rPr>
        <w:t xml:space="preserve">/sodium </w:t>
      </w:r>
      <w:proofErr w:type="spellStart"/>
      <w:r w:rsidRPr="00654937">
        <w:rPr>
          <w:rFonts w:ascii="Arial" w:hAnsi="Arial" w:cs="Arial"/>
          <w:sz w:val="22"/>
          <w:szCs w:val="22"/>
        </w:rPr>
        <w:t>oxybate</w:t>
      </w:r>
      <w:proofErr w:type="spellEnd"/>
      <w:r w:rsidRPr="00654937">
        <w:rPr>
          <w:rFonts w:ascii="Arial" w:hAnsi="Arial" w:cs="Arial"/>
          <w:sz w:val="22"/>
          <w:szCs w:val="22"/>
        </w:rPr>
        <w:t xml:space="preserve">) – </w:t>
      </w:r>
      <w:r w:rsidRPr="00654937">
        <w:rPr>
          <w:rFonts w:ascii="Arial" w:hAnsi="Arial" w:cs="Arial"/>
          <w:b/>
          <w:sz w:val="22"/>
          <w:szCs w:val="22"/>
        </w:rPr>
        <w:t>PA</w:t>
      </w:r>
      <w:r w:rsidRPr="00654937">
        <w:rPr>
          <w:rFonts w:ascii="Arial" w:hAnsi="Arial" w:cs="Arial"/>
          <w:sz w:val="22"/>
          <w:szCs w:val="22"/>
        </w:rPr>
        <w:t xml:space="preserve"> </w:t>
      </w:r>
    </w:p>
    <w:p w14:paraId="543127AE" w14:textId="77777777" w:rsidR="00654937" w:rsidRPr="00654937" w:rsidRDefault="00654937" w:rsidP="00814A17">
      <w:pPr>
        <w:pStyle w:val="Default"/>
        <w:numPr>
          <w:ilvl w:val="0"/>
          <w:numId w:val="5"/>
        </w:numPr>
        <w:spacing w:line="276" w:lineRule="auto"/>
        <w:ind w:left="540" w:hanging="270"/>
        <w:rPr>
          <w:rFonts w:ascii="Arial" w:hAnsi="Arial" w:cs="Arial"/>
          <w:b/>
          <w:sz w:val="22"/>
          <w:szCs w:val="22"/>
        </w:rPr>
      </w:pPr>
      <w:proofErr w:type="spellStart"/>
      <w:r w:rsidRPr="00DD39FC">
        <w:rPr>
          <w:rFonts w:ascii="Arial" w:hAnsi="Arial" w:cs="Arial"/>
          <w:sz w:val="22"/>
          <w:szCs w:val="22"/>
        </w:rPr>
        <w:t>Zepzelca</w:t>
      </w:r>
      <w:proofErr w:type="spellEnd"/>
      <w:r w:rsidRPr="00DD39FC">
        <w:rPr>
          <w:rFonts w:ascii="Arial" w:hAnsi="Arial" w:cs="Arial"/>
          <w:sz w:val="22"/>
          <w:szCs w:val="22"/>
        </w:rPr>
        <w:t xml:space="preserve"> (</w:t>
      </w:r>
      <w:proofErr w:type="spellStart"/>
      <w:r w:rsidRPr="00DD39FC">
        <w:rPr>
          <w:rFonts w:ascii="Arial" w:hAnsi="Arial" w:cs="Arial"/>
          <w:sz w:val="22"/>
          <w:szCs w:val="22"/>
        </w:rPr>
        <w:t>lurbinectedin</w:t>
      </w:r>
      <w:proofErr w:type="spellEnd"/>
      <w:r w:rsidRPr="00DD39FC">
        <w:rPr>
          <w:rFonts w:ascii="Arial" w:hAnsi="Arial" w:cs="Arial"/>
          <w:sz w:val="22"/>
          <w:szCs w:val="22"/>
        </w:rPr>
        <w:t>)</w:t>
      </w:r>
      <w:r w:rsidRPr="00654937">
        <w:rPr>
          <w:rFonts w:ascii="Arial" w:hAnsi="Arial" w:cs="Arial"/>
          <w:b/>
          <w:sz w:val="22"/>
          <w:szCs w:val="22"/>
        </w:rPr>
        <w:t xml:space="preserve"> – PA </w:t>
      </w:r>
    </w:p>
    <w:p w14:paraId="7CCC17BF" w14:textId="77777777" w:rsidR="00F72340" w:rsidRPr="00A22C0B" w:rsidRDefault="00654937" w:rsidP="00814A17">
      <w:pPr>
        <w:pStyle w:val="Default"/>
        <w:numPr>
          <w:ilvl w:val="0"/>
          <w:numId w:val="5"/>
        </w:numPr>
        <w:spacing w:line="276" w:lineRule="auto"/>
        <w:ind w:left="540" w:hanging="270"/>
        <w:rPr>
          <w:rFonts w:ascii="Arial" w:hAnsi="Arial" w:cs="Arial"/>
          <w:b/>
          <w:sz w:val="22"/>
          <w:szCs w:val="22"/>
        </w:rPr>
      </w:pPr>
      <w:proofErr w:type="spellStart"/>
      <w:r w:rsidRPr="00DD39FC">
        <w:rPr>
          <w:rFonts w:ascii="Arial" w:hAnsi="Arial" w:cs="Arial"/>
          <w:sz w:val="22"/>
          <w:szCs w:val="22"/>
        </w:rPr>
        <w:t>Zilxi</w:t>
      </w:r>
      <w:proofErr w:type="spellEnd"/>
      <w:r w:rsidRPr="00DD39FC">
        <w:rPr>
          <w:rFonts w:ascii="Arial" w:hAnsi="Arial" w:cs="Arial"/>
          <w:sz w:val="22"/>
          <w:szCs w:val="22"/>
        </w:rPr>
        <w:t xml:space="preserve"> (minocycline 1.5% foam)</w:t>
      </w:r>
      <w:r w:rsidRPr="00654937">
        <w:rPr>
          <w:rFonts w:ascii="Arial" w:hAnsi="Arial" w:cs="Arial"/>
          <w:b/>
          <w:sz w:val="22"/>
          <w:szCs w:val="22"/>
        </w:rPr>
        <w:t xml:space="preserve"> – P</w:t>
      </w:r>
      <w:r w:rsidR="00A22C0B">
        <w:rPr>
          <w:rFonts w:ascii="Arial" w:hAnsi="Arial" w:cs="Arial"/>
          <w:b/>
          <w:sz w:val="22"/>
          <w:szCs w:val="22"/>
        </w:rPr>
        <w:t>A</w:t>
      </w:r>
    </w:p>
    <w:p w14:paraId="3CB7FCEA" w14:textId="77777777" w:rsidR="00F72340" w:rsidRPr="00A22C0B" w:rsidRDefault="00F72340" w:rsidP="00A22C0B">
      <w:pPr>
        <w:rPr>
          <w:rFonts w:ascii="Arial" w:hAnsi="Arial" w:cs="Arial"/>
          <w:sz w:val="4"/>
          <w:szCs w:val="22"/>
        </w:rPr>
      </w:pPr>
    </w:p>
    <w:p w14:paraId="796E60AA" w14:textId="77777777" w:rsidR="00F72340" w:rsidRPr="00F72340" w:rsidRDefault="00F72340" w:rsidP="0092757F">
      <w:pPr>
        <w:spacing w:before="160"/>
        <w:ind w:left="274" w:hanging="274"/>
        <w:rPr>
          <w:rFonts w:ascii="Arial" w:hAnsi="Arial" w:cs="Arial"/>
          <w:sz w:val="22"/>
          <w:szCs w:val="22"/>
        </w:rPr>
      </w:pPr>
      <w:r w:rsidRPr="00F72340">
        <w:rPr>
          <w:rFonts w:ascii="Arial" w:hAnsi="Arial" w:cs="Arial"/>
          <w:sz w:val="22"/>
          <w:szCs w:val="22"/>
        </w:rPr>
        <w:t>b.</w:t>
      </w:r>
      <w:r w:rsidRPr="00F72340">
        <w:rPr>
          <w:rFonts w:ascii="Arial" w:hAnsi="Arial" w:cs="Arial"/>
          <w:sz w:val="22"/>
          <w:szCs w:val="22"/>
        </w:rPr>
        <w:tab/>
      </w:r>
      <w:r w:rsidR="00A22C0B" w:rsidRPr="00447D23">
        <w:rPr>
          <w:rFonts w:ascii="Arial" w:hAnsi="Arial" w:cs="Arial"/>
          <w:sz w:val="22"/>
          <w:szCs w:val="22"/>
        </w:rPr>
        <w:t xml:space="preserve">Effective for the date listed below, the following COVID-19 </w:t>
      </w:r>
      <w:r w:rsidR="00A22C0B">
        <w:rPr>
          <w:rFonts w:ascii="Arial" w:hAnsi="Arial" w:cs="Arial"/>
          <w:sz w:val="22"/>
          <w:szCs w:val="22"/>
        </w:rPr>
        <w:t>treatment</w:t>
      </w:r>
      <w:r w:rsidR="00A22C0B" w:rsidRPr="00447D23">
        <w:rPr>
          <w:rFonts w:ascii="Arial" w:hAnsi="Arial" w:cs="Arial"/>
          <w:sz w:val="22"/>
          <w:szCs w:val="22"/>
        </w:rPr>
        <w:t xml:space="preserve"> therapy has been added to the MassHealth Drug List on February</w:t>
      </w:r>
      <w:r w:rsidR="00A22C0B">
        <w:rPr>
          <w:rFonts w:ascii="Arial" w:hAnsi="Arial" w:cs="Arial"/>
          <w:sz w:val="22"/>
          <w:szCs w:val="22"/>
        </w:rPr>
        <w:t xml:space="preserve"> 24</w:t>
      </w:r>
      <w:r w:rsidR="00A22C0B" w:rsidRPr="00447D23">
        <w:rPr>
          <w:rFonts w:ascii="Arial" w:hAnsi="Arial" w:cs="Arial"/>
          <w:sz w:val="22"/>
          <w:szCs w:val="22"/>
        </w:rPr>
        <w:t>, 2021.</w:t>
      </w:r>
    </w:p>
    <w:p w14:paraId="1A7F5AC9" w14:textId="77777777" w:rsidR="00F72340" w:rsidRPr="0092757F" w:rsidRDefault="00F818DF" w:rsidP="00814A17">
      <w:pPr>
        <w:pStyle w:val="ListParagraph"/>
        <w:numPr>
          <w:ilvl w:val="1"/>
          <w:numId w:val="14"/>
        </w:numPr>
        <w:ind w:left="540" w:hanging="270"/>
        <w:rPr>
          <w:rFonts w:ascii="Arial" w:hAnsi="Arial" w:cs="Arial"/>
          <w:sz w:val="22"/>
          <w:szCs w:val="22"/>
        </w:rPr>
      </w:pPr>
      <w:proofErr w:type="spellStart"/>
      <w:r w:rsidRPr="0092757F">
        <w:rPr>
          <w:rFonts w:ascii="Arial" w:hAnsi="Arial" w:cs="Arial"/>
          <w:sz w:val="22"/>
          <w:szCs w:val="22"/>
        </w:rPr>
        <w:t>etesevimab</w:t>
      </w:r>
      <w:proofErr w:type="spellEnd"/>
      <w:r w:rsidRPr="0092757F">
        <w:rPr>
          <w:rFonts w:ascii="Arial" w:hAnsi="Arial" w:cs="Arial"/>
          <w:sz w:val="22"/>
          <w:szCs w:val="22"/>
        </w:rPr>
        <w:t xml:space="preserve"> (COVID EUA – February 9, 2021)</w:t>
      </w:r>
    </w:p>
    <w:p w14:paraId="22CAA2C5" w14:textId="77777777" w:rsidR="00F72340" w:rsidRPr="00F72340" w:rsidRDefault="00F818DF" w:rsidP="0092757F">
      <w:pPr>
        <w:spacing w:before="80"/>
        <w:ind w:left="274" w:hanging="274"/>
        <w:rPr>
          <w:rFonts w:ascii="Arial" w:hAnsi="Arial" w:cs="Arial"/>
          <w:sz w:val="22"/>
          <w:szCs w:val="22"/>
        </w:rPr>
      </w:pPr>
      <w:r>
        <w:rPr>
          <w:rFonts w:ascii="Arial" w:hAnsi="Arial" w:cs="Arial"/>
          <w:sz w:val="22"/>
          <w:szCs w:val="22"/>
        </w:rPr>
        <w:t xml:space="preserve">c. </w:t>
      </w:r>
      <w:r w:rsidR="00A468A4">
        <w:rPr>
          <w:rFonts w:ascii="Arial" w:hAnsi="Arial" w:cs="Arial"/>
          <w:sz w:val="22"/>
          <w:szCs w:val="22"/>
        </w:rPr>
        <w:t xml:space="preserve"> </w:t>
      </w:r>
      <w:r w:rsidRPr="00F818DF">
        <w:rPr>
          <w:rFonts w:ascii="Arial" w:hAnsi="Arial" w:cs="Arial"/>
          <w:sz w:val="22"/>
          <w:szCs w:val="22"/>
        </w:rPr>
        <w:t xml:space="preserve">Effective for the date listed below, the following COVID-19 preventative therapy has been added to the MassHealth Drug List on March 8, 2021. </w:t>
      </w:r>
    </w:p>
    <w:p w14:paraId="52D3198F" w14:textId="267A6B24" w:rsidR="00F72340" w:rsidRDefault="00A468A4" w:rsidP="00814A17">
      <w:pPr>
        <w:pStyle w:val="ListParagraph"/>
        <w:numPr>
          <w:ilvl w:val="0"/>
          <w:numId w:val="13"/>
        </w:numPr>
        <w:ind w:left="540" w:hanging="270"/>
        <w:rPr>
          <w:rFonts w:ascii="Arial" w:hAnsi="Arial" w:cs="Arial"/>
          <w:sz w:val="22"/>
          <w:szCs w:val="22"/>
        </w:rPr>
      </w:pPr>
      <w:r w:rsidRPr="0092757F">
        <w:rPr>
          <w:rFonts w:ascii="Arial" w:hAnsi="Arial" w:cs="Arial"/>
          <w:sz w:val="22"/>
          <w:szCs w:val="22"/>
        </w:rPr>
        <w:t>Janssen COVID-19 Vaccine (COVID EUA – February 27, 2021)</w:t>
      </w:r>
    </w:p>
    <w:p w14:paraId="0788736C" w14:textId="77777777" w:rsidR="00A468A4" w:rsidRPr="00905C46" w:rsidRDefault="00A468A4" w:rsidP="00AD75CA">
      <w:pPr>
        <w:pStyle w:val="Heading3"/>
      </w:pPr>
      <w:r>
        <w:t>Change in Prior-Authorization Status</w:t>
      </w:r>
    </w:p>
    <w:p w14:paraId="18C09C00" w14:textId="77777777" w:rsidR="00C233CA" w:rsidRPr="00C233CA" w:rsidRDefault="00C233CA" w:rsidP="00814A17">
      <w:pPr>
        <w:numPr>
          <w:ilvl w:val="0"/>
          <w:numId w:val="1"/>
        </w:numPr>
        <w:autoSpaceDE w:val="0"/>
        <w:autoSpaceDN w:val="0"/>
        <w:adjustRightInd w:val="0"/>
        <w:spacing w:line="276" w:lineRule="auto"/>
        <w:ind w:left="270" w:hanging="270"/>
        <w:rPr>
          <w:rFonts w:ascii="Arial" w:hAnsi="Arial" w:cs="Arial"/>
          <w:color w:val="000000"/>
          <w:sz w:val="22"/>
          <w:szCs w:val="22"/>
        </w:rPr>
      </w:pPr>
      <w:r w:rsidRPr="00C233CA">
        <w:rPr>
          <w:rFonts w:ascii="Arial" w:hAnsi="Arial" w:cs="Arial"/>
          <w:color w:val="000000"/>
          <w:sz w:val="22"/>
          <w:szCs w:val="22"/>
        </w:rPr>
        <w:t xml:space="preserve">Effective March 22, 2021, the following acne and rosacea agent will no longer require </w:t>
      </w:r>
      <w:r w:rsidRPr="00C233CA">
        <w:rPr>
          <w:rFonts w:ascii="Arial" w:hAnsi="Arial" w:cs="Arial"/>
          <w:sz w:val="22"/>
          <w:szCs w:val="22"/>
        </w:rPr>
        <w:t>prior authorization.</w:t>
      </w:r>
    </w:p>
    <w:p w14:paraId="302D7475" w14:textId="77777777" w:rsidR="00C233CA" w:rsidRPr="00C233CA" w:rsidRDefault="00C233CA" w:rsidP="00814A17">
      <w:pPr>
        <w:numPr>
          <w:ilvl w:val="0"/>
          <w:numId w:val="6"/>
        </w:numPr>
        <w:autoSpaceDE w:val="0"/>
        <w:autoSpaceDN w:val="0"/>
        <w:adjustRightInd w:val="0"/>
        <w:spacing w:line="276" w:lineRule="auto"/>
        <w:ind w:left="540" w:hanging="270"/>
        <w:rPr>
          <w:rFonts w:ascii="Arial" w:hAnsi="Arial" w:cs="Arial"/>
          <w:color w:val="000000"/>
          <w:sz w:val="22"/>
          <w:szCs w:val="22"/>
        </w:rPr>
      </w:pPr>
      <w:proofErr w:type="spellStart"/>
      <w:r w:rsidRPr="00C233CA">
        <w:rPr>
          <w:rFonts w:ascii="Arial" w:hAnsi="Arial" w:cs="Arial"/>
          <w:color w:val="000000"/>
          <w:sz w:val="22"/>
          <w:szCs w:val="22"/>
        </w:rPr>
        <w:t>Noritate</w:t>
      </w:r>
      <w:proofErr w:type="spellEnd"/>
      <w:r w:rsidRPr="00C233CA">
        <w:rPr>
          <w:rFonts w:ascii="Arial" w:hAnsi="Arial" w:cs="Arial"/>
          <w:color w:val="000000"/>
          <w:sz w:val="22"/>
          <w:szCs w:val="22"/>
        </w:rPr>
        <w:t xml:space="preserve"> (metronidazole 1% cream)</w:t>
      </w:r>
    </w:p>
    <w:p w14:paraId="5AD978C8" w14:textId="77777777" w:rsidR="00A468A4" w:rsidRPr="00C233CA" w:rsidRDefault="00C233CA" w:rsidP="00814A17">
      <w:pPr>
        <w:pStyle w:val="ListParagraph"/>
        <w:numPr>
          <w:ilvl w:val="0"/>
          <w:numId w:val="1"/>
        </w:numPr>
        <w:autoSpaceDE w:val="0"/>
        <w:autoSpaceDN w:val="0"/>
        <w:adjustRightInd w:val="0"/>
        <w:spacing w:before="80"/>
        <w:ind w:left="274" w:hanging="274"/>
        <w:rPr>
          <w:rFonts w:ascii="Arial" w:hAnsi="Arial" w:cs="Arial"/>
          <w:color w:val="000000"/>
          <w:sz w:val="22"/>
          <w:szCs w:val="22"/>
          <w:lang w:val="fr-FR"/>
        </w:rPr>
      </w:pPr>
      <w:r>
        <w:rPr>
          <w:rFonts w:ascii="Arial" w:hAnsi="Arial" w:cs="Arial"/>
          <w:color w:val="000000"/>
          <w:sz w:val="22"/>
          <w:szCs w:val="22"/>
          <w:lang w:val="fr-FR"/>
        </w:rPr>
        <w:t xml:space="preserve">Effective March 22, 2021, the </w:t>
      </w:r>
      <w:proofErr w:type="spellStart"/>
      <w:r>
        <w:rPr>
          <w:rFonts w:ascii="Arial" w:hAnsi="Arial" w:cs="Arial"/>
          <w:color w:val="000000"/>
          <w:sz w:val="22"/>
          <w:szCs w:val="22"/>
          <w:lang w:val="fr-FR"/>
        </w:rPr>
        <w:t>following</w:t>
      </w:r>
      <w:proofErr w:type="spellEnd"/>
      <w:r>
        <w:rPr>
          <w:rFonts w:ascii="Arial" w:hAnsi="Arial" w:cs="Arial"/>
          <w:color w:val="000000"/>
          <w:sz w:val="22"/>
          <w:szCs w:val="22"/>
          <w:lang w:val="fr-FR"/>
        </w:rPr>
        <w:t xml:space="preserve"> NSAID agent </w:t>
      </w:r>
      <w:proofErr w:type="spellStart"/>
      <w:r>
        <w:rPr>
          <w:rFonts w:ascii="Arial" w:hAnsi="Arial" w:cs="Arial"/>
          <w:color w:val="000000"/>
          <w:sz w:val="22"/>
          <w:szCs w:val="22"/>
          <w:lang w:val="fr-FR"/>
        </w:rPr>
        <w:t>will</w:t>
      </w:r>
      <w:proofErr w:type="spellEnd"/>
      <w:r>
        <w:rPr>
          <w:rFonts w:ascii="Arial" w:hAnsi="Arial" w:cs="Arial"/>
          <w:color w:val="000000"/>
          <w:sz w:val="22"/>
          <w:szCs w:val="22"/>
          <w:lang w:val="fr-FR"/>
        </w:rPr>
        <w:t xml:space="preserve"> no longer </w:t>
      </w:r>
      <w:proofErr w:type="spellStart"/>
      <w:r>
        <w:rPr>
          <w:rFonts w:ascii="Arial" w:hAnsi="Arial" w:cs="Arial"/>
          <w:color w:val="000000"/>
          <w:sz w:val="22"/>
          <w:szCs w:val="22"/>
          <w:lang w:val="fr-FR"/>
        </w:rPr>
        <w:t>require</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prior</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authorization</w:t>
      </w:r>
      <w:proofErr w:type="spellEnd"/>
      <w:r>
        <w:rPr>
          <w:rFonts w:ascii="Arial" w:hAnsi="Arial" w:cs="Arial"/>
          <w:color w:val="000000"/>
          <w:sz w:val="22"/>
          <w:szCs w:val="22"/>
          <w:lang w:val="fr-FR"/>
        </w:rPr>
        <w:t>.</w:t>
      </w:r>
    </w:p>
    <w:p w14:paraId="63FB670C" w14:textId="77777777" w:rsidR="00C233CA" w:rsidRPr="00A37D0D" w:rsidRDefault="00C233CA" w:rsidP="00814A17">
      <w:pPr>
        <w:pStyle w:val="Default"/>
        <w:numPr>
          <w:ilvl w:val="1"/>
          <w:numId w:val="1"/>
        </w:numPr>
        <w:spacing w:line="276" w:lineRule="auto"/>
        <w:ind w:left="540" w:hanging="270"/>
        <w:rPr>
          <w:rFonts w:ascii="Arial" w:hAnsi="Arial" w:cs="Arial"/>
          <w:sz w:val="22"/>
          <w:szCs w:val="22"/>
        </w:rPr>
      </w:pPr>
      <w:proofErr w:type="spellStart"/>
      <w:r w:rsidRPr="00A37D0D">
        <w:rPr>
          <w:rFonts w:ascii="Arial" w:hAnsi="Arial" w:cs="Arial"/>
          <w:sz w:val="22"/>
          <w:szCs w:val="22"/>
        </w:rPr>
        <w:t>Pennsaid</w:t>
      </w:r>
      <w:proofErr w:type="spellEnd"/>
      <w:r w:rsidRPr="00A37D0D">
        <w:rPr>
          <w:rFonts w:ascii="Arial" w:hAnsi="Arial" w:cs="Arial"/>
          <w:sz w:val="22"/>
          <w:szCs w:val="22"/>
        </w:rPr>
        <w:t xml:space="preserve"> (diclofenac topical solution)</w:t>
      </w:r>
    </w:p>
    <w:p w14:paraId="3EAD21C2" w14:textId="77777777" w:rsidR="00A468A4" w:rsidRDefault="00C233CA" w:rsidP="00BC2A71">
      <w:pPr>
        <w:autoSpaceDE w:val="0"/>
        <w:autoSpaceDN w:val="0"/>
        <w:adjustRightInd w:val="0"/>
        <w:spacing w:before="80"/>
        <w:ind w:left="274" w:hanging="274"/>
        <w:rPr>
          <w:rFonts w:ascii="Arial" w:hAnsi="Arial" w:cs="Arial"/>
          <w:sz w:val="22"/>
          <w:szCs w:val="22"/>
        </w:rPr>
      </w:pPr>
      <w:r w:rsidRPr="00C233CA">
        <w:rPr>
          <w:rFonts w:ascii="Arial" w:hAnsi="Arial" w:cs="Arial"/>
          <w:color w:val="000000"/>
          <w:sz w:val="22"/>
          <w:szCs w:val="22"/>
        </w:rPr>
        <w:t>c.</w:t>
      </w:r>
      <w:r w:rsidRPr="00C233CA">
        <w:rPr>
          <w:rFonts w:ascii="Arial" w:hAnsi="Arial" w:cs="Arial"/>
          <w:color w:val="000000"/>
          <w:sz w:val="22"/>
          <w:szCs w:val="22"/>
        </w:rPr>
        <w:tab/>
        <w:t xml:space="preserve">Effective March 22, 2021, the following benzodiazepine will no longer require prior authorization within newly established quantity limits. Pediatric Behavioral Health Medication Initiative criteria will still apply. For additional information, please see the </w:t>
      </w:r>
      <w:r>
        <w:rPr>
          <w:rFonts w:ascii="Arial" w:hAnsi="Arial" w:cs="Arial"/>
          <w:color w:val="000000"/>
          <w:sz w:val="22"/>
          <w:szCs w:val="22"/>
        </w:rPr>
        <w:t xml:space="preserve">Pediatric </w:t>
      </w:r>
      <w:r w:rsidR="00A468A4">
        <w:rPr>
          <w:rFonts w:ascii="Arial" w:hAnsi="Arial" w:cs="Arial"/>
          <w:sz w:val="22"/>
          <w:szCs w:val="22"/>
        </w:rPr>
        <w:t>B</w:t>
      </w:r>
      <w:r>
        <w:rPr>
          <w:rFonts w:ascii="Arial" w:hAnsi="Arial" w:cs="Arial"/>
          <w:sz w:val="22"/>
          <w:szCs w:val="22"/>
        </w:rPr>
        <w:t xml:space="preserve">ehavioral Health Medication Initiative documents found at </w:t>
      </w:r>
      <w:hyperlink r:id="rId22" w:history="1">
        <w:r w:rsidR="0076788E" w:rsidRPr="00EB3514">
          <w:rPr>
            <w:rStyle w:val="Hyperlink"/>
            <w:rFonts w:ascii="Arial" w:hAnsi="Arial" w:cs="Arial"/>
            <w:sz w:val="22"/>
            <w:szCs w:val="22"/>
          </w:rPr>
          <w:t>www.mass.gov/druglist</w:t>
        </w:r>
      </w:hyperlink>
    </w:p>
    <w:p w14:paraId="12F4E69F" w14:textId="77777777" w:rsidR="00E26271" w:rsidRPr="00E26271" w:rsidRDefault="00E26271" w:rsidP="00814A17">
      <w:pPr>
        <w:pStyle w:val="ListParagraph"/>
        <w:numPr>
          <w:ilvl w:val="0"/>
          <w:numId w:val="3"/>
        </w:numPr>
        <w:ind w:left="540" w:hanging="270"/>
        <w:rPr>
          <w:rFonts w:ascii="Arial" w:hAnsi="Arial" w:cs="Arial"/>
          <w:sz w:val="22"/>
          <w:szCs w:val="22"/>
        </w:rPr>
      </w:pPr>
      <w:r w:rsidRPr="00E26271">
        <w:rPr>
          <w:rFonts w:ascii="Arial" w:hAnsi="Arial" w:cs="Arial"/>
          <w:sz w:val="22"/>
          <w:szCs w:val="22"/>
        </w:rPr>
        <w:t xml:space="preserve">clonazepam 2 mg orally disintegrating tablet – </w:t>
      </w:r>
      <w:r w:rsidRPr="00E26271">
        <w:rPr>
          <w:rFonts w:ascii="Arial" w:hAnsi="Arial" w:cs="Arial"/>
          <w:b/>
          <w:sz w:val="22"/>
          <w:szCs w:val="22"/>
        </w:rPr>
        <w:t>PA &lt; 6 years and PA &gt; 2 units/day</w:t>
      </w:r>
      <w:r w:rsidRPr="00E26271">
        <w:rPr>
          <w:rFonts w:ascii="Arial" w:hAnsi="Arial" w:cs="Arial"/>
          <w:sz w:val="22"/>
          <w:szCs w:val="22"/>
        </w:rPr>
        <w:t xml:space="preserve"> </w:t>
      </w:r>
    </w:p>
    <w:p w14:paraId="58401EC1" w14:textId="77777777" w:rsidR="00A468A4" w:rsidRPr="00BE1214" w:rsidRDefault="00E26271" w:rsidP="00814A17">
      <w:pPr>
        <w:numPr>
          <w:ilvl w:val="0"/>
          <w:numId w:val="7"/>
        </w:numPr>
        <w:autoSpaceDE w:val="0"/>
        <w:autoSpaceDN w:val="0"/>
        <w:adjustRightInd w:val="0"/>
        <w:spacing w:before="80" w:line="276" w:lineRule="auto"/>
        <w:ind w:left="274" w:hanging="274"/>
        <w:rPr>
          <w:rFonts w:ascii="Arial" w:hAnsi="Arial" w:cs="Arial"/>
          <w:color w:val="000000"/>
          <w:sz w:val="22"/>
          <w:szCs w:val="22"/>
          <w:lang w:val="fr-FR"/>
        </w:rPr>
      </w:pPr>
      <w:r>
        <w:rPr>
          <w:rFonts w:ascii="Arial" w:hAnsi="Arial" w:cs="Arial"/>
          <w:color w:val="000000"/>
          <w:sz w:val="22"/>
          <w:szCs w:val="22"/>
          <w:lang w:val="fr-FR"/>
        </w:rPr>
        <w:t xml:space="preserve">Effective March 22, 2021, the </w:t>
      </w:r>
      <w:proofErr w:type="spellStart"/>
      <w:r>
        <w:rPr>
          <w:rFonts w:ascii="Arial" w:hAnsi="Arial" w:cs="Arial"/>
          <w:color w:val="000000"/>
          <w:sz w:val="22"/>
          <w:szCs w:val="22"/>
          <w:lang w:val="fr-FR"/>
        </w:rPr>
        <w:t>following</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antiparkinson</w:t>
      </w:r>
      <w:proofErr w:type="spellEnd"/>
      <w:r>
        <w:rPr>
          <w:rFonts w:ascii="Arial" w:hAnsi="Arial" w:cs="Arial"/>
          <w:color w:val="000000"/>
          <w:sz w:val="22"/>
          <w:szCs w:val="22"/>
          <w:lang w:val="fr-FR"/>
        </w:rPr>
        <w:t xml:space="preserve"> agents </w:t>
      </w:r>
      <w:proofErr w:type="spellStart"/>
      <w:r>
        <w:rPr>
          <w:rFonts w:ascii="Arial" w:hAnsi="Arial" w:cs="Arial"/>
          <w:color w:val="000000"/>
          <w:sz w:val="22"/>
          <w:szCs w:val="22"/>
          <w:lang w:val="fr-FR"/>
        </w:rPr>
        <w:t>will</w:t>
      </w:r>
      <w:proofErr w:type="spellEnd"/>
      <w:r>
        <w:rPr>
          <w:rFonts w:ascii="Arial" w:hAnsi="Arial" w:cs="Arial"/>
          <w:color w:val="000000"/>
          <w:sz w:val="22"/>
          <w:szCs w:val="22"/>
          <w:lang w:val="fr-FR"/>
        </w:rPr>
        <w:t xml:space="preserve"> no longer </w:t>
      </w:r>
      <w:proofErr w:type="spellStart"/>
      <w:r>
        <w:rPr>
          <w:rFonts w:ascii="Arial" w:hAnsi="Arial" w:cs="Arial"/>
          <w:color w:val="000000"/>
          <w:sz w:val="22"/>
          <w:szCs w:val="22"/>
          <w:lang w:val="fr-FR"/>
        </w:rPr>
        <w:t>require</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prior</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authorization</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within</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quantity</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limits</w:t>
      </w:r>
      <w:proofErr w:type="spellEnd"/>
      <w:r>
        <w:rPr>
          <w:rFonts w:ascii="Arial" w:hAnsi="Arial" w:cs="Arial"/>
          <w:color w:val="000000"/>
          <w:sz w:val="22"/>
          <w:szCs w:val="22"/>
          <w:lang w:val="fr-FR"/>
        </w:rPr>
        <w:t>.</w:t>
      </w:r>
      <w:r w:rsidR="00A468A4" w:rsidRPr="00BE1214">
        <w:rPr>
          <w:rFonts w:ascii="Arial" w:hAnsi="Arial" w:cs="Arial"/>
          <w:color w:val="000000"/>
          <w:sz w:val="22"/>
          <w:szCs w:val="22"/>
          <w:lang w:val="fr-FR"/>
        </w:rPr>
        <w:t xml:space="preserve"> </w:t>
      </w:r>
    </w:p>
    <w:p w14:paraId="2EE8A669" w14:textId="77777777" w:rsidR="00E26271" w:rsidRPr="00E26271" w:rsidRDefault="00E26271" w:rsidP="00814A17">
      <w:pPr>
        <w:numPr>
          <w:ilvl w:val="0"/>
          <w:numId w:val="3"/>
        </w:numPr>
        <w:autoSpaceDE w:val="0"/>
        <w:autoSpaceDN w:val="0"/>
        <w:adjustRightInd w:val="0"/>
        <w:spacing w:line="276" w:lineRule="auto"/>
        <w:ind w:left="540" w:hanging="270"/>
        <w:rPr>
          <w:rFonts w:ascii="Arial" w:hAnsi="Arial" w:cs="Arial"/>
          <w:sz w:val="22"/>
          <w:szCs w:val="22"/>
        </w:rPr>
      </w:pPr>
      <w:proofErr w:type="spellStart"/>
      <w:r>
        <w:rPr>
          <w:rFonts w:ascii="Arial" w:hAnsi="Arial" w:cs="Arial"/>
          <w:sz w:val="22"/>
          <w:szCs w:val="22"/>
        </w:rPr>
        <w:t>Azilect</w:t>
      </w:r>
      <w:proofErr w:type="spellEnd"/>
      <w:r>
        <w:rPr>
          <w:rFonts w:ascii="Arial" w:hAnsi="Arial" w:cs="Arial"/>
          <w:sz w:val="22"/>
          <w:szCs w:val="22"/>
        </w:rPr>
        <w:t xml:space="preserve"> (</w:t>
      </w:r>
      <w:proofErr w:type="spellStart"/>
      <w:r>
        <w:rPr>
          <w:rFonts w:ascii="Arial" w:hAnsi="Arial" w:cs="Arial"/>
          <w:sz w:val="22"/>
          <w:szCs w:val="22"/>
        </w:rPr>
        <w:t>rasagiline</w:t>
      </w:r>
      <w:proofErr w:type="spellEnd"/>
      <w:r>
        <w:rPr>
          <w:rFonts w:ascii="Arial" w:hAnsi="Arial" w:cs="Arial"/>
          <w:sz w:val="22"/>
          <w:szCs w:val="22"/>
        </w:rPr>
        <w:t xml:space="preserve">) </w:t>
      </w:r>
      <w:r w:rsidRPr="00E26271">
        <w:rPr>
          <w:rFonts w:ascii="Arial" w:hAnsi="Arial" w:cs="Arial"/>
          <w:sz w:val="22"/>
          <w:szCs w:val="22"/>
        </w:rPr>
        <w:t xml:space="preserve">– </w:t>
      </w:r>
      <w:r w:rsidRPr="00E26271">
        <w:rPr>
          <w:rFonts w:ascii="Arial" w:hAnsi="Arial" w:cs="Arial"/>
          <w:b/>
          <w:sz w:val="22"/>
          <w:szCs w:val="22"/>
        </w:rPr>
        <w:t>PA &gt; 1 unit/day</w:t>
      </w:r>
    </w:p>
    <w:p w14:paraId="2E44CAE2" w14:textId="77777777" w:rsidR="00A468A4" w:rsidRPr="005B4566" w:rsidRDefault="00E26271" w:rsidP="00814A17">
      <w:pPr>
        <w:numPr>
          <w:ilvl w:val="0"/>
          <w:numId w:val="3"/>
        </w:numPr>
        <w:autoSpaceDE w:val="0"/>
        <w:autoSpaceDN w:val="0"/>
        <w:adjustRightInd w:val="0"/>
        <w:spacing w:line="276" w:lineRule="auto"/>
        <w:ind w:left="540" w:hanging="270"/>
        <w:rPr>
          <w:rFonts w:ascii="Arial" w:hAnsi="Arial" w:cs="Arial"/>
          <w:b/>
          <w:sz w:val="22"/>
          <w:szCs w:val="22"/>
        </w:rPr>
      </w:pPr>
      <w:proofErr w:type="spellStart"/>
      <w:r w:rsidRPr="00E26271">
        <w:rPr>
          <w:rFonts w:ascii="Arial" w:hAnsi="Arial" w:cs="Arial"/>
          <w:sz w:val="22"/>
          <w:szCs w:val="22"/>
        </w:rPr>
        <w:lastRenderedPageBreak/>
        <w:t>Neupro</w:t>
      </w:r>
      <w:proofErr w:type="spellEnd"/>
      <w:r w:rsidRPr="00E26271">
        <w:rPr>
          <w:rFonts w:ascii="Arial" w:hAnsi="Arial" w:cs="Arial"/>
          <w:sz w:val="22"/>
          <w:szCs w:val="22"/>
        </w:rPr>
        <w:t xml:space="preserve"> (</w:t>
      </w:r>
      <w:proofErr w:type="spellStart"/>
      <w:r w:rsidRPr="00E26271">
        <w:rPr>
          <w:rFonts w:ascii="Arial" w:hAnsi="Arial" w:cs="Arial"/>
          <w:sz w:val="22"/>
          <w:szCs w:val="22"/>
        </w:rPr>
        <w:t>rotigotine</w:t>
      </w:r>
      <w:proofErr w:type="spellEnd"/>
      <w:r w:rsidRPr="00E26271">
        <w:rPr>
          <w:rFonts w:ascii="Arial" w:hAnsi="Arial" w:cs="Arial"/>
          <w:sz w:val="22"/>
          <w:szCs w:val="22"/>
        </w:rPr>
        <w:t xml:space="preserve"> transdermal system) </w:t>
      </w:r>
      <w:r w:rsidRPr="00E26271">
        <w:rPr>
          <w:rFonts w:ascii="Arial" w:hAnsi="Arial" w:cs="Arial"/>
          <w:sz w:val="22"/>
          <w:szCs w:val="22"/>
          <w:vertAlign w:val="superscript"/>
        </w:rPr>
        <w:t xml:space="preserve">BP </w:t>
      </w:r>
      <w:r w:rsidRPr="00E26271">
        <w:rPr>
          <w:rFonts w:ascii="Arial" w:hAnsi="Arial" w:cs="Arial"/>
          <w:sz w:val="22"/>
          <w:szCs w:val="22"/>
        </w:rPr>
        <w:t xml:space="preserve">– </w:t>
      </w:r>
      <w:r w:rsidRPr="00E26271">
        <w:rPr>
          <w:rFonts w:ascii="Arial" w:hAnsi="Arial" w:cs="Arial"/>
          <w:b/>
          <w:sz w:val="22"/>
          <w:szCs w:val="22"/>
        </w:rPr>
        <w:t>PA &gt; 1 unit/day</w:t>
      </w:r>
    </w:p>
    <w:p w14:paraId="2028178C" w14:textId="77777777" w:rsidR="00E26271" w:rsidRPr="00C233CA" w:rsidRDefault="00E26271" w:rsidP="00814A17">
      <w:pPr>
        <w:pStyle w:val="ListParagraph"/>
        <w:numPr>
          <w:ilvl w:val="0"/>
          <w:numId w:val="8"/>
        </w:numPr>
        <w:autoSpaceDE w:val="0"/>
        <w:autoSpaceDN w:val="0"/>
        <w:adjustRightInd w:val="0"/>
        <w:spacing w:before="80" w:line="276" w:lineRule="auto"/>
        <w:ind w:left="274" w:hanging="274"/>
        <w:rPr>
          <w:rFonts w:ascii="Arial" w:hAnsi="Arial" w:cs="Arial"/>
          <w:color w:val="000000"/>
          <w:sz w:val="22"/>
          <w:szCs w:val="22"/>
          <w:lang w:val="fr-FR"/>
        </w:rPr>
      </w:pPr>
      <w:r>
        <w:rPr>
          <w:rFonts w:ascii="Arial" w:hAnsi="Arial" w:cs="Arial"/>
          <w:color w:val="000000"/>
          <w:sz w:val="22"/>
          <w:szCs w:val="22"/>
          <w:lang w:val="fr-FR"/>
        </w:rPr>
        <w:t xml:space="preserve">Effective March 22, 2021, the </w:t>
      </w:r>
      <w:proofErr w:type="spellStart"/>
      <w:r>
        <w:rPr>
          <w:rFonts w:ascii="Arial" w:hAnsi="Arial" w:cs="Arial"/>
          <w:color w:val="000000"/>
          <w:sz w:val="22"/>
          <w:szCs w:val="22"/>
          <w:lang w:val="fr-FR"/>
        </w:rPr>
        <w:t>following</w:t>
      </w:r>
      <w:proofErr w:type="spellEnd"/>
      <w:r>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acne</w:t>
      </w:r>
      <w:proofErr w:type="spellEnd"/>
      <w:r w:rsidR="005B4566">
        <w:rPr>
          <w:rFonts w:ascii="Arial" w:hAnsi="Arial" w:cs="Arial"/>
          <w:color w:val="000000"/>
          <w:sz w:val="22"/>
          <w:szCs w:val="22"/>
          <w:lang w:val="fr-FR"/>
        </w:rPr>
        <w:t xml:space="preserve"> and </w:t>
      </w:r>
      <w:proofErr w:type="spellStart"/>
      <w:r w:rsidR="005B4566">
        <w:rPr>
          <w:rFonts w:ascii="Arial" w:hAnsi="Arial" w:cs="Arial"/>
          <w:color w:val="000000"/>
          <w:sz w:val="22"/>
          <w:szCs w:val="22"/>
          <w:lang w:val="fr-FR"/>
        </w:rPr>
        <w:t>rosacea</w:t>
      </w:r>
      <w:proofErr w:type="spellEnd"/>
      <w:r w:rsidR="005B4566">
        <w:rPr>
          <w:rFonts w:ascii="Arial" w:hAnsi="Arial" w:cs="Arial"/>
          <w:color w:val="000000"/>
          <w:sz w:val="22"/>
          <w:szCs w:val="22"/>
          <w:lang w:val="fr-FR"/>
        </w:rPr>
        <w:t xml:space="preserve"> </w:t>
      </w:r>
      <w:r>
        <w:rPr>
          <w:rFonts w:ascii="Arial" w:hAnsi="Arial" w:cs="Arial"/>
          <w:color w:val="000000"/>
          <w:sz w:val="22"/>
          <w:szCs w:val="22"/>
          <w:lang w:val="fr-FR"/>
        </w:rPr>
        <w:t>agent</w:t>
      </w:r>
      <w:r w:rsidR="005B4566">
        <w:rPr>
          <w:rFonts w:ascii="Arial" w:hAnsi="Arial" w:cs="Arial"/>
          <w:color w:val="000000"/>
          <w:sz w:val="22"/>
          <w:szCs w:val="22"/>
          <w:lang w:val="fr-FR"/>
        </w:rPr>
        <w:t>s</w:t>
      </w:r>
      <w:r>
        <w:rPr>
          <w:rFonts w:ascii="Arial" w:hAnsi="Arial" w:cs="Arial"/>
          <w:color w:val="000000"/>
          <w:sz w:val="22"/>
          <w:szCs w:val="22"/>
          <w:lang w:val="fr-FR"/>
        </w:rPr>
        <w:t xml:space="preserve"> </w:t>
      </w:r>
      <w:proofErr w:type="spellStart"/>
      <w:r>
        <w:rPr>
          <w:rFonts w:ascii="Arial" w:hAnsi="Arial" w:cs="Arial"/>
          <w:color w:val="000000"/>
          <w:sz w:val="22"/>
          <w:szCs w:val="22"/>
          <w:lang w:val="fr-FR"/>
        </w:rPr>
        <w:t>will</w:t>
      </w:r>
      <w:proofErr w:type="spellEnd"/>
      <w:r>
        <w:rPr>
          <w:rFonts w:ascii="Arial" w:hAnsi="Arial" w:cs="Arial"/>
          <w:color w:val="000000"/>
          <w:sz w:val="22"/>
          <w:szCs w:val="22"/>
          <w:lang w:val="fr-FR"/>
        </w:rPr>
        <w:t xml:space="preserve"> no longer </w:t>
      </w:r>
      <w:proofErr w:type="spellStart"/>
      <w:r>
        <w:rPr>
          <w:rFonts w:ascii="Arial" w:hAnsi="Arial" w:cs="Arial"/>
          <w:color w:val="000000"/>
          <w:sz w:val="22"/>
          <w:szCs w:val="22"/>
          <w:lang w:val="fr-FR"/>
        </w:rPr>
        <w:t>require</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prior</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authorization</w:t>
      </w:r>
      <w:proofErr w:type="spellEnd"/>
      <w:r w:rsidR="005B4566">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within</w:t>
      </w:r>
      <w:proofErr w:type="spellEnd"/>
      <w:r w:rsidR="005B4566">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quantity</w:t>
      </w:r>
      <w:proofErr w:type="spellEnd"/>
      <w:r w:rsidR="005B4566">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limits</w:t>
      </w:r>
      <w:proofErr w:type="spellEnd"/>
      <w:r>
        <w:rPr>
          <w:rFonts w:ascii="Arial" w:hAnsi="Arial" w:cs="Arial"/>
          <w:color w:val="000000"/>
          <w:sz w:val="22"/>
          <w:szCs w:val="22"/>
          <w:lang w:val="fr-FR"/>
        </w:rPr>
        <w:t>.</w:t>
      </w:r>
    </w:p>
    <w:p w14:paraId="3D1C085D" w14:textId="77777777" w:rsidR="005B4566" w:rsidRDefault="005B4566" w:rsidP="00814A17">
      <w:pPr>
        <w:pStyle w:val="ListParagraph"/>
        <w:numPr>
          <w:ilvl w:val="0"/>
          <w:numId w:val="9"/>
        </w:numPr>
        <w:autoSpaceDE w:val="0"/>
        <w:autoSpaceDN w:val="0"/>
        <w:adjustRightInd w:val="0"/>
        <w:spacing w:line="276" w:lineRule="auto"/>
        <w:ind w:left="540" w:hanging="274"/>
        <w:rPr>
          <w:rFonts w:ascii="Arial" w:hAnsi="Arial" w:cs="Arial"/>
          <w:sz w:val="22"/>
          <w:szCs w:val="22"/>
        </w:rPr>
      </w:pPr>
      <w:proofErr w:type="spellStart"/>
      <w:r w:rsidRPr="005B4566">
        <w:rPr>
          <w:rFonts w:ascii="Arial" w:hAnsi="Arial" w:cs="Arial"/>
          <w:sz w:val="22"/>
          <w:szCs w:val="22"/>
        </w:rPr>
        <w:t>Metrolotion</w:t>
      </w:r>
      <w:proofErr w:type="spellEnd"/>
      <w:r w:rsidRPr="005B4566">
        <w:rPr>
          <w:rFonts w:ascii="Arial" w:hAnsi="Arial" w:cs="Arial"/>
          <w:sz w:val="22"/>
          <w:szCs w:val="22"/>
        </w:rPr>
        <w:t xml:space="preserve"> (metronidazole lotion) – </w:t>
      </w:r>
      <w:r w:rsidRPr="005B4566">
        <w:rPr>
          <w:rFonts w:ascii="Arial" w:hAnsi="Arial" w:cs="Arial"/>
          <w:b/>
          <w:sz w:val="22"/>
          <w:szCs w:val="22"/>
        </w:rPr>
        <w:t>PA</w:t>
      </w:r>
      <w:r w:rsidRPr="005B4566">
        <w:rPr>
          <w:rFonts w:ascii="Arial" w:hAnsi="Arial" w:cs="Arial"/>
          <w:sz w:val="22"/>
          <w:szCs w:val="22"/>
        </w:rPr>
        <w:t xml:space="preserve"> </w:t>
      </w:r>
    </w:p>
    <w:p w14:paraId="77799B98" w14:textId="77777777" w:rsidR="00E26271" w:rsidRPr="005B4566" w:rsidRDefault="00E26271" w:rsidP="00814A17">
      <w:pPr>
        <w:pStyle w:val="ListParagraph"/>
        <w:numPr>
          <w:ilvl w:val="0"/>
          <w:numId w:val="8"/>
        </w:numPr>
        <w:autoSpaceDE w:val="0"/>
        <w:autoSpaceDN w:val="0"/>
        <w:adjustRightInd w:val="0"/>
        <w:spacing w:before="80" w:line="276" w:lineRule="auto"/>
        <w:ind w:left="274" w:hanging="274"/>
        <w:rPr>
          <w:rFonts w:ascii="Arial" w:hAnsi="Arial" w:cs="Arial"/>
          <w:sz w:val="22"/>
          <w:szCs w:val="22"/>
        </w:rPr>
      </w:pPr>
      <w:r w:rsidRPr="005B4566">
        <w:rPr>
          <w:rFonts w:ascii="Arial" w:hAnsi="Arial" w:cs="Arial"/>
          <w:color w:val="000000"/>
          <w:sz w:val="22"/>
          <w:szCs w:val="22"/>
        </w:rPr>
        <w:t xml:space="preserve">Effective March 22, 2021, the following </w:t>
      </w:r>
      <w:r w:rsidR="005B4566">
        <w:rPr>
          <w:rFonts w:ascii="Arial" w:hAnsi="Arial" w:cs="Arial"/>
          <w:color w:val="000000"/>
          <w:sz w:val="22"/>
          <w:szCs w:val="22"/>
        </w:rPr>
        <w:t>anticoagulant</w:t>
      </w:r>
      <w:r w:rsidRPr="005B4566">
        <w:rPr>
          <w:rFonts w:ascii="Arial" w:hAnsi="Arial" w:cs="Arial"/>
          <w:color w:val="000000"/>
          <w:sz w:val="22"/>
          <w:szCs w:val="22"/>
        </w:rPr>
        <w:t xml:space="preserve"> will no longer require prior authorization </w:t>
      </w:r>
    </w:p>
    <w:p w14:paraId="0F52FED2" w14:textId="77777777" w:rsidR="00E26271" w:rsidRDefault="005B4566" w:rsidP="00814A17">
      <w:pPr>
        <w:pStyle w:val="ListParagraph"/>
        <w:numPr>
          <w:ilvl w:val="0"/>
          <w:numId w:val="3"/>
        </w:numPr>
        <w:ind w:left="540" w:hanging="274"/>
        <w:rPr>
          <w:rFonts w:ascii="Arial" w:hAnsi="Arial" w:cs="Arial"/>
          <w:sz w:val="22"/>
          <w:szCs w:val="22"/>
        </w:rPr>
      </w:pPr>
      <w:proofErr w:type="spellStart"/>
      <w:r w:rsidRPr="00715324">
        <w:rPr>
          <w:rFonts w:ascii="Arial" w:hAnsi="Arial" w:cs="Arial"/>
          <w:sz w:val="22"/>
          <w:szCs w:val="22"/>
        </w:rPr>
        <w:t>Pradaxa</w:t>
      </w:r>
      <w:proofErr w:type="spellEnd"/>
      <w:r w:rsidRPr="00715324">
        <w:rPr>
          <w:rFonts w:ascii="Arial" w:hAnsi="Arial" w:cs="Arial"/>
          <w:sz w:val="22"/>
          <w:szCs w:val="22"/>
        </w:rPr>
        <w:t xml:space="preserve"> (dabigatran </w:t>
      </w:r>
      <w:proofErr w:type="spellStart"/>
      <w:r w:rsidRPr="00715324">
        <w:rPr>
          <w:rFonts w:ascii="Arial" w:hAnsi="Arial" w:cs="Arial"/>
          <w:sz w:val="22"/>
          <w:szCs w:val="22"/>
        </w:rPr>
        <w:t>etexilate</w:t>
      </w:r>
      <w:proofErr w:type="spellEnd"/>
      <w:r w:rsidR="00E26271" w:rsidRPr="00715324">
        <w:rPr>
          <w:rFonts w:ascii="Arial" w:hAnsi="Arial" w:cs="Arial"/>
          <w:sz w:val="22"/>
          <w:szCs w:val="22"/>
        </w:rPr>
        <w:t xml:space="preserve"> </w:t>
      </w:r>
      <w:proofErr w:type="spellStart"/>
      <w:r w:rsidRPr="00715324">
        <w:rPr>
          <w:rFonts w:ascii="Arial" w:hAnsi="Arial" w:cs="Arial"/>
          <w:sz w:val="22"/>
          <w:szCs w:val="22"/>
        </w:rPr>
        <w:t>mesylate</w:t>
      </w:r>
      <w:proofErr w:type="spellEnd"/>
      <w:r w:rsidRPr="00715324">
        <w:rPr>
          <w:rFonts w:ascii="Arial" w:hAnsi="Arial" w:cs="Arial"/>
          <w:sz w:val="22"/>
          <w:szCs w:val="22"/>
        </w:rPr>
        <w:t xml:space="preserve"> 110 mg) </w:t>
      </w:r>
      <w:r w:rsidRPr="00715324">
        <w:rPr>
          <w:rFonts w:ascii="Arial" w:hAnsi="Arial" w:cs="Arial"/>
          <w:sz w:val="22"/>
          <w:szCs w:val="22"/>
          <w:vertAlign w:val="superscript"/>
        </w:rPr>
        <w:t>BP</w:t>
      </w:r>
      <w:r w:rsidR="00E26271" w:rsidRPr="00715324">
        <w:rPr>
          <w:rFonts w:ascii="Arial" w:hAnsi="Arial" w:cs="Arial"/>
          <w:sz w:val="22"/>
          <w:szCs w:val="22"/>
        </w:rPr>
        <w:t xml:space="preserve"> </w:t>
      </w:r>
    </w:p>
    <w:p w14:paraId="6710A560" w14:textId="77777777" w:rsidR="00167CB7" w:rsidRPr="00167CB7" w:rsidRDefault="00167CB7" w:rsidP="00167CB7">
      <w:pPr>
        <w:pStyle w:val="ListParagraph"/>
        <w:numPr>
          <w:ilvl w:val="0"/>
          <w:numId w:val="3"/>
        </w:numPr>
        <w:ind w:left="540" w:hanging="270"/>
        <w:rPr>
          <w:rFonts w:ascii="Arial" w:hAnsi="Arial" w:cs="Arial"/>
          <w:sz w:val="22"/>
          <w:szCs w:val="22"/>
        </w:rPr>
      </w:pPr>
      <w:proofErr w:type="spellStart"/>
      <w:r w:rsidRPr="00167CB7">
        <w:rPr>
          <w:rFonts w:ascii="Arial" w:hAnsi="Arial" w:cs="Arial"/>
          <w:sz w:val="22"/>
          <w:szCs w:val="22"/>
        </w:rPr>
        <w:t>Pradaxa</w:t>
      </w:r>
      <w:proofErr w:type="spellEnd"/>
      <w:r w:rsidRPr="00167CB7">
        <w:rPr>
          <w:rFonts w:ascii="Arial" w:hAnsi="Arial" w:cs="Arial"/>
          <w:sz w:val="22"/>
          <w:szCs w:val="22"/>
        </w:rPr>
        <w:t xml:space="preserve"> (dabigatran </w:t>
      </w:r>
      <w:proofErr w:type="spellStart"/>
      <w:r w:rsidRPr="00167CB7">
        <w:rPr>
          <w:rFonts w:ascii="Arial" w:hAnsi="Arial" w:cs="Arial"/>
          <w:sz w:val="22"/>
          <w:szCs w:val="22"/>
        </w:rPr>
        <w:t>etexilate</w:t>
      </w:r>
      <w:proofErr w:type="spellEnd"/>
      <w:r w:rsidRPr="00167CB7">
        <w:rPr>
          <w:rFonts w:ascii="Arial" w:hAnsi="Arial" w:cs="Arial"/>
          <w:sz w:val="22"/>
          <w:szCs w:val="22"/>
        </w:rPr>
        <w:t xml:space="preserve"> </w:t>
      </w:r>
      <w:proofErr w:type="spellStart"/>
      <w:r w:rsidRPr="00167CB7">
        <w:rPr>
          <w:rFonts w:ascii="Arial" w:hAnsi="Arial" w:cs="Arial"/>
          <w:sz w:val="22"/>
          <w:szCs w:val="22"/>
        </w:rPr>
        <w:t>mesylate</w:t>
      </w:r>
      <w:proofErr w:type="spellEnd"/>
      <w:r w:rsidRPr="00167CB7">
        <w:rPr>
          <w:rFonts w:ascii="Arial" w:hAnsi="Arial" w:cs="Arial"/>
          <w:sz w:val="22"/>
          <w:szCs w:val="22"/>
        </w:rPr>
        <w:t xml:space="preserve"> 75 mg, 150 mg) </w:t>
      </w:r>
      <w:r w:rsidRPr="00167CB7">
        <w:rPr>
          <w:rFonts w:ascii="Arial" w:hAnsi="Arial" w:cs="Arial"/>
          <w:sz w:val="22"/>
          <w:szCs w:val="22"/>
          <w:vertAlign w:val="superscript"/>
        </w:rPr>
        <w:t>BP</w:t>
      </w:r>
    </w:p>
    <w:p w14:paraId="5288DBF0" w14:textId="77777777" w:rsidR="00167CB7" w:rsidRPr="00167CB7" w:rsidRDefault="00167CB7" w:rsidP="00167CB7">
      <w:pPr>
        <w:rPr>
          <w:rFonts w:ascii="Arial" w:hAnsi="Arial" w:cs="Arial"/>
          <w:sz w:val="22"/>
          <w:szCs w:val="22"/>
        </w:rPr>
      </w:pPr>
    </w:p>
    <w:p w14:paraId="7E0687A4" w14:textId="77777777" w:rsidR="00E26271" w:rsidRDefault="00E26271" w:rsidP="00814A17">
      <w:pPr>
        <w:numPr>
          <w:ilvl w:val="0"/>
          <w:numId w:val="10"/>
        </w:numPr>
        <w:autoSpaceDE w:val="0"/>
        <w:autoSpaceDN w:val="0"/>
        <w:adjustRightInd w:val="0"/>
        <w:spacing w:before="80" w:line="276" w:lineRule="auto"/>
        <w:ind w:left="274" w:hanging="274"/>
        <w:rPr>
          <w:rFonts w:ascii="Arial" w:hAnsi="Arial" w:cs="Arial"/>
          <w:color w:val="000000"/>
          <w:sz w:val="22"/>
          <w:szCs w:val="22"/>
          <w:lang w:val="fr-FR"/>
        </w:rPr>
      </w:pPr>
      <w:r>
        <w:rPr>
          <w:rFonts w:ascii="Arial" w:hAnsi="Arial" w:cs="Arial"/>
          <w:color w:val="000000"/>
          <w:sz w:val="22"/>
          <w:szCs w:val="22"/>
          <w:lang w:val="fr-FR"/>
        </w:rPr>
        <w:t xml:space="preserve">Effective March 22, 2021, the </w:t>
      </w:r>
      <w:proofErr w:type="spellStart"/>
      <w:r>
        <w:rPr>
          <w:rFonts w:ascii="Arial" w:hAnsi="Arial" w:cs="Arial"/>
          <w:color w:val="000000"/>
          <w:sz w:val="22"/>
          <w:szCs w:val="22"/>
          <w:lang w:val="fr-FR"/>
        </w:rPr>
        <w:t>following</w:t>
      </w:r>
      <w:proofErr w:type="spellEnd"/>
      <w:r>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bowel</w:t>
      </w:r>
      <w:proofErr w:type="spellEnd"/>
      <w:r w:rsidR="005B4566">
        <w:rPr>
          <w:rFonts w:ascii="Arial" w:hAnsi="Arial" w:cs="Arial"/>
          <w:color w:val="000000"/>
          <w:sz w:val="22"/>
          <w:szCs w:val="22"/>
          <w:lang w:val="fr-FR"/>
        </w:rPr>
        <w:t xml:space="preserve"> </w:t>
      </w:r>
      <w:proofErr w:type="spellStart"/>
      <w:r w:rsidR="005B4566">
        <w:rPr>
          <w:rFonts w:ascii="Arial" w:hAnsi="Arial" w:cs="Arial"/>
          <w:color w:val="000000"/>
          <w:sz w:val="22"/>
          <w:szCs w:val="22"/>
          <w:lang w:val="fr-FR"/>
        </w:rPr>
        <w:t>preparation</w:t>
      </w:r>
      <w:proofErr w:type="spellEnd"/>
      <w:r w:rsidR="005B4566">
        <w:rPr>
          <w:rFonts w:ascii="Arial" w:hAnsi="Arial" w:cs="Arial"/>
          <w:color w:val="000000"/>
          <w:sz w:val="22"/>
          <w:szCs w:val="22"/>
          <w:lang w:val="fr-FR"/>
        </w:rPr>
        <w:t xml:space="preserve"> a</w:t>
      </w:r>
      <w:r>
        <w:rPr>
          <w:rFonts w:ascii="Arial" w:hAnsi="Arial" w:cs="Arial"/>
          <w:color w:val="000000"/>
          <w:sz w:val="22"/>
          <w:szCs w:val="22"/>
          <w:lang w:val="fr-FR"/>
        </w:rPr>
        <w:t xml:space="preserve">gent </w:t>
      </w:r>
      <w:proofErr w:type="spellStart"/>
      <w:r>
        <w:rPr>
          <w:rFonts w:ascii="Arial" w:hAnsi="Arial" w:cs="Arial"/>
          <w:color w:val="000000"/>
          <w:sz w:val="22"/>
          <w:szCs w:val="22"/>
          <w:lang w:val="fr-FR"/>
        </w:rPr>
        <w:t>will</w:t>
      </w:r>
      <w:proofErr w:type="spellEnd"/>
      <w:r>
        <w:rPr>
          <w:rFonts w:ascii="Arial" w:hAnsi="Arial" w:cs="Arial"/>
          <w:color w:val="000000"/>
          <w:sz w:val="22"/>
          <w:szCs w:val="22"/>
          <w:lang w:val="fr-FR"/>
        </w:rPr>
        <w:t xml:space="preserve"> no </w:t>
      </w:r>
      <w:proofErr w:type="gramStart"/>
      <w:r>
        <w:rPr>
          <w:rFonts w:ascii="Arial" w:hAnsi="Arial" w:cs="Arial"/>
          <w:color w:val="000000"/>
          <w:sz w:val="22"/>
          <w:szCs w:val="22"/>
          <w:lang w:val="fr-FR"/>
        </w:rPr>
        <w:t>longer</w:t>
      </w:r>
      <w:proofErr w:type="gram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require</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prior</w:t>
      </w:r>
      <w:proofErr w:type="spellEnd"/>
      <w:r>
        <w:rPr>
          <w:rFonts w:ascii="Arial" w:hAnsi="Arial" w:cs="Arial"/>
          <w:color w:val="000000"/>
          <w:sz w:val="22"/>
          <w:szCs w:val="22"/>
          <w:lang w:val="fr-FR"/>
        </w:rPr>
        <w:t xml:space="preserve"> </w:t>
      </w:r>
      <w:proofErr w:type="spellStart"/>
      <w:r>
        <w:rPr>
          <w:rFonts w:ascii="Arial" w:hAnsi="Arial" w:cs="Arial"/>
          <w:color w:val="000000"/>
          <w:sz w:val="22"/>
          <w:szCs w:val="22"/>
          <w:lang w:val="fr-FR"/>
        </w:rPr>
        <w:t>authorization</w:t>
      </w:r>
      <w:proofErr w:type="spellEnd"/>
      <w:r>
        <w:rPr>
          <w:rFonts w:ascii="Arial" w:hAnsi="Arial" w:cs="Arial"/>
          <w:color w:val="000000"/>
          <w:sz w:val="22"/>
          <w:szCs w:val="22"/>
          <w:lang w:val="fr-FR"/>
        </w:rPr>
        <w:t>.</w:t>
      </w:r>
      <w:r w:rsidRPr="00BE1214">
        <w:rPr>
          <w:rFonts w:ascii="Arial" w:hAnsi="Arial" w:cs="Arial"/>
          <w:color w:val="000000"/>
          <w:sz w:val="22"/>
          <w:szCs w:val="22"/>
          <w:lang w:val="fr-FR"/>
        </w:rPr>
        <w:t xml:space="preserve"> </w:t>
      </w:r>
    </w:p>
    <w:p w14:paraId="36AE16D6" w14:textId="526A493F" w:rsidR="00167CB7" w:rsidRPr="00167CB7" w:rsidRDefault="00715324" w:rsidP="00167CB7">
      <w:pPr>
        <w:pStyle w:val="ListParagraph"/>
        <w:numPr>
          <w:ilvl w:val="0"/>
          <w:numId w:val="3"/>
        </w:numPr>
        <w:ind w:left="540" w:hanging="274"/>
        <w:rPr>
          <w:rFonts w:ascii="Arial" w:hAnsi="Arial" w:cs="Arial"/>
          <w:sz w:val="21"/>
          <w:szCs w:val="21"/>
        </w:rPr>
      </w:pPr>
      <w:proofErr w:type="spellStart"/>
      <w:r w:rsidRPr="00715324">
        <w:rPr>
          <w:rFonts w:ascii="Arial" w:hAnsi="Arial" w:cs="Arial"/>
          <w:sz w:val="21"/>
          <w:szCs w:val="21"/>
        </w:rPr>
        <w:t>Plenvu</w:t>
      </w:r>
      <w:proofErr w:type="spellEnd"/>
      <w:r w:rsidRPr="00715324">
        <w:rPr>
          <w:rFonts w:ascii="Arial" w:hAnsi="Arial" w:cs="Arial"/>
          <w:sz w:val="21"/>
          <w:szCs w:val="21"/>
        </w:rPr>
        <w:t xml:space="preserve"> (polyethylene glycol-electrolyte solution) </w:t>
      </w:r>
    </w:p>
    <w:p w14:paraId="0CCBCF61" w14:textId="7F862325" w:rsidR="007238C6" w:rsidRPr="003F74A0" w:rsidRDefault="007238C6" w:rsidP="003F74A0">
      <w:pPr>
        <w:pStyle w:val="Heading3"/>
      </w:pPr>
      <w:r>
        <w:t>MassHealth Brand Name Preferred Over Generic Drug List</w:t>
      </w:r>
    </w:p>
    <w:p w14:paraId="01DF873F" w14:textId="77777777" w:rsidR="005F7733" w:rsidRPr="005F7733" w:rsidRDefault="005F7733" w:rsidP="005F7733">
      <w:pPr>
        <w:rPr>
          <w:rFonts w:ascii="Arial" w:hAnsi="Arial" w:cs="Arial"/>
          <w:sz w:val="22"/>
          <w:szCs w:val="22"/>
        </w:rPr>
      </w:pPr>
      <w:r w:rsidRPr="005F7733">
        <w:rPr>
          <w:rFonts w:ascii="Arial" w:hAnsi="Arial" w:cs="Arial"/>
          <w:sz w:val="22"/>
          <w:szCs w:val="22"/>
        </w:rPr>
        <w:t xml:space="preserve">The MassHealth Brand Name Preferred </w:t>
      </w:r>
      <w:proofErr w:type="gramStart"/>
      <w:r w:rsidRPr="005F7733">
        <w:rPr>
          <w:rFonts w:ascii="Arial" w:hAnsi="Arial" w:cs="Arial"/>
          <w:sz w:val="22"/>
          <w:szCs w:val="22"/>
        </w:rPr>
        <w:t>Over</w:t>
      </w:r>
      <w:proofErr w:type="gramEnd"/>
      <w:r w:rsidRPr="005F7733">
        <w:rPr>
          <w:rFonts w:ascii="Arial" w:hAnsi="Arial" w:cs="Arial"/>
          <w:sz w:val="22"/>
          <w:szCs w:val="22"/>
        </w:rPr>
        <w:t xml:space="preserve"> Generic Drug List has been updated to reflect recent changes to the MassHealth Drug List.</w:t>
      </w:r>
    </w:p>
    <w:p w14:paraId="7754288A" w14:textId="77777777" w:rsidR="005F7733" w:rsidRPr="005F7733" w:rsidRDefault="005F7733" w:rsidP="00814A17">
      <w:pPr>
        <w:numPr>
          <w:ilvl w:val="0"/>
          <w:numId w:val="12"/>
        </w:numPr>
        <w:autoSpaceDE w:val="0"/>
        <w:autoSpaceDN w:val="0"/>
        <w:adjustRightInd w:val="0"/>
        <w:spacing w:before="120" w:line="276" w:lineRule="auto"/>
        <w:ind w:left="274" w:hanging="274"/>
        <w:rPr>
          <w:rFonts w:ascii="Arial" w:hAnsi="Arial" w:cs="Arial"/>
          <w:color w:val="000000"/>
          <w:sz w:val="22"/>
          <w:szCs w:val="22"/>
        </w:rPr>
      </w:pPr>
      <w:r w:rsidRPr="005F7733">
        <w:rPr>
          <w:rFonts w:ascii="Arial" w:hAnsi="Arial" w:cs="Arial"/>
          <w:color w:val="000000"/>
          <w:sz w:val="22"/>
          <w:szCs w:val="22"/>
        </w:rPr>
        <w:t xml:space="preserve">Effective March 22, 2021, the following agents will be added to the MassHealth Brand Name Preferred Over Generic Drug List. </w:t>
      </w:r>
    </w:p>
    <w:p w14:paraId="72A4403A" w14:textId="77777777" w:rsidR="005F7733" w:rsidRPr="005F7733" w:rsidRDefault="005F7733" w:rsidP="00814A17">
      <w:pPr>
        <w:numPr>
          <w:ilvl w:val="0"/>
          <w:numId w:val="2"/>
        </w:numPr>
        <w:autoSpaceDE w:val="0"/>
        <w:autoSpaceDN w:val="0"/>
        <w:adjustRightInd w:val="0"/>
        <w:spacing w:line="276" w:lineRule="auto"/>
        <w:ind w:left="450" w:hanging="180"/>
        <w:rPr>
          <w:rFonts w:ascii="Arial" w:hAnsi="Arial" w:cs="Arial"/>
          <w:color w:val="000000"/>
          <w:sz w:val="22"/>
          <w:szCs w:val="22"/>
        </w:rPr>
      </w:pPr>
      <w:proofErr w:type="spellStart"/>
      <w:r w:rsidRPr="005F7733">
        <w:rPr>
          <w:rFonts w:ascii="Arial" w:hAnsi="Arial" w:cs="Arial"/>
          <w:color w:val="000000"/>
          <w:sz w:val="22"/>
          <w:szCs w:val="22"/>
        </w:rPr>
        <w:t>Sorilux</w:t>
      </w:r>
      <w:proofErr w:type="spellEnd"/>
      <w:r w:rsidRPr="005F7733">
        <w:rPr>
          <w:rFonts w:ascii="Arial" w:hAnsi="Arial" w:cs="Arial"/>
          <w:color w:val="000000"/>
          <w:sz w:val="22"/>
          <w:szCs w:val="22"/>
        </w:rPr>
        <w:t xml:space="preserve"> (</w:t>
      </w:r>
      <w:proofErr w:type="spellStart"/>
      <w:r w:rsidRPr="005F7733">
        <w:rPr>
          <w:rFonts w:ascii="Arial" w:hAnsi="Arial" w:cs="Arial"/>
          <w:color w:val="000000"/>
          <w:sz w:val="22"/>
          <w:szCs w:val="22"/>
        </w:rPr>
        <w:t>calcipotriene</w:t>
      </w:r>
      <w:proofErr w:type="spellEnd"/>
      <w:r w:rsidRPr="005F7733">
        <w:rPr>
          <w:rFonts w:ascii="Arial" w:hAnsi="Arial" w:cs="Arial"/>
          <w:color w:val="000000"/>
          <w:sz w:val="22"/>
          <w:szCs w:val="22"/>
        </w:rPr>
        <w:t xml:space="preserve"> foam) </w:t>
      </w:r>
      <w:r w:rsidRPr="005F7733">
        <w:rPr>
          <w:rFonts w:ascii="Arial" w:hAnsi="Arial" w:cs="Arial"/>
          <w:color w:val="000000"/>
          <w:sz w:val="22"/>
          <w:szCs w:val="22"/>
          <w:vertAlign w:val="superscript"/>
        </w:rPr>
        <w:t>BP</w:t>
      </w:r>
      <w:r w:rsidRPr="005F7733">
        <w:rPr>
          <w:rFonts w:ascii="Arial" w:hAnsi="Arial" w:cs="Arial"/>
          <w:color w:val="000000"/>
          <w:sz w:val="22"/>
          <w:szCs w:val="22"/>
        </w:rPr>
        <w:t xml:space="preserve"> –</w:t>
      </w:r>
      <w:r w:rsidRPr="005F7733">
        <w:rPr>
          <w:rFonts w:ascii="Arial" w:hAnsi="Arial" w:cs="Arial"/>
          <w:b/>
          <w:color w:val="000000"/>
          <w:sz w:val="22"/>
          <w:szCs w:val="22"/>
        </w:rPr>
        <w:t xml:space="preserve"> PA</w:t>
      </w:r>
    </w:p>
    <w:p w14:paraId="2240D8D9" w14:textId="77777777" w:rsidR="005F7733" w:rsidRPr="005F7733" w:rsidRDefault="005F7733" w:rsidP="00814A17">
      <w:pPr>
        <w:numPr>
          <w:ilvl w:val="0"/>
          <w:numId w:val="2"/>
        </w:numPr>
        <w:autoSpaceDE w:val="0"/>
        <w:autoSpaceDN w:val="0"/>
        <w:adjustRightInd w:val="0"/>
        <w:spacing w:line="276" w:lineRule="auto"/>
        <w:ind w:left="450" w:hanging="180"/>
        <w:rPr>
          <w:rFonts w:ascii="Arial" w:hAnsi="Arial" w:cs="Arial"/>
          <w:color w:val="000000"/>
          <w:sz w:val="22"/>
          <w:szCs w:val="22"/>
        </w:rPr>
      </w:pPr>
      <w:proofErr w:type="spellStart"/>
      <w:r w:rsidRPr="005F7733">
        <w:rPr>
          <w:rFonts w:ascii="Arial" w:hAnsi="Arial" w:cs="Arial"/>
          <w:color w:val="000000"/>
          <w:sz w:val="22"/>
          <w:szCs w:val="22"/>
        </w:rPr>
        <w:t>Veletri</w:t>
      </w:r>
      <w:proofErr w:type="spellEnd"/>
      <w:r w:rsidRPr="005F7733">
        <w:rPr>
          <w:rFonts w:ascii="Arial" w:hAnsi="Arial" w:cs="Arial"/>
          <w:color w:val="000000"/>
          <w:sz w:val="22"/>
          <w:szCs w:val="22"/>
        </w:rPr>
        <w:t xml:space="preserve"> (</w:t>
      </w:r>
      <w:proofErr w:type="spellStart"/>
      <w:r w:rsidRPr="005F7733">
        <w:rPr>
          <w:rFonts w:ascii="Arial" w:hAnsi="Arial" w:cs="Arial"/>
          <w:color w:val="000000"/>
          <w:sz w:val="22"/>
          <w:szCs w:val="22"/>
        </w:rPr>
        <w:t>epoprostenol</w:t>
      </w:r>
      <w:proofErr w:type="spellEnd"/>
      <w:r w:rsidRPr="005F7733">
        <w:rPr>
          <w:rFonts w:ascii="Arial" w:hAnsi="Arial" w:cs="Arial"/>
          <w:color w:val="000000"/>
          <w:sz w:val="22"/>
          <w:szCs w:val="22"/>
        </w:rPr>
        <w:t>)</w:t>
      </w:r>
      <w:r w:rsidRPr="005F7733">
        <w:rPr>
          <w:rFonts w:ascii="Arial" w:hAnsi="Arial" w:cs="Arial"/>
          <w:color w:val="000000"/>
          <w:sz w:val="22"/>
          <w:szCs w:val="22"/>
          <w:vertAlign w:val="superscript"/>
        </w:rPr>
        <w:t xml:space="preserve"> BP</w:t>
      </w:r>
      <w:r w:rsidRPr="005F7733">
        <w:rPr>
          <w:rFonts w:ascii="Arial" w:hAnsi="Arial" w:cs="Arial"/>
          <w:color w:val="000000"/>
          <w:sz w:val="22"/>
          <w:szCs w:val="22"/>
        </w:rPr>
        <w:t xml:space="preserve"> – </w:t>
      </w:r>
      <w:r w:rsidRPr="005F7733">
        <w:rPr>
          <w:rFonts w:ascii="Arial" w:hAnsi="Arial" w:cs="Arial"/>
          <w:b/>
          <w:color w:val="000000"/>
          <w:sz w:val="22"/>
          <w:szCs w:val="22"/>
        </w:rPr>
        <w:t>PA</w:t>
      </w:r>
    </w:p>
    <w:p w14:paraId="2CCBC657" w14:textId="77777777" w:rsidR="005F7733" w:rsidRPr="005F7733" w:rsidRDefault="005F7733" w:rsidP="00814A17">
      <w:pPr>
        <w:numPr>
          <w:ilvl w:val="0"/>
          <w:numId w:val="2"/>
        </w:numPr>
        <w:autoSpaceDE w:val="0"/>
        <w:autoSpaceDN w:val="0"/>
        <w:adjustRightInd w:val="0"/>
        <w:spacing w:after="120" w:line="276" w:lineRule="auto"/>
        <w:ind w:left="461" w:hanging="187"/>
        <w:rPr>
          <w:rFonts w:ascii="Arial" w:hAnsi="Arial" w:cs="Arial"/>
          <w:color w:val="000000"/>
          <w:sz w:val="22"/>
          <w:szCs w:val="22"/>
        </w:rPr>
      </w:pPr>
      <w:proofErr w:type="spellStart"/>
      <w:r w:rsidRPr="005F7733">
        <w:rPr>
          <w:rFonts w:ascii="Arial" w:hAnsi="Arial" w:cs="Arial"/>
          <w:color w:val="000000"/>
          <w:sz w:val="22"/>
          <w:szCs w:val="22"/>
        </w:rPr>
        <w:t>Zyclara</w:t>
      </w:r>
      <w:proofErr w:type="spellEnd"/>
      <w:r w:rsidRPr="005F7733">
        <w:rPr>
          <w:rFonts w:ascii="Arial" w:hAnsi="Arial" w:cs="Arial"/>
          <w:color w:val="000000"/>
          <w:sz w:val="22"/>
          <w:szCs w:val="22"/>
        </w:rPr>
        <w:t xml:space="preserve"> (</w:t>
      </w:r>
      <w:proofErr w:type="spellStart"/>
      <w:r w:rsidRPr="005F7733">
        <w:rPr>
          <w:rFonts w:ascii="Arial" w:hAnsi="Arial" w:cs="Arial"/>
          <w:color w:val="000000"/>
          <w:sz w:val="22"/>
          <w:szCs w:val="22"/>
        </w:rPr>
        <w:t>imiquimod</w:t>
      </w:r>
      <w:proofErr w:type="spellEnd"/>
      <w:r w:rsidRPr="005F7733">
        <w:rPr>
          <w:rFonts w:ascii="Arial" w:hAnsi="Arial" w:cs="Arial"/>
          <w:color w:val="000000"/>
          <w:sz w:val="22"/>
          <w:szCs w:val="22"/>
        </w:rPr>
        <w:t xml:space="preserve"> 2.5%, 3.75% cream) </w:t>
      </w:r>
      <w:r w:rsidRPr="005F7733">
        <w:rPr>
          <w:rFonts w:ascii="Arial" w:hAnsi="Arial" w:cs="Arial"/>
          <w:color w:val="000000"/>
          <w:sz w:val="22"/>
          <w:szCs w:val="22"/>
          <w:vertAlign w:val="superscript"/>
        </w:rPr>
        <w:t>BP</w:t>
      </w:r>
      <w:r w:rsidRPr="005F7733">
        <w:rPr>
          <w:rFonts w:ascii="Arial" w:hAnsi="Arial" w:cs="Arial"/>
          <w:color w:val="000000"/>
          <w:sz w:val="22"/>
          <w:szCs w:val="22"/>
        </w:rPr>
        <w:t xml:space="preserve"> – </w:t>
      </w:r>
      <w:r w:rsidRPr="005F7733">
        <w:rPr>
          <w:rFonts w:ascii="Arial" w:hAnsi="Arial" w:cs="Arial"/>
          <w:b/>
          <w:color w:val="000000"/>
          <w:sz w:val="22"/>
          <w:szCs w:val="22"/>
        </w:rPr>
        <w:t>PA</w:t>
      </w:r>
    </w:p>
    <w:p w14:paraId="2084B25A" w14:textId="77777777" w:rsidR="005F7733" w:rsidRDefault="005F7733" w:rsidP="00814A17">
      <w:pPr>
        <w:numPr>
          <w:ilvl w:val="0"/>
          <w:numId w:val="12"/>
        </w:numPr>
        <w:spacing w:before="160" w:line="276" w:lineRule="auto"/>
        <w:ind w:left="274"/>
        <w:contextualSpacing/>
        <w:rPr>
          <w:rFonts w:ascii="Arial" w:hAnsi="Arial" w:cs="Arial"/>
          <w:color w:val="000000"/>
          <w:sz w:val="22"/>
          <w:szCs w:val="22"/>
        </w:rPr>
      </w:pPr>
      <w:r w:rsidRPr="005F7733">
        <w:rPr>
          <w:rFonts w:ascii="Arial" w:hAnsi="Arial" w:cs="Arial"/>
          <w:color w:val="000000"/>
          <w:sz w:val="22"/>
          <w:szCs w:val="22"/>
        </w:rPr>
        <w:t xml:space="preserve">Effective </w:t>
      </w:r>
      <w:r w:rsidRPr="005F7733">
        <w:rPr>
          <w:rFonts w:ascii="Arial" w:hAnsi="Arial" w:cs="Arial"/>
          <w:sz w:val="22"/>
          <w:szCs w:val="22"/>
        </w:rPr>
        <w:t>March 22, 2021</w:t>
      </w:r>
      <w:r w:rsidRPr="005F7733">
        <w:rPr>
          <w:rFonts w:ascii="Arial" w:hAnsi="Arial" w:cs="Arial"/>
          <w:color w:val="000000"/>
          <w:sz w:val="22"/>
          <w:szCs w:val="22"/>
        </w:rPr>
        <w:t xml:space="preserve">, the following agent will be removed from the MassHealth Brand Name Preferred Over Generic Drug List. </w:t>
      </w:r>
    </w:p>
    <w:p w14:paraId="1DBAE9C2" w14:textId="77777777" w:rsidR="00FC4A2A" w:rsidRPr="005F7733" w:rsidRDefault="00FC4A2A" w:rsidP="00814A17">
      <w:pPr>
        <w:numPr>
          <w:ilvl w:val="0"/>
          <w:numId w:val="11"/>
        </w:numPr>
        <w:autoSpaceDE w:val="0"/>
        <w:autoSpaceDN w:val="0"/>
        <w:adjustRightInd w:val="0"/>
        <w:spacing w:line="276" w:lineRule="auto"/>
        <w:ind w:left="450" w:hanging="180"/>
        <w:rPr>
          <w:rFonts w:ascii="Arial" w:hAnsi="Arial" w:cs="Arial"/>
          <w:color w:val="000000"/>
          <w:sz w:val="22"/>
          <w:szCs w:val="22"/>
        </w:rPr>
      </w:pPr>
      <w:proofErr w:type="spellStart"/>
      <w:r w:rsidRPr="005F7733">
        <w:rPr>
          <w:rFonts w:ascii="Arial" w:hAnsi="Arial" w:cs="Arial"/>
          <w:color w:val="000000"/>
          <w:sz w:val="22"/>
          <w:szCs w:val="22"/>
        </w:rPr>
        <w:t>Differin</w:t>
      </w:r>
      <w:proofErr w:type="spellEnd"/>
      <w:r w:rsidRPr="005F7733">
        <w:rPr>
          <w:rFonts w:ascii="Arial" w:hAnsi="Arial" w:cs="Arial"/>
          <w:color w:val="000000"/>
          <w:sz w:val="22"/>
          <w:szCs w:val="22"/>
        </w:rPr>
        <w:t xml:space="preserve"> (</w:t>
      </w:r>
      <w:proofErr w:type="spellStart"/>
      <w:r w:rsidRPr="005F7733">
        <w:rPr>
          <w:rFonts w:ascii="Arial" w:hAnsi="Arial" w:cs="Arial"/>
          <w:color w:val="000000"/>
          <w:sz w:val="22"/>
          <w:szCs w:val="22"/>
        </w:rPr>
        <w:t>adapalene</w:t>
      </w:r>
      <w:proofErr w:type="spellEnd"/>
      <w:r w:rsidRPr="005F7733">
        <w:rPr>
          <w:rFonts w:ascii="Arial" w:hAnsi="Arial" w:cs="Arial"/>
          <w:color w:val="000000"/>
          <w:sz w:val="22"/>
          <w:szCs w:val="22"/>
        </w:rPr>
        <w:t xml:space="preserve"> 0.1% gel) – </w:t>
      </w:r>
      <w:r w:rsidRPr="005F7733">
        <w:rPr>
          <w:rFonts w:ascii="Arial" w:hAnsi="Arial" w:cs="Arial"/>
          <w:b/>
          <w:bCs/>
          <w:color w:val="000000"/>
          <w:sz w:val="22"/>
          <w:szCs w:val="22"/>
        </w:rPr>
        <w:t>PA</w:t>
      </w:r>
    </w:p>
    <w:p w14:paraId="047C3A65" w14:textId="77777777" w:rsidR="00BC2A71" w:rsidRDefault="00BC2A71" w:rsidP="00FC4A2A">
      <w:pPr>
        <w:shd w:val="clear" w:color="auto" w:fill="FFFFFF"/>
        <w:rPr>
          <w:rFonts w:ascii="Arial" w:hAnsi="Arial"/>
          <w:b/>
          <w:bCs/>
          <w:sz w:val="18"/>
          <w:szCs w:val="18"/>
        </w:rPr>
      </w:pPr>
    </w:p>
    <w:p w14:paraId="73EB7511" w14:textId="77777777" w:rsidR="00FC4A2A" w:rsidRPr="00FC4A2A" w:rsidRDefault="00FC4A2A" w:rsidP="00FC4A2A">
      <w:pPr>
        <w:shd w:val="clear" w:color="auto" w:fill="FFFFFF"/>
        <w:ind w:firstLine="9"/>
        <w:rPr>
          <w:rFonts w:ascii="Arial" w:hAnsi="Arial" w:cs="Arial"/>
          <w:sz w:val="22"/>
          <w:szCs w:val="22"/>
        </w:rPr>
      </w:pPr>
    </w:p>
    <w:p w14:paraId="6B767E53" w14:textId="3FFF214B" w:rsidR="00C91D6C" w:rsidRDefault="00FF79EF" w:rsidP="00C91D6C">
      <w:pPr>
        <w:shd w:val="clear" w:color="auto" w:fill="FFFFFF"/>
        <w:ind w:left="729" w:hanging="630"/>
        <w:jc w:val="center"/>
        <w:rPr>
          <w:rFonts w:ascii="Arial" w:hAnsi="Arial"/>
          <w:b/>
          <w:bCs/>
          <w:sz w:val="18"/>
          <w:szCs w:val="18"/>
        </w:rPr>
      </w:pPr>
      <w:r>
        <w:rPr>
          <w:rFonts w:ascii="Arial" w:hAnsi="Arial"/>
          <w:b/>
          <w:bCs/>
          <w:sz w:val="18"/>
          <w:szCs w:val="18"/>
        </w:rPr>
        <w:br w:type="column"/>
      </w:r>
      <w:r w:rsidR="00C91D6C">
        <w:rPr>
          <w:rFonts w:ascii="Arial" w:hAnsi="Arial"/>
          <w:b/>
          <w:bCs/>
          <w:sz w:val="18"/>
          <w:szCs w:val="18"/>
        </w:rPr>
        <w:lastRenderedPageBreak/>
        <w:t>L</w:t>
      </w:r>
      <w:r w:rsidR="00C91D6C" w:rsidRPr="006E1C33">
        <w:rPr>
          <w:rFonts w:ascii="Arial" w:hAnsi="Arial"/>
          <w:b/>
          <w:bCs/>
          <w:sz w:val="18"/>
          <w:szCs w:val="18"/>
        </w:rPr>
        <w:t>egend</w:t>
      </w:r>
    </w:p>
    <w:p w14:paraId="3BD92353" w14:textId="77777777" w:rsidR="00C91D6C" w:rsidRPr="006E6AFF" w:rsidRDefault="00C91D6C" w:rsidP="00C91D6C">
      <w:pPr>
        <w:shd w:val="clear" w:color="auto" w:fill="FFFFFF"/>
        <w:tabs>
          <w:tab w:val="left" w:pos="180"/>
          <w:tab w:val="left" w:pos="360"/>
        </w:tabs>
        <w:ind w:left="270" w:hanging="360"/>
        <w:rPr>
          <w:rFonts w:ascii="Arial" w:hAnsi="Arial"/>
          <w:b/>
          <w:bCs/>
          <w:color w:val="FF0000"/>
          <w:sz w:val="18"/>
          <w:szCs w:val="18"/>
        </w:rPr>
      </w:pPr>
    </w:p>
    <w:p w14:paraId="142CF3A8" w14:textId="77777777" w:rsidR="00C91D6C" w:rsidRDefault="00C91D6C" w:rsidP="00666D80">
      <w:pPr>
        <w:shd w:val="clear" w:color="auto" w:fill="FFFFFF"/>
        <w:ind w:left="270" w:hanging="360"/>
        <w:rPr>
          <w:rFonts w:ascii="Arial" w:hAnsi="Arial"/>
          <w:bCs/>
          <w:sz w:val="18"/>
          <w:szCs w:val="18"/>
        </w:rPr>
      </w:pPr>
      <w:r w:rsidRPr="008643AD">
        <w:rPr>
          <w:rFonts w:ascii="Arial" w:hAnsi="Arial"/>
          <w:b/>
          <w:bCs/>
          <w:sz w:val="18"/>
          <w:szCs w:val="18"/>
          <w:vertAlign w:val="superscript"/>
        </w:rPr>
        <w:t>PA</w:t>
      </w:r>
      <w:r>
        <w:rPr>
          <w:rFonts w:ascii="Arial" w:hAnsi="Arial"/>
          <w:b/>
          <w:bCs/>
          <w:sz w:val="18"/>
          <w:szCs w:val="18"/>
        </w:rPr>
        <w:t xml:space="preserve">  </w:t>
      </w:r>
      <w:r w:rsidR="00CB5BE7">
        <w:rPr>
          <w:rFonts w:ascii="Arial" w:hAnsi="Arial"/>
          <w:b/>
          <w:bCs/>
          <w:sz w:val="18"/>
          <w:szCs w:val="18"/>
        </w:rPr>
        <w:t xml:space="preserve">  </w:t>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1B8C38F8" w14:textId="77777777" w:rsidR="00C91D6C" w:rsidRPr="005B15B3" w:rsidRDefault="00C91D6C" w:rsidP="00C91D6C">
      <w:pPr>
        <w:shd w:val="clear" w:color="auto" w:fill="FFFFFF"/>
        <w:tabs>
          <w:tab w:val="left" w:pos="360"/>
        </w:tabs>
        <w:rPr>
          <w:rFonts w:ascii="Arial" w:hAnsi="Arial"/>
          <w:bCs/>
          <w:sz w:val="22"/>
          <w:szCs w:val="22"/>
        </w:rPr>
      </w:pPr>
    </w:p>
    <w:p w14:paraId="6D7239C3" w14:textId="1D45EA2A" w:rsidR="00FF79EF" w:rsidRDefault="00C91D6C" w:rsidP="00C91D6C">
      <w:pPr>
        <w:shd w:val="clear" w:color="auto" w:fill="FFFFFF"/>
        <w:ind w:left="270" w:hanging="360"/>
        <w:rPr>
          <w:rFonts w:ascii="Arial" w:eastAsia="Calibri" w:hAnsi="Arial" w:cs="Arial"/>
          <w:sz w:val="18"/>
          <w:szCs w:val="18"/>
        </w:rPr>
      </w:pPr>
      <w:r w:rsidRPr="005B15B3">
        <w:rPr>
          <w:rFonts w:ascii="Arial" w:hAnsi="Arial"/>
          <w:b/>
          <w:sz w:val="22"/>
          <w:szCs w:val="22"/>
          <w:vertAlign w:val="superscript"/>
        </w:rPr>
        <w:t xml:space="preserve">BP </w:t>
      </w:r>
      <w:r>
        <w:rPr>
          <w:rFonts w:ascii="Arial" w:hAnsi="Arial"/>
          <w:b/>
          <w:sz w:val="18"/>
          <w:szCs w:val="18"/>
          <w:vertAlign w:val="superscript"/>
        </w:rPr>
        <w:t xml:space="preserve">  </w:t>
      </w:r>
      <w:r>
        <w:rPr>
          <w:rFonts w:ascii="Arial" w:hAnsi="Arial"/>
          <w:bCs/>
          <w:sz w:val="18"/>
          <w:szCs w:val="18"/>
        </w:rPr>
        <w:t xml:space="preserve">  Brand preferred over generic equivalents. In general, MassHealth requires a trial of the preferred drug or clinical rationale for prescribing the </w:t>
      </w:r>
      <w:proofErr w:type="spellStart"/>
      <w:r>
        <w:rPr>
          <w:rFonts w:ascii="Arial" w:hAnsi="Arial"/>
          <w:bCs/>
          <w:sz w:val="18"/>
          <w:szCs w:val="18"/>
        </w:rPr>
        <w:t>nonpreferred</w:t>
      </w:r>
      <w:proofErr w:type="spellEnd"/>
      <w:r>
        <w:rPr>
          <w:rFonts w:ascii="Arial" w:hAnsi="Arial"/>
          <w:bCs/>
          <w:sz w:val="18"/>
          <w:szCs w:val="18"/>
        </w:rPr>
        <w:t xml:space="preserve"> drug generic equivalent.</w:t>
      </w:r>
    </w:p>
    <w:p w14:paraId="65823D11" w14:textId="77777777" w:rsidR="00FF79EF" w:rsidRDefault="00FF79EF" w:rsidP="00167CB7">
      <w:pPr>
        <w:shd w:val="clear" w:color="auto" w:fill="FFFFFF"/>
        <w:rPr>
          <w:rFonts w:ascii="Arial" w:hAnsi="Arial"/>
          <w:bCs/>
          <w:sz w:val="18"/>
          <w:szCs w:val="18"/>
        </w:rPr>
      </w:pPr>
    </w:p>
    <w:p w14:paraId="77139E87" w14:textId="77777777" w:rsidR="00167CB7" w:rsidRPr="00FC4A2A" w:rsidRDefault="00167CB7" w:rsidP="00167CB7">
      <w:pPr>
        <w:pStyle w:val="Heading2"/>
      </w:pPr>
      <w:r w:rsidRPr="00FC4A2A">
        <w:t>ACO Name Change</w:t>
      </w:r>
    </w:p>
    <w:p w14:paraId="46B587C5" w14:textId="40BE1E23" w:rsidR="00167CB7" w:rsidRPr="00FC4A2A" w:rsidRDefault="00167CB7" w:rsidP="00167CB7">
      <w:pPr>
        <w:shd w:val="clear" w:color="auto" w:fill="FFFFFF"/>
        <w:ind w:firstLine="9"/>
        <w:rPr>
          <w:rFonts w:ascii="Arial" w:hAnsi="Arial" w:cs="Arial"/>
          <w:sz w:val="22"/>
          <w:szCs w:val="22"/>
        </w:rPr>
      </w:pPr>
      <w:r w:rsidRPr="00FC4A2A">
        <w:rPr>
          <w:rFonts w:ascii="Arial" w:hAnsi="Arial" w:cs="Arial"/>
          <w:sz w:val="22"/>
          <w:szCs w:val="22"/>
        </w:rPr>
        <w:t>Partners Health Care Choice legally changed its name to Mass Genera</w:t>
      </w:r>
      <w:r w:rsidR="003F74A0">
        <w:rPr>
          <w:rFonts w:ascii="Arial" w:hAnsi="Arial" w:cs="Arial"/>
          <w:sz w:val="22"/>
          <w:szCs w:val="22"/>
        </w:rPr>
        <w:t>l Brigham ACO effective March 1,</w:t>
      </w:r>
      <w:r w:rsidRPr="00FC4A2A">
        <w:rPr>
          <w:rFonts w:ascii="Arial" w:hAnsi="Arial" w:cs="Arial"/>
          <w:sz w:val="22"/>
          <w:szCs w:val="22"/>
        </w:rPr>
        <w:t xml:space="preserve"> 2021. </w:t>
      </w:r>
    </w:p>
    <w:p w14:paraId="522DAA0D" w14:textId="77777777" w:rsidR="00167CB7" w:rsidRDefault="00167CB7" w:rsidP="00C91D6C">
      <w:pPr>
        <w:shd w:val="clear" w:color="auto" w:fill="FFFFFF"/>
        <w:ind w:left="270" w:hanging="360"/>
        <w:rPr>
          <w:rFonts w:ascii="Arial" w:hAnsi="Arial"/>
          <w:bCs/>
          <w:sz w:val="18"/>
          <w:szCs w:val="18"/>
        </w:rPr>
        <w:sectPr w:rsidR="00167CB7" w:rsidSect="003C1739">
          <w:headerReference w:type="default" r:id="rId23"/>
          <w:footerReference w:type="default" r:id="rId24"/>
          <w:type w:val="continuous"/>
          <w:pgSz w:w="12240" w:h="15840" w:code="1"/>
          <w:pgMar w:top="360" w:right="907" w:bottom="432" w:left="907" w:header="720" w:footer="576" w:gutter="0"/>
          <w:cols w:num="2" w:sep="1" w:space="720"/>
          <w:docGrid w:linePitch="360"/>
        </w:sectPr>
      </w:pPr>
    </w:p>
    <w:p w14:paraId="3ED31BA6" w14:textId="43D88C11" w:rsidR="00FF79EF" w:rsidRDefault="00FF79EF" w:rsidP="00C91D6C">
      <w:pPr>
        <w:shd w:val="clear" w:color="auto" w:fill="FFFFFF"/>
        <w:ind w:left="270" w:hanging="360"/>
        <w:rPr>
          <w:rFonts w:ascii="Arial" w:hAnsi="Arial"/>
          <w:bCs/>
          <w:sz w:val="18"/>
          <w:szCs w:val="18"/>
        </w:rPr>
      </w:pPr>
    </w:p>
    <w:p w14:paraId="4CDB1829" w14:textId="77777777" w:rsidR="00FF79EF" w:rsidRDefault="00FF79EF">
      <w:pPr>
        <w:rPr>
          <w:rFonts w:ascii="Arial" w:hAnsi="Arial"/>
          <w:bCs/>
          <w:sz w:val="18"/>
          <w:szCs w:val="18"/>
        </w:rPr>
      </w:pPr>
      <w:r>
        <w:rPr>
          <w:rFonts w:ascii="Arial" w:hAnsi="Arial"/>
          <w:bCs/>
          <w:sz w:val="18"/>
          <w:szCs w:val="18"/>
        </w:rPr>
        <w:br w:type="page"/>
      </w:r>
    </w:p>
    <w:p w14:paraId="7469E473" w14:textId="77777777" w:rsidR="00913040" w:rsidRDefault="00913040" w:rsidP="00C96921">
      <w:pPr>
        <w:autoSpaceDE w:val="0"/>
        <w:autoSpaceDN w:val="0"/>
        <w:adjustRightInd w:val="0"/>
        <w:jc w:val="center"/>
        <w:rPr>
          <w:rFonts w:ascii="Arial" w:hAnsi="Arial" w:cs="Arial"/>
          <w:b/>
        </w:rPr>
      </w:pPr>
    </w:p>
    <w:p w14:paraId="4A649658" w14:textId="77777777" w:rsidR="00C96921" w:rsidRPr="00C96921" w:rsidRDefault="00C96921" w:rsidP="00C96921">
      <w:pPr>
        <w:autoSpaceDE w:val="0"/>
        <w:autoSpaceDN w:val="0"/>
        <w:adjustRightInd w:val="0"/>
        <w:jc w:val="center"/>
        <w:rPr>
          <w:rFonts w:ascii="Arial" w:hAnsi="Arial" w:cs="Arial"/>
          <w:b/>
        </w:rPr>
      </w:pPr>
      <w:r w:rsidRPr="00C96921">
        <w:rPr>
          <w:rFonts w:ascii="Arial" w:hAnsi="Arial" w:cs="Arial"/>
          <w:b/>
        </w:rPr>
        <w:t>BIN/PCN/Group Numbers for ACOs, MCOs, PCC Plan, MassHealth-Only SCOs</w:t>
      </w:r>
    </w:p>
    <w:p w14:paraId="0FE8917A" w14:textId="77777777" w:rsidR="00C96921" w:rsidRPr="00C96921" w:rsidRDefault="00C96921" w:rsidP="00C96921">
      <w:pPr>
        <w:jc w:val="center"/>
        <w:rPr>
          <w:rFonts w:ascii="Arial" w:hAnsi="Arial" w:cs="Arial"/>
          <w:b/>
          <w:sz w:val="22"/>
          <w:szCs w:val="22"/>
        </w:rPr>
      </w:pPr>
    </w:p>
    <w:p w14:paraId="6821B130" w14:textId="77777777" w:rsidR="00C96921" w:rsidRPr="00C96921" w:rsidRDefault="00C96921" w:rsidP="00C96921">
      <w:pPr>
        <w:jc w:val="center"/>
        <w:rPr>
          <w:rFonts w:ascii="Arial" w:hAnsi="Arial" w:cs="Arial"/>
          <w:bCs/>
          <w:sz w:val="22"/>
          <w:szCs w:val="22"/>
          <w:u w:val="single"/>
        </w:rPr>
      </w:pPr>
      <w:r w:rsidRPr="00C96921">
        <w:rPr>
          <w:rFonts w:ascii="Arial" w:hAnsi="Arial" w:cs="Arial"/>
          <w:sz w:val="22"/>
          <w:szCs w:val="22"/>
        </w:rPr>
        <w:t>Updates information in Pharmacy Facts 160</w:t>
      </w:r>
    </w:p>
    <w:p w14:paraId="6F975D4B" w14:textId="2A83C250" w:rsidR="00C96921" w:rsidRPr="00C96921" w:rsidRDefault="00C96921" w:rsidP="00C96921">
      <w:pPr>
        <w:tabs>
          <w:tab w:val="left" w:pos="8196"/>
        </w:tabs>
        <w:rPr>
          <w:rFonts w:ascii="Arial" w:hAnsi="Arial" w:cs="Calibri"/>
          <w:b/>
          <w:sz w:val="22"/>
          <w:szCs w:val="22"/>
        </w:rPr>
      </w:pPr>
      <w:r>
        <w:rPr>
          <w:rFonts w:ascii="Arial" w:hAnsi="Arial" w:cs="Calibri"/>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327"/>
        <w:gridCol w:w="990"/>
        <w:gridCol w:w="1013"/>
        <w:gridCol w:w="1350"/>
        <w:gridCol w:w="2628"/>
      </w:tblGrid>
      <w:tr w:rsidR="00C96921" w:rsidRPr="00C96921" w14:paraId="2598D8FD" w14:textId="77777777" w:rsidTr="00C96921">
        <w:trPr>
          <w:trHeight w:val="467"/>
          <w:jc w:val="center"/>
        </w:trPr>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304CD"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Accountable Care Partnership Plans</w:t>
            </w:r>
          </w:p>
        </w:tc>
        <w:tc>
          <w:tcPr>
            <w:tcW w:w="13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3BFE5E"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PBM</w:t>
            </w:r>
          </w:p>
        </w:tc>
        <w:tc>
          <w:tcPr>
            <w:tcW w:w="9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9A4A72"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BIN</w:t>
            </w:r>
          </w:p>
        </w:tc>
        <w:tc>
          <w:tcPr>
            <w:tcW w:w="1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26B947"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PCN</w:t>
            </w:r>
          </w:p>
        </w:tc>
        <w:tc>
          <w:tcPr>
            <w:tcW w:w="13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9EA5AB"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Group</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4678E6" w14:textId="77777777" w:rsidR="00C96921" w:rsidRPr="00C96921" w:rsidRDefault="00C96921" w:rsidP="00C96921">
            <w:pPr>
              <w:jc w:val="center"/>
              <w:rPr>
                <w:rFonts w:ascii="Arial" w:hAnsi="Arial" w:cs="Arial"/>
                <w:b/>
                <w:sz w:val="22"/>
                <w:szCs w:val="22"/>
              </w:rPr>
            </w:pPr>
            <w:r w:rsidRPr="00C96921">
              <w:rPr>
                <w:rFonts w:ascii="Arial" w:hAnsi="Arial" w:cs="Arial"/>
                <w:b/>
                <w:sz w:val="22"/>
                <w:szCs w:val="22"/>
              </w:rPr>
              <w:t>Pharmacy Help Desk</w:t>
            </w:r>
          </w:p>
        </w:tc>
      </w:tr>
      <w:tr w:rsidR="00C96921" w:rsidRPr="00C96921" w14:paraId="3093B509"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73C915AF"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Be Healthy Partnership (HNE)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451C820"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OptumRx</w:t>
            </w:r>
          </w:p>
        </w:tc>
        <w:tc>
          <w:tcPr>
            <w:tcW w:w="990" w:type="dxa"/>
            <w:tcBorders>
              <w:top w:val="single" w:sz="4" w:space="0" w:color="auto"/>
              <w:left w:val="single" w:sz="4" w:space="0" w:color="auto"/>
              <w:bottom w:val="single" w:sz="4" w:space="0" w:color="auto"/>
              <w:right w:val="single" w:sz="4" w:space="0" w:color="auto"/>
            </w:tcBorders>
            <w:vAlign w:val="center"/>
            <w:hideMark/>
          </w:tcPr>
          <w:p w14:paraId="50771651"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610593</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39FFF17"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MHP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09CAC8"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HNEMH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EB521B1"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(800) 918</w:t>
            </w:r>
            <w:r w:rsidRPr="00C96921">
              <w:rPr>
                <w:rFonts w:ascii="Arial" w:hAnsi="Arial" w:cs="Arial"/>
                <w:b/>
                <w:sz w:val="22"/>
                <w:szCs w:val="22"/>
              </w:rPr>
              <w:t>-</w:t>
            </w:r>
            <w:r w:rsidRPr="00C96921">
              <w:rPr>
                <w:rFonts w:ascii="Arial" w:hAnsi="Arial" w:cs="Arial"/>
                <w:sz w:val="22"/>
                <w:szCs w:val="22"/>
              </w:rPr>
              <w:t>7545</w:t>
            </w:r>
          </w:p>
          <w:p w14:paraId="55DA3E45"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(Optum Rx)</w:t>
            </w:r>
          </w:p>
        </w:tc>
      </w:tr>
      <w:tr w:rsidR="00C96921" w:rsidRPr="00C96921" w14:paraId="71787B87"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2D94D730"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Berkshire Fallon Health Collaborative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21019C4"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7EB9390F"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2CEF1E2"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222146"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RX6429</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06360C8"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(800) 364</w:t>
            </w:r>
            <w:r w:rsidRPr="00C96921">
              <w:rPr>
                <w:rFonts w:ascii="Arial" w:hAnsi="Arial" w:cs="Arial"/>
                <w:i/>
                <w:sz w:val="22"/>
                <w:szCs w:val="22"/>
              </w:rPr>
              <w:t>-</w:t>
            </w:r>
            <w:r w:rsidRPr="00C96921">
              <w:rPr>
                <w:rFonts w:ascii="Arial" w:hAnsi="Arial" w:cs="Arial"/>
                <w:sz w:val="22"/>
                <w:szCs w:val="22"/>
              </w:rPr>
              <w:t>6331</w:t>
            </w:r>
          </w:p>
          <w:p w14:paraId="0F84B74B"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4FA1C345"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3627EE98"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BMC HealthNet Plan Community Alliance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4F8FD22"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Express Scripts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13D8DE"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003858</w:t>
            </w:r>
          </w:p>
        </w:tc>
        <w:tc>
          <w:tcPr>
            <w:tcW w:w="1013" w:type="dxa"/>
            <w:tcBorders>
              <w:top w:val="single" w:sz="4" w:space="0" w:color="auto"/>
              <w:left w:val="single" w:sz="4" w:space="0" w:color="auto"/>
              <w:bottom w:val="single" w:sz="4" w:space="0" w:color="auto"/>
              <w:right w:val="single" w:sz="4" w:space="0" w:color="auto"/>
            </w:tcBorders>
            <w:vAlign w:val="center"/>
            <w:hideMark/>
          </w:tcPr>
          <w:p w14:paraId="47739C7B"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4700BD"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MAHLTH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73F41545"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401-2069</w:t>
            </w:r>
          </w:p>
          <w:p w14:paraId="75E0E443"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(ESI)</w:t>
            </w:r>
          </w:p>
        </w:tc>
      </w:tr>
      <w:tr w:rsidR="00C96921" w:rsidRPr="00C96921" w14:paraId="5F2F5A3F"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0BCCFB52"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BMC HealthNet Plan Mercy Alliance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1D236AE"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Express Scripts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888C67"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003858</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97F0110"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58C51E"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MAHLTH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208EBE95"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401-2069</w:t>
            </w:r>
          </w:p>
          <w:p w14:paraId="1F3213D3"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(ESI)</w:t>
            </w:r>
          </w:p>
        </w:tc>
      </w:tr>
      <w:tr w:rsidR="00C96921" w:rsidRPr="00C96921" w14:paraId="0ECF4CD2" w14:textId="77777777" w:rsidTr="00C96921">
        <w:trPr>
          <w:trHeight w:val="748"/>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36A5FF80"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BMC HealthNet Plan Signature Alliance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9479876"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Express Scripts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B09ADD"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003858</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43212BD"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059933"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MAHLTH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1D330BD"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401-2069</w:t>
            </w:r>
          </w:p>
          <w:p w14:paraId="2E019C20"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(ESI)</w:t>
            </w:r>
          </w:p>
        </w:tc>
      </w:tr>
      <w:tr w:rsidR="00C96921" w:rsidRPr="00C96921" w14:paraId="0D4A6F8A"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41C2DBEC"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BMC HealthNet Plan Southcoast Alliance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B7BB915"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Express Scripts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785E5B"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003858</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8C88920"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414FB7" w14:textId="77777777" w:rsidR="00C96921" w:rsidRPr="00C96921" w:rsidRDefault="00C96921" w:rsidP="00C96921">
            <w:pPr>
              <w:jc w:val="center"/>
              <w:rPr>
                <w:rFonts w:ascii="Arial" w:eastAsia="Arial" w:hAnsi="Arial" w:cs="Arial"/>
                <w:color w:val="000000"/>
                <w:sz w:val="22"/>
                <w:szCs w:val="22"/>
              </w:rPr>
            </w:pPr>
            <w:r w:rsidRPr="00C96921">
              <w:rPr>
                <w:rFonts w:ascii="Arial" w:hAnsi="Arial" w:cs="Arial"/>
                <w:sz w:val="22"/>
                <w:szCs w:val="22"/>
              </w:rPr>
              <w:t>MAHLTH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449BF712"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401-2069</w:t>
            </w:r>
          </w:p>
          <w:p w14:paraId="2E625458"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(ESI)</w:t>
            </w:r>
          </w:p>
        </w:tc>
      </w:tr>
      <w:tr w:rsidR="00C96921" w:rsidRPr="00C96921" w14:paraId="65573844"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7BA5C41E"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Fallon 365 Care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1619B93"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9A26CD"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CCF5C7E"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1C1555"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RX6430</w:t>
            </w:r>
          </w:p>
        </w:tc>
        <w:tc>
          <w:tcPr>
            <w:tcW w:w="2628" w:type="dxa"/>
            <w:tcBorders>
              <w:top w:val="single" w:sz="4" w:space="0" w:color="auto"/>
              <w:left w:val="single" w:sz="4" w:space="0" w:color="auto"/>
              <w:bottom w:val="single" w:sz="4" w:space="0" w:color="auto"/>
              <w:right w:val="single" w:sz="4" w:space="0" w:color="auto"/>
            </w:tcBorders>
            <w:vAlign w:val="center"/>
            <w:hideMark/>
          </w:tcPr>
          <w:p w14:paraId="726B2342"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(800) 364-6331</w:t>
            </w:r>
          </w:p>
          <w:p w14:paraId="1334A2D3"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7BA818A1" w14:textId="77777777" w:rsidTr="00C96921">
        <w:trPr>
          <w:trHeight w:val="253"/>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5E166AB5"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My Care Family</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D089213"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6CD8A117" w14:textId="77777777" w:rsidR="00C96921" w:rsidRPr="00C96921" w:rsidRDefault="00C96921" w:rsidP="00C96921">
            <w:pPr>
              <w:jc w:val="center"/>
              <w:rPr>
                <w:rFonts w:ascii="Arial" w:eastAsia="Arial" w:hAnsi="Arial" w:cs="Arial"/>
                <w:color w:val="000000"/>
                <w:sz w:val="22"/>
                <w:szCs w:val="22"/>
              </w:rPr>
            </w:pPr>
            <w:r w:rsidRPr="00C96921">
              <w:rPr>
                <w:rFonts w:ascii="Arial" w:eastAsia="Arial" w:hAnsi="Arial" w:cs="Arial"/>
                <w:color w:val="000000"/>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4DA8E66B" w14:textId="77777777" w:rsidR="00C96921" w:rsidRPr="00C96921" w:rsidRDefault="00C96921" w:rsidP="00C96921">
            <w:pPr>
              <w:jc w:val="center"/>
              <w:rPr>
                <w:rFonts w:ascii="Arial" w:eastAsia="Arial" w:hAnsi="Arial" w:cs="Arial"/>
                <w:color w:val="000000"/>
                <w:sz w:val="22"/>
                <w:szCs w:val="22"/>
              </w:rPr>
            </w:pPr>
            <w:r w:rsidRPr="00C96921">
              <w:rPr>
                <w:rFonts w:ascii="Arial" w:eastAsia="Arial" w:hAnsi="Arial" w:cs="Arial"/>
                <w:color w:val="000000"/>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9C6279" w14:textId="77777777" w:rsidR="00C96921" w:rsidRPr="00C96921" w:rsidRDefault="00C96921" w:rsidP="00C96921">
            <w:pPr>
              <w:jc w:val="center"/>
              <w:rPr>
                <w:rFonts w:ascii="Arial" w:eastAsia="Arial" w:hAnsi="Arial" w:cs="Arial"/>
                <w:color w:val="000000"/>
                <w:sz w:val="22"/>
                <w:szCs w:val="22"/>
              </w:rPr>
            </w:pPr>
            <w:r w:rsidRPr="00C96921">
              <w:rPr>
                <w:rFonts w:ascii="Arial" w:eastAsia="Arial" w:hAnsi="Arial" w:cs="Arial"/>
                <w:color w:val="000000"/>
                <w:sz w:val="22"/>
                <w:szCs w:val="22"/>
              </w:rPr>
              <w:t>RX1653</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17AA05D"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800-364-6331</w:t>
            </w:r>
          </w:p>
          <w:p w14:paraId="5866D28C"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39B7EBB7"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7AC5C0A3"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 xml:space="preserve">Tufts Health Together with </w:t>
            </w:r>
            <w:proofErr w:type="spellStart"/>
            <w:r w:rsidRPr="00C96921">
              <w:rPr>
                <w:rFonts w:ascii="Arial" w:hAnsi="Arial" w:cs="Arial"/>
                <w:sz w:val="22"/>
                <w:szCs w:val="22"/>
              </w:rPr>
              <w:t>Atrius</w:t>
            </w:r>
            <w:proofErr w:type="spellEnd"/>
            <w:r w:rsidRPr="00C96921">
              <w:rPr>
                <w:rFonts w:ascii="Arial" w:hAnsi="Arial" w:cs="Arial"/>
                <w:sz w:val="22"/>
                <w:szCs w:val="22"/>
              </w:rPr>
              <w:t xml:space="preserve"> Health</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F7C19A4"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F055C3"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D16E19E"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1DA6B0D"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RX1143</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349A6EA"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683</w:t>
            </w:r>
            <w:r w:rsidRPr="00C96921">
              <w:rPr>
                <w:rFonts w:ascii="Arial" w:hAnsi="Arial" w:cs="Arial"/>
                <w:b/>
                <w:sz w:val="22"/>
                <w:szCs w:val="22"/>
              </w:rPr>
              <w:t>-</w:t>
            </w:r>
            <w:r w:rsidRPr="00C96921">
              <w:rPr>
                <w:rFonts w:ascii="Arial" w:hAnsi="Arial" w:cs="Arial"/>
                <w:sz w:val="22"/>
                <w:szCs w:val="22"/>
              </w:rPr>
              <w:t>6174</w:t>
            </w:r>
          </w:p>
          <w:p w14:paraId="4B954D01"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42C4CA85"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5FDAA8D7"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Tufts Health Together with BIDCO</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28C2661"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A9551E"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C333FBB"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20CEFD"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RX1143</w:t>
            </w:r>
          </w:p>
        </w:tc>
        <w:tc>
          <w:tcPr>
            <w:tcW w:w="2628" w:type="dxa"/>
            <w:tcBorders>
              <w:top w:val="single" w:sz="4" w:space="0" w:color="auto"/>
              <w:left w:val="single" w:sz="4" w:space="0" w:color="auto"/>
              <w:bottom w:val="single" w:sz="4" w:space="0" w:color="auto"/>
              <w:right w:val="single" w:sz="4" w:space="0" w:color="auto"/>
            </w:tcBorders>
            <w:vAlign w:val="center"/>
            <w:hideMark/>
          </w:tcPr>
          <w:p w14:paraId="26B18286"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683-6174</w:t>
            </w:r>
          </w:p>
          <w:p w14:paraId="02E91484"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7C214219"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129A1D7F"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Tufts Health Together with Boston Children’s ACO</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D6A5F10"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CDBF0E"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427588C"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7CD23F"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RX1143</w:t>
            </w:r>
          </w:p>
        </w:tc>
        <w:tc>
          <w:tcPr>
            <w:tcW w:w="2628" w:type="dxa"/>
            <w:tcBorders>
              <w:top w:val="single" w:sz="4" w:space="0" w:color="auto"/>
              <w:left w:val="single" w:sz="4" w:space="0" w:color="auto"/>
              <w:bottom w:val="single" w:sz="4" w:space="0" w:color="auto"/>
              <w:right w:val="single" w:sz="4" w:space="0" w:color="auto"/>
            </w:tcBorders>
            <w:vAlign w:val="center"/>
            <w:hideMark/>
          </w:tcPr>
          <w:p w14:paraId="439A7721"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683</w:t>
            </w:r>
            <w:r w:rsidRPr="00C96921">
              <w:rPr>
                <w:rFonts w:ascii="Arial" w:hAnsi="Arial" w:cs="Arial"/>
                <w:b/>
                <w:sz w:val="22"/>
                <w:szCs w:val="22"/>
              </w:rPr>
              <w:t>-</w:t>
            </w:r>
            <w:r w:rsidRPr="00C96921">
              <w:rPr>
                <w:rFonts w:ascii="Arial" w:hAnsi="Arial" w:cs="Arial"/>
                <w:sz w:val="22"/>
                <w:szCs w:val="22"/>
              </w:rPr>
              <w:t>6174</w:t>
            </w:r>
          </w:p>
          <w:p w14:paraId="17D90854"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158423BA"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22F1B324"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Tufts Health Together with CHA</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D7241DF"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1355E108"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0A69B4A"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A0463D" w14:textId="77777777" w:rsidR="00C96921" w:rsidRPr="00C96921" w:rsidRDefault="00C96921" w:rsidP="00C96921">
            <w:pPr>
              <w:jc w:val="center"/>
              <w:rPr>
                <w:rFonts w:ascii="Arial" w:eastAsia="Arial" w:hAnsi="Arial" w:cs="Arial"/>
                <w:sz w:val="22"/>
                <w:szCs w:val="22"/>
              </w:rPr>
            </w:pPr>
            <w:r w:rsidRPr="00C96921">
              <w:rPr>
                <w:rFonts w:ascii="Arial" w:eastAsia="Arial" w:hAnsi="Arial" w:cs="Arial"/>
                <w:sz w:val="22"/>
                <w:szCs w:val="22"/>
              </w:rPr>
              <w:t>RX1143</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9B382A2"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(877) 683</w:t>
            </w:r>
            <w:r w:rsidRPr="00C96921">
              <w:rPr>
                <w:rFonts w:ascii="Arial" w:hAnsi="Arial" w:cs="Arial"/>
                <w:b/>
                <w:sz w:val="22"/>
                <w:szCs w:val="22"/>
              </w:rPr>
              <w:t>-</w:t>
            </w:r>
            <w:r w:rsidRPr="00C96921">
              <w:rPr>
                <w:rFonts w:ascii="Arial" w:hAnsi="Arial" w:cs="Arial"/>
                <w:sz w:val="22"/>
                <w:szCs w:val="22"/>
              </w:rPr>
              <w:t>6174</w:t>
            </w:r>
          </w:p>
          <w:p w14:paraId="46A726B1"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tc>
      </w:tr>
      <w:tr w:rsidR="00C96921" w:rsidRPr="00C96921" w14:paraId="50944631" w14:textId="77777777" w:rsidTr="00C96921">
        <w:trPr>
          <w:trHeight w:val="432"/>
          <w:jc w:val="center"/>
        </w:trPr>
        <w:tc>
          <w:tcPr>
            <w:tcW w:w="1818" w:type="dxa"/>
            <w:tcBorders>
              <w:top w:val="single" w:sz="4" w:space="0" w:color="auto"/>
              <w:left w:val="single" w:sz="4" w:space="0" w:color="auto"/>
              <w:bottom w:val="single" w:sz="4" w:space="0" w:color="auto"/>
              <w:right w:val="single" w:sz="4" w:space="0" w:color="auto"/>
            </w:tcBorders>
            <w:vAlign w:val="center"/>
            <w:hideMark/>
          </w:tcPr>
          <w:p w14:paraId="095B5EBB" w14:textId="77777777" w:rsidR="00C96921" w:rsidRPr="00C96921" w:rsidRDefault="00C96921" w:rsidP="00C96921">
            <w:pPr>
              <w:jc w:val="center"/>
              <w:rPr>
                <w:rFonts w:ascii="Arial" w:hAnsi="Arial" w:cs="Arial"/>
                <w:sz w:val="22"/>
                <w:szCs w:val="22"/>
              </w:rPr>
            </w:pPr>
            <w:proofErr w:type="spellStart"/>
            <w:r w:rsidRPr="00C96921">
              <w:rPr>
                <w:rFonts w:ascii="Arial" w:hAnsi="Arial" w:cs="Arial"/>
                <w:sz w:val="22"/>
                <w:szCs w:val="22"/>
              </w:rPr>
              <w:t>Wellforce</w:t>
            </w:r>
            <w:proofErr w:type="spellEnd"/>
            <w:r w:rsidRPr="00C96921">
              <w:rPr>
                <w:rFonts w:ascii="Arial" w:hAnsi="Arial" w:cs="Arial"/>
                <w:sz w:val="22"/>
                <w:szCs w:val="22"/>
              </w:rPr>
              <w:t xml:space="preserve"> Care Plan (Fallon)</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14DDC57" w14:textId="77777777" w:rsidR="00C96921" w:rsidRPr="00C96921" w:rsidRDefault="00C96921" w:rsidP="00C96921">
            <w:pPr>
              <w:jc w:val="center"/>
              <w:rPr>
                <w:rFonts w:ascii="Arial" w:hAnsi="Arial" w:cs="Arial"/>
                <w:sz w:val="22"/>
                <w:szCs w:val="22"/>
              </w:rPr>
            </w:pPr>
            <w:r w:rsidRPr="00C96921">
              <w:rPr>
                <w:rFonts w:ascii="Arial" w:eastAsia="Arial" w:hAnsi="Arial" w:cs="Arial"/>
                <w:sz w:val="22"/>
                <w:szCs w:val="22"/>
              </w:rPr>
              <w:t>CVS Caremark</w:t>
            </w:r>
          </w:p>
        </w:tc>
        <w:tc>
          <w:tcPr>
            <w:tcW w:w="990" w:type="dxa"/>
            <w:tcBorders>
              <w:top w:val="single" w:sz="4" w:space="0" w:color="auto"/>
              <w:left w:val="single" w:sz="4" w:space="0" w:color="auto"/>
              <w:bottom w:val="single" w:sz="4" w:space="0" w:color="auto"/>
              <w:right w:val="single" w:sz="4" w:space="0" w:color="auto"/>
            </w:tcBorders>
            <w:vAlign w:val="center"/>
            <w:hideMark/>
          </w:tcPr>
          <w:p w14:paraId="730AB61E"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004336</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CF985CB"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ADV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8EC857" w14:textId="77777777" w:rsidR="00C96921" w:rsidRPr="00C96921" w:rsidRDefault="00C96921" w:rsidP="00C96921">
            <w:pPr>
              <w:tabs>
                <w:tab w:val="right" w:pos="2664"/>
              </w:tabs>
              <w:jc w:val="center"/>
              <w:rPr>
                <w:rFonts w:ascii="Arial" w:eastAsia="Arial" w:hAnsi="Arial" w:cs="Arial"/>
                <w:color w:val="000000"/>
                <w:sz w:val="22"/>
                <w:szCs w:val="22"/>
              </w:rPr>
            </w:pPr>
            <w:r w:rsidRPr="00C96921">
              <w:rPr>
                <w:rFonts w:ascii="Arial" w:eastAsia="Arial" w:hAnsi="Arial" w:cs="Arial"/>
                <w:color w:val="000000"/>
                <w:sz w:val="22"/>
                <w:szCs w:val="22"/>
              </w:rPr>
              <w:t>RX6431</w:t>
            </w:r>
          </w:p>
        </w:tc>
        <w:tc>
          <w:tcPr>
            <w:tcW w:w="2628" w:type="dxa"/>
            <w:tcBorders>
              <w:top w:val="single" w:sz="4" w:space="0" w:color="auto"/>
              <w:left w:val="single" w:sz="4" w:space="0" w:color="auto"/>
              <w:bottom w:val="single" w:sz="4" w:space="0" w:color="auto"/>
              <w:right w:val="single" w:sz="4" w:space="0" w:color="auto"/>
            </w:tcBorders>
            <w:vAlign w:val="center"/>
          </w:tcPr>
          <w:p w14:paraId="7FA8745D"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(800) 364</w:t>
            </w:r>
            <w:r w:rsidRPr="00C96921">
              <w:rPr>
                <w:rFonts w:ascii="Arial" w:hAnsi="Arial" w:cs="Arial"/>
                <w:b/>
                <w:sz w:val="22"/>
                <w:szCs w:val="22"/>
              </w:rPr>
              <w:t>-</w:t>
            </w:r>
            <w:r w:rsidRPr="00C96921">
              <w:rPr>
                <w:rFonts w:ascii="Arial" w:hAnsi="Arial" w:cs="Arial"/>
                <w:sz w:val="22"/>
                <w:szCs w:val="22"/>
              </w:rPr>
              <w:t>6331</w:t>
            </w:r>
          </w:p>
          <w:p w14:paraId="7C850DEA" w14:textId="77777777" w:rsidR="00C96921" w:rsidRPr="00C96921" w:rsidRDefault="00C96921" w:rsidP="00C96921">
            <w:pPr>
              <w:jc w:val="center"/>
              <w:rPr>
                <w:rFonts w:ascii="Arial" w:hAnsi="Arial" w:cs="Arial"/>
                <w:sz w:val="22"/>
                <w:szCs w:val="22"/>
              </w:rPr>
            </w:pPr>
            <w:r w:rsidRPr="00C96921">
              <w:rPr>
                <w:rFonts w:ascii="Arial" w:hAnsi="Arial" w:cs="Arial"/>
                <w:sz w:val="22"/>
                <w:szCs w:val="22"/>
              </w:rPr>
              <w:t>(CVS Caremark)</w:t>
            </w:r>
          </w:p>
          <w:p w14:paraId="1773CD36" w14:textId="77777777" w:rsidR="00C96921" w:rsidRPr="00C96921" w:rsidRDefault="00C96921" w:rsidP="00C96921">
            <w:pPr>
              <w:jc w:val="center"/>
              <w:rPr>
                <w:rFonts w:ascii="Arial" w:hAnsi="Arial" w:cs="Arial"/>
                <w:sz w:val="22"/>
                <w:szCs w:val="22"/>
              </w:rPr>
            </w:pPr>
          </w:p>
        </w:tc>
      </w:tr>
    </w:tbl>
    <w:p w14:paraId="272063FA" w14:textId="77777777" w:rsidR="00C96921" w:rsidRDefault="00C96921">
      <w:pPr>
        <w:rPr>
          <w:rFonts w:ascii="Arial" w:hAnsi="Arial"/>
          <w:b/>
          <w:bCs/>
          <w:sz w:val="22"/>
          <w:szCs w:val="18"/>
        </w:rPr>
        <w:sectPr w:rsidR="00C96921" w:rsidSect="00FF79EF">
          <w:footerReference w:type="default" r:id="rId25"/>
          <w:type w:val="continuous"/>
          <w:pgSz w:w="12240" w:h="15840" w:code="1"/>
          <w:pgMar w:top="360" w:right="907" w:bottom="432" w:left="907" w:header="720" w:footer="576" w:gutter="0"/>
          <w:cols w:sep="1" w:space="720"/>
          <w:docGrid w:linePitch="360"/>
        </w:sectPr>
      </w:pPr>
    </w:p>
    <w:p w14:paraId="4328D681" w14:textId="77777777" w:rsidR="00C96921" w:rsidRDefault="00C96921">
      <w:pPr>
        <w:rPr>
          <w:rFonts w:ascii="Arial" w:hAnsi="Arial"/>
          <w:b/>
          <w:bCs/>
          <w:sz w:val="22"/>
          <w:szCs w:val="18"/>
        </w:rPr>
        <w:sectPr w:rsidR="00C96921" w:rsidSect="00FF79EF">
          <w:type w:val="continuous"/>
          <w:pgSz w:w="12240" w:h="15840" w:code="1"/>
          <w:pgMar w:top="360" w:right="907" w:bottom="432" w:left="907" w:header="720" w:footer="576" w:gutter="0"/>
          <w:cols w:sep="1" w:space="720"/>
          <w:docGrid w:linePitch="360"/>
        </w:sectPr>
      </w:pPr>
    </w:p>
    <w:p w14:paraId="3F32EE15" w14:textId="1ED742C2" w:rsidR="00FF79EF" w:rsidRDefault="00FF79EF">
      <w:pPr>
        <w:rPr>
          <w:rFonts w:ascii="Arial" w:hAnsi="Arial"/>
          <w:b/>
          <w:bCs/>
          <w:sz w:val="22"/>
          <w:szCs w:val="18"/>
        </w:rPr>
      </w:pPr>
      <w:r>
        <w:rPr>
          <w:rFonts w:ascii="Arial" w:hAnsi="Arial"/>
          <w:b/>
          <w:bCs/>
          <w:sz w:val="22"/>
          <w:szCs w:val="18"/>
        </w:rPr>
        <w:lastRenderedPageBreak/>
        <w:br w:type="page"/>
      </w:r>
    </w:p>
    <w:p w14:paraId="1D6DFA54" w14:textId="77777777" w:rsidR="00913040" w:rsidRDefault="00913040" w:rsidP="00C96921">
      <w:pPr>
        <w:jc w:val="center"/>
        <w:rPr>
          <w:rFonts w:ascii="Arial" w:hAnsi="Arial" w:cs="Arial"/>
          <w:b/>
        </w:rPr>
      </w:pPr>
    </w:p>
    <w:p w14:paraId="4F39CED7" w14:textId="77777777" w:rsidR="00C96921" w:rsidRPr="00C96921" w:rsidRDefault="00C96921" w:rsidP="00C96921">
      <w:pPr>
        <w:jc w:val="center"/>
        <w:rPr>
          <w:rFonts w:ascii="Arial" w:hAnsi="Arial" w:cs="Arial"/>
          <w:b/>
        </w:rPr>
      </w:pPr>
      <w:r w:rsidRPr="00C96921">
        <w:rPr>
          <w:rFonts w:ascii="Arial" w:hAnsi="Arial" w:cs="Arial"/>
          <w:b/>
        </w:rPr>
        <w:t>Emergency Override Codes for ACOs, MCOs, PCC Plans</w:t>
      </w:r>
    </w:p>
    <w:p w14:paraId="77C0FEDF" w14:textId="77777777" w:rsidR="00C96921" w:rsidRPr="00C96921" w:rsidRDefault="00C96921" w:rsidP="00C96921">
      <w:pPr>
        <w:jc w:val="center"/>
        <w:rPr>
          <w:rFonts w:ascii="Arial" w:hAnsi="Arial" w:cs="Arial"/>
          <w:b/>
          <w:sz w:val="22"/>
          <w:szCs w:val="22"/>
        </w:rPr>
      </w:pPr>
    </w:p>
    <w:p w14:paraId="41FE9903" w14:textId="77777777" w:rsidR="00C96921" w:rsidRPr="00C96921" w:rsidRDefault="00C96921" w:rsidP="00C96921">
      <w:pPr>
        <w:jc w:val="center"/>
        <w:rPr>
          <w:rFonts w:ascii="Arial" w:hAnsi="Arial" w:cs="Arial"/>
          <w:bCs/>
          <w:sz w:val="22"/>
          <w:szCs w:val="22"/>
          <w:u w:val="single"/>
        </w:rPr>
      </w:pPr>
      <w:r w:rsidRPr="00C96921">
        <w:rPr>
          <w:rFonts w:ascii="Arial" w:hAnsi="Arial" w:cs="Arial"/>
          <w:sz w:val="22"/>
          <w:szCs w:val="22"/>
        </w:rPr>
        <w:t>Updates information in Pharmacy Facts 159</w:t>
      </w:r>
    </w:p>
    <w:p w14:paraId="57D4B15F" w14:textId="77777777" w:rsidR="00C96921" w:rsidRPr="00C96921" w:rsidRDefault="00C96921" w:rsidP="00C9692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5322"/>
      </w:tblGrid>
      <w:tr w:rsidR="00C96921" w:rsidRPr="00C96921" w14:paraId="11A5FE25" w14:textId="77777777" w:rsidTr="00C96921">
        <w:tc>
          <w:tcPr>
            <w:tcW w:w="5436" w:type="dxa"/>
            <w:tcBorders>
              <w:top w:val="single" w:sz="4" w:space="0" w:color="auto"/>
              <w:left w:val="single" w:sz="4" w:space="0" w:color="auto"/>
              <w:bottom w:val="single" w:sz="4" w:space="0" w:color="auto"/>
              <w:right w:val="single" w:sz="4" w:space="0" w:color="auto"/>
            </w:tcBorders>
            <w:shd w:val="clear" w:color="auto" w:fill="BFBFBF"/>
            <w:hideMark/>
          </w:tcPr>
          <w:p w14:paraId="15A5782F" w14:textId="77777777" w:rsidR="00C96921" w:rsidRPr="00C96921" w:rsidRDefault="00C96921" w:rsidP="00C96921">
            <w:pPr>
              <w:rPr>
                <w:rFonts w:ascii="Arial" w:eastAsia="Calibri" w:hAnsi="Arial" w:cs="Arial"/>
                <w:b/>
                <w:sz w:val="22"/>
                <w:szCs w:val="22"/>
              </w:rPr>
            </w:pPr>
            <w:bookmarkStart w:id="2" w:name="_Hlk56762727"/>
            <w:r w:rsidRPr="00C96921">
              <w:rPr>
                <w:rFonts w:ascii="Arial" w:eastAsia="Calibri" w:hAnsi="Arial" w:cs="Arial"/>
                <w:b/>
                <w:sz w:val="22"/>
                <w:szCs w:val="22"/>
              </w:rPr>
              <w:t>Primary Care Partnership Plans</w:t>
            </w:r>
          </w:p>
        </w:tc>
        <w:tc>
          <w:tcPr>
            <w:tcW w:w="5436" w:type="dxa"/>
            <w:tcBorders>
              <w:top w:val="single" w:sz="4" w:space="0" w:color="auto"/>
              <w:left w:val="single" w:sz="4" w:space="0" w:color="auto"/>
              <w:bottom w:val="single" w:sz="4" w:space="0" w:color="auto"/>
              <w:right w:val="single" w:sz="4" w:space="0" w:color="auto"/>
            </w:tcBorders>
            <w:shd w:val="clear" w:color="auto" w:fill="BFBFBF"/>
            <w:hideMark/>
          </w:tcPr>
          <w:p w14:paraId="0800616B" w14:textId="77777777" w:rsidR="00C96921" w:rsidRPr="00C96921" w:rsidRDefault="00C96921" w:rsidP="00C96921">
            <w:pPr>
              <w:rPr>
                <w:rFonts w:ascii="Arial" w:eastAsia="Calibri" w:hAnsi="Arial" w:cs="Arial"/>
                <w:b/>
                <w:sz w:val="22"/>
                <w:szCs w:val="22"/>
              </w:rPr>
            </w:pPr>
            <w:r w:rsidRPr="00C96921">
              <w:rPr>
                <w:rFonts w:ascii="Arial" w:eastAsia="Calibri" w:hAnsi="Arial" w:cs="Arial"/>
                <w:b/>
                <w:sz w:val="22"/>
                <w:szCs w:val="22"/>
              </w:rPr>
              <w:t xml:space="preserve">Emergency Override Code </w:t>
            </w:r>
          </w:p>
        </w:tc>
      </w:tr>
      <w:tr w:rsidR="00C96921" w:rsidRPr="00C96921" w14:paraId="5CA7AF50"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281394BB"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Be Healthy Partnership (HNE)</w:t>
            </w:r>
          </w:p>
        </w:tc>
        <w:tc>
          <w:tcPr>
            <w:tcW w:w="5436" w:type="dxa"/>
            <w:tcBorders>
              <w:top w:val="single" w:sz="4" w:space="0" w:color="auto"/>
              <w:left w:val="single" w:sz="4" w:space="0" w:color="auto"/>
              <w:bottom w:val="single" w:sz="4" w:space="0" w:color="auto"/>
              <w:right w:val="single" w:sz="4" w:space="0" w:color="auto"/>
            </w:tcBorders>
            <w:hideMark/>
          </w:tcPr>
          <w:p w14:paraId="123D81C2"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Call (800) 918-7545 (Optum Rx) for override</w:t>
            </w:r>
          </w:p>
        </w:tc>
      </w:tr>
      <w:tr w:rsidR="00C96921" w:rsidRPr="00C96921" w14:paraId="7C0DBBD2"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27FD86FA"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Berkshire Fallon Health Collaborative</w:t>
            </w:r>
          </w:p>
        </w:tc>
        <w:tc>
          <w:tcPr>
            <w:tcW w:w="5436" w:type="dxa"/>
            <w:tcBorders>
              <w:top w:val="single" w:sz="4" w:space="0" w:color="auto"/>
              <w:left w:val="single" w:sz="4" w:space="0" w:color="auto"/>
              <w:bottom w:val="single" w:sz="4" w:space="0" w:color="auto"/>
              <w:right w:val="single" w:sz="4" w:space="0" w:color="auto"/>
            </w:tcBorders>
            <w:hideMark/>
          </w:tcPr>
          <w:p w14:paraId="442FE269"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59BC0B8F"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35EB53C9"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BMC HealthNet Plan Community Alliance</w:t>
            </w:r>
          </w:p>
        </w:tc>
        <w:tc>
          <w:tcPr>
            <w:tcW w:w="5436" w:type="dxa"/>
            <w:tcBorders>
              <w:top w:val="single" w:sz="4" w:space="0" w:color="auto"/>
              <w:left w:val="single" w:sz="4" w:space="0" w:color="auto"/>
              <w:bottom w:val="single" w:sz="4" w:space="0" w:color="auto"/>
              <w:right w:val="single" w:sz="4" w:space="0" w:color="auto"/>
            </w:tcBorders>
            <w:hideMark/>
          </w:tcPr>
          <w:p w14:paraId="1FFA2076"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PA Type 1, Code 1111</w:t>
            </w:r>
          </w:p>
        </w:tc>
      </w:tr>
      <w:tr w:rsidR="00C96921" w:rsidRPr="00C96921" w14:paraId="1CE09043"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1E144BBC"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BMC HealthNet Plan Mercy Alliance</w:t>
            </w:r>
          </w:p>
        </w:tc>
        <w:tc>
          <w:tcPr>
            <w:tcW w:w="5436" w:type="dxa"/>
            <w:tcBorders>
              <w:top w:val="single" w:sz="4" w:space="0" w:color="auto"/>
              <w:left w:val="single" w:sz="4" w:space="0" w:color="auto"/>
              <w:bottom w:val="single" w:sz="4" w:space="0" w:color="auto"/>
              <w:right w:val="single" w:sz="4" w:space="0" w:color="auto"/>
            </w:tcBorders>
            <w:hideMark/>
          </w:tcPr>
          <w:p w14:paraId="0BAA3C86"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PA Type 1, Code 1111</w:t>
            </w:r>
          </w:p>
        </w:tc>
      </w:tr>
      <w:tr w:rsidR="00C96921" w:rsidRPr="00C96921" w14:paraId="2BC715EA"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6E0B1AED"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BMC HealthNet Plan Signature Alliance</w:t>
            </w:r>
          </w:p>
        </w:tc>
        <w:tc>
          <w:tcPr>
            <w:tcW w:w="5436" w:type="dxa"/>
            <w:tcBorders>
              <w:top w:val="single" w:sz="4" w:space="0" w:color="auto"/>
              <w:left w:val="single" w:sz="4" w:space="0" w:color="auto"/>
              <w:bottom w:val="single" w:sz="4" w:space="0" w:color="auto"/>
              <w:right w:val="single" w:sz="4" w:space="0" w:color="auto"/>
            </w:tcBorders>
            <w:hideMark/>
          </w:tcPr>
          <w:p w14:paraId="3B14E5F7"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PA Type 1, Code 1111</w:t>
            </w:r>
          </w:p>
        </w:tc>
      </w:tr>
      <w:tr w:rsidR="00C96921" w:rsidRPr="00C96921" w14:paraId="51FF4852"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0FA07C0A"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 xml:space="preserve">BMC HealthNet Plan Southcoast Alliance </w:t>
            </w:r>
          </w:p>
        </w:tc>
        <w:tc>
          <w:tcPr>
            <w:tcW w:w="5436" w:type="dxa"/>
            <w:tcBorders>
              <w:top w:val="single" w:sz="4" w:space="0" w:color="auto"/>
              <w:left w:val="single" w:sz="4" w:space="0" w:color="auto"/>
              <w:bottom w:val="single" w:sz="4" w:space="0" w:color="auto"/>
              <w:right w:val="single" w:sz="4" w:space="0" w:color="auto"/>
            </w:tcBorders>
            <w:hideMark/>
          </w:tcPr>
          <w:p w14:paraId="1AC350CB"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PA Type 1, Code 1111</w:t>
            </w:r>
          </w:p>
        </w:tc>
      </w:tr>
      <w:tr w:rsidR="00C96921" w:rsidRPr="00C96921" w14:paraId="35E5A3A4"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986640E"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Fallon 365 Care</w:t>
            </w:r>
          </w:p>
        </w:tc>
        <w:tc>
          <w:tcPr>
            <w:tcW w:w="5436" w:type="dxa"/>
            <w:tcBorders>
              <w:top w:val="single" w:sz="4" w:space="0" w:color="auto"/>
              <w:left w:val="single" w:sz="4" w:space="0" w:color="auto"/>
              <w:bottom w:val="single" w:sz="4" w:space="0" w:color="auto"/>
              <w:right w:val="single" w:sz="4" w:space="0" w:color="auto"/>
            </w:tcBorders>
            <w:hideMark/>
          </w:tcPr>
          <w:p w14:paraId="43B94700"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08E1688F"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5C39FD9"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My Care Family</w:t>
            </w:r>
          </w:p>
        </w:tc>
        <w:tc>
          <w:tcPr>
            <w:tcW w:w="5436" w:type="dxa"/>
            <w:tcBorders>
              <w:top w:val="single" w:sz="4" w:space="0" w:color="auto"/>
              <w:left w:val="single" w:sz="4" w:space="0" w:color="auto"/>
              <w:bottom w:val="single" w:sz="4" w:space="0" w:color="auto"/>
              <w:right w:val="single" w:sz="4" w:space="0" w:color="auto"/>
            </w:tcBorders>
            <w:hideMark/>
          </w:tcPr>
          <w:p w14:paraId="7CD8166E"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4B95CEC5"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A74ED52"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Reliant (Fallon)</w:t>
            </w:r>
          </w:p>
        </w:tc>
        <w:tc>
          <w:tcPr>
            <w:tcW w:w="5436" w:type="dxa"/>
            <w:tcBorders>
              <w:top w:val="single" w:sz="4" w:space="0" w:color="auto"/>
              <w:left w:val="single" w:sz="4" w:space="0" w:color="auto"/>
              <w:bottom w:val="single" w:sz="4" w:space="0" w:color="auto"/>
              <w:right w:val="single" w:sz="4" w:space="0" w:color="auto"/>
            </w:tcBorders>
            <w:hideMark/>
          </w:tcPr>
          <w:p w14:paraId="02C1458C"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34522A59"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D2A3D46"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 xml:space="preserve">Tufts Health Together with </w:t>
            </w:r>
            <w:proofErr w:type="spellStart"/>
            <w:r w:rsidRPr="00C96921">
              <w:rPr>
                <w:rFonts w:ascii="Arial" w:eastAsia="Calibri" w:hAnsi="Arial" w:cs="Arial"/>
                <w:sz w:val="22"/>
                <w:szCs w:val="22"/>
              </w:rPr>
              <w:t>Atrius</w:t>
            </w:r>
            <w:proofErr w:type="spellEnd"/>
            <w:r w:rsidRPr="00C96921">
              <w:rPr>
                <w:rFonts w:ascii="Arial" w:eastAsia="Calibri" w:hAnsi="Arial" w:cs="Arial"/>
                <w:sz w:val="22"/>
                <w:szCs w:val="22"/>
              </w:rPr>
              <w:t xml:space="preserve"> Health</w:t>
            </w:r>
          </w:p>
        </w:tc>
        <w:tc>
          <w:tcPr>
            <w:tcW w:w="5436" w:type="dxa"/>
            <w:tcBorders>
              <w:top w:val="single" w:sz="4" w:space="0" w:color="auto"/>
              <w:left w:val="single" w:sz="4" w:space="0" w:color="auto"/>
              <w:bottom w:val="single" w:sz="4" w:space="0" w:color="auto"/>
              <w:right w:val="single" w:sz="4" w:space="0" w:color="auto"/>
            </w:tcBorders>
            <w:hideMark/>
          </w:tcPr>
          <w:p w14:paraId="687D91E0"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262B7DBF"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F2F685B"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Tufts Health Together with BIDCO</w:t>
            </w:r>
          </w:p>
        </w:tc>
        <w:tc>
          <w:tcPr>
            <w:tcW w:w="5436" w:type="dxa"/>
            <w:tcBorders>
              <w:top w:val="single" w:sz="4" w:space="0" w:color="auto"/>
              <w:left w:val="single" w:sz="4" w:space="0" w:color="auto"/>
              <w:bottom w:val="single" w:sz="4" w:space="0" w:color="auto"/>
              <w:right w:val="single" w:sz="4" w:space="0" w:color="auto"/>
            </w:tcBorders>
            <w:hideMark/>
          </w:tcPr>
          <w:p w14:paraId="68C34499"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3DB4BAFF"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6D83CBE5"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Tufts Health Together with Boston Children’s ACO</w:t>
            </w:r>
          </w:p>
        </w:tc>
        <w:tc>
          <w:tcPr>
            <w:tcW w:w="5436" w:type="dxa"/>
            <w:tcBorders>
              <w:top w:val="single" w:sz="4" w:space="0" w:color="auto"/>
              <w:left w:val="single" w:sz="4" w:space="0" w:color="auto"/>
              <w:bottom w:val="single" w:sz="4" w:space="0" w:color="auto"/>
              <w:right w:val="single" w:sz="4" w:space="0" w:color="auto"/>
            </w:tcBorders>
            <w:hideMark/>
          </w:tcPr>
          <w:p w14:paraId="74320347"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3F3F8479"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59769A62"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Tufts Health Together with CHA</w:t>
            </w:r>
          </w:p>
        </w:tc>
        <w:tc>
          <w:tcPr>
            <w:tcW w:w="5436" w:type="dxa"/>
            <w:tcBorders>
              <w:top w:val="single" w:sz="4" w:space="0" w:color="auto"/>
              <w:left w:val="single" w:sz="4" w:space="0" w:color="auto"/>
              <w:bottom w:val="single" w:sz="4" w:space="0" w:color="auto"/>
              <w:right w:val="single" w:sz="4" w:space="0" w:color="auto"/>
            </w:tcBorders>
            <w:hideMark/>
          </w:tcPr>
          <w:p w14:paraId="360D81F6"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2D49BE0F"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02C9E217" w14:textId="77777777" w:rsidR="00C96921" w:rsidRPr="00C96921" w:rsidRDefault="00C96921" w:rsidP="00C96921">
            <w:pPr>
              <w:rPr>
                <w:rFonts w:ascii="Arial" w:eastAsia="Calibri" w:hAnsi="Arial" w:cs="Arial"/>
                <w:sz w:val="22"/>
                <w:szCs w:val="22"/>
              </w:rPr>
            </w:pPr>
            <w:proofErr w:type="spellStart"/>
            <w:r w:rsidRPr="00C96921">
              <w:rPr>
                <w:rFonts w:ascii="Arial" w:eastAsia="Calibri" w:hAnsi="Arial" w:cs="Arial"/>
                <w:sz w:val="22"/>
                <w:szCs w:val="22"/>
              </w:rPr>
              <w:t>Wellforce</w:t>
            </w:r>
            <w:proofErr w:type="spellEnd"/>
            <w:r w:rsidRPr="00C96921">
              <w:rPr>
                <w:rFonts w:ascii="Arial" w:eastAsia="Calibri" w:hAnsi="Arial" w:cs="Arial"/>
                <w:sz w:val="22"/>
                <w:szCs w:val="22"/>
              </w:rPr>
              <w:t xml:space="preserve"> Care Plan (Fallon)</w:t>
            </w:r>
          </w:p>
        </w:tc>
        <w:tc>
          <w:tcPr>
            <w:tcW w:w="5436" w:type="dxa"/>
            <w:tcBorders>
              <w:top w:val="single" w:sz="4" w:space="0" w:color="auto"/>
              <w:left w:val="single" w:sz="4" w:space="0" w:color="auto"/>
              <w:bottom w:val="single" w:sz="4" w:space="0" w:color="auto"/>
              <w:right w:val="single" w:sz="4" w:space="0" w:color="auto"/>
            </w:tcBorders>
            <w:hideMark/>
          </w:tcPr>
          <w:p w14:paraId="15F32E73"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tr>
      <w:tr w:rsidR="00C96921" w:rsidRPr="00C96921" w14:paraId="6CA4AC03" w14:textId="77777777" w:rsidTr="00C96921">
        <w:tc>
          <w:tcPr>
            <w:tcW w:w="1087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10D0C7C" w14:textId="77777777" w:rsidR="00C96921" w:rsidRPr="00C96921" w:rsidRDefault="00C96921" w:rsidP="00C96921">
            <w:pPr>
              <w:rPr>
                <w:rFonts w:ascii="Arial" w:eastAsia="Calibri" w:hAnsi="Arial" w:cs="Arial"/>
                <w:b/>
                <w:sz w:val="22"/>
                <w:szCs w:val="22"/>
              </w:rPr>
            </w:pPr>
            <w:r w:rsidRPr="00C96921">
              <w:rPr>
                <w:rFonts w:ascii="Arial" w:eastAsia="Calibri" w:hAnsi="Arial" w:cs="Arial"/>
                <w:b/>
                <w:sz w:val="22"/>
                <w:szCs w:val="22"/>
              </w:rPr>
              <w:t>MassHealth Primary Care ACOs and PCC Plan</w:t>
            </w:r>
          </w:p>
        </w:tc>
      </w:tr>
      <w:tr w:rsidR="00C96921" w:rsidRPr="00C96921" w14:paraId="43E92294"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0467ED6D"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Community Care Cooperative (C3)</w:t>
            </w:r>
          </w:p>
        </w:tc>
        <w:tc>
          <w:tcPr>
            <w:tcW w:w="5436" w:type="dxa"/>
            <w:tcBorders>
              <w:top w:val="single" w:sz="4" w:space="0" w:color="auto"/>
              <w:left w:val="single" w:sz="4" w:space="0" w:color="auto"/>
              <w:bottom w:val="single" w:sz="4" w:space="0" w:color="auto"/>
              <w:right w:val="single" w:sz="4" w:space="0" w:color="auto"/>
            </w:tcBorders>
            <w:hideMark/>
          </w:tcPr>
          <w:p w14:paraId="220C10B1"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Value of “03” in field 418 (claims processed through POPS)</w:t>
            </w:r>
          </w:p>
        </w:tc>
      </w:tr>
      <w:tr w:rsidR="00C96921" w:rsidRPr="00C96921" w14:paraId="600E979A"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61E05E28"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Mass General Brigham ACO</w:t>
            </w:r>
          </w:p>
        </w:tc>
        <w:tc>
          <w:tcPr>
            <w:tcW w:w="5436" w:type="dxa"/>
            <w:tcBorders>
              <w:top w:val="single" w:sz="4" w:space="0" w:color="auto"/>
              <w:left w:val="single" w:sz="4" w:space="0" w:color="auto"/>
              <w:bottom w:val="single" w:sz="4" w:space="0" w:color="auto"/>
              <w:right w:val="single" w:sz="4" w:space="0" w:color="auto"/>
            </w:tcBorders>
            <w:hideMark/>
          </w:tcPr>
          <w:p w14:paraId="77890EED"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Value of “03” in field 418 (claims processed through POPS)</w:t>
            </w:r>
          </w:p>
        </w:tc>
      </w:tr>
      <w:tr w:rsidR="00C96921" w:rsidRPr="00C96921" w14:paraId="600489B2"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2ADAD260"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Steward Health Choice</w:t>
            </w:r>
          </w:p>
        </w:tc>
        <w:tc>
          <w:tcPr>
            <w:tcW w:w="5436" w:type="dxa"/>
            <w:tcBorders>
              <w:top w:val="single" w:sz="4" w:space="0" w:color="auto"/>
              <w:left w:val="single" w:sz="4" w:space="0" w:color="auto"/>
              <w:bottom w:val="single" w:sz="4" w:space="0" w:color="auto"/>
              <w:right w:val="single" w:sz="4" w:space="0" w:color="auto"/>
            </w:tcBorders>
            <w:hideMark/>
          </w:tcPr>
          <w:p w14:paraId="27C58824"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Value of “03” in field 418 (claims processed through POPS)</w:t>
            </w:r>
          </w:p>
        </w:tc>
      </w:tr>
      <w:tr w:rsidR="00C96921" w:rsidRPr="00C96921" w14:paraId="6A1AE71C"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2923497B"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Primary Care Clinician (PCC) plan</w:t>
            </w:r>
          </w:p>
        </w:tc>
        <w:tc>
          <w:tcPr>
            <w:tcW w:w="5436" w:type="dxa"/>
            <w:tcBorders>
              <w:top w:val="single" w:sz="4" w:space="0" w:color="auto"/>
              <w:left w:val="single" w:sz="4" w:space="0" w:color="auto"/>
              <w:bottom w:val="single" w:sz="4" w:space="0" w:color="auto"/>
              <w:right w:val="single" w:sz="4" w:space="0" w:color="auto"/>
            </w:tcBorders>
            <w:hideMark/>
          </w:tcPr>
          <w:p w14:paraId="49C6C907"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Value of “03” in field 418 (claims processed through POPS)</w:t>
            </w:r>
          </w:p>
        </w:tc>
      </w:tr>
      <w:tr w:rsidR="00C96921" w:rsidRPr="00C96921" w14:paraId="7F2F230C" w14:textId="77777777" w:rsidTr="00C96921">
        <w:tc>
          <w:tcPr>
            <w:tcW w:w="1087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52107A6" w14:textId="77777777" w:rsidR="00C96921" w:rsidRPr="00C96921" w:rsidRDefault="00C96921" w:rsidP="00C96921">
            <w:pPr>
              <w:rPr>
                <w:rFonts w:ascii="Arial" w:eastAsia="Calibri" w:hAnsi="Arial" w:cs="Arial"/>
                <w:b/>
                <w:sz w:val="22"/>
                <w:szCs w:val="22"/>
              </w:rPr>
            </w:pPr>
            <w:r w:rsidRPr="00C96921">
              <w:rPr>
                <w:rFonts w:ascii="Arial" w:eastAsia="Calibri" w:hAnsi="Arial" w:cs="Arial"/>
                <w:b/>
                <w:sz w:val="22"/>
                <w:szCs w:val="22"/>
              </w:rPr>
              <w:t>MCOs</w:t>
            </w:r>
          </w:p>
        </w:tc>
      </w:tr>
      <w:tr w:rsidR="00C96921" w:rsidRPr="00C96921" w14:paraId="1CFDD0F0"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4E6088F5"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BMC HealthNet Plan</w:t>
            </w:r>
          </w:p>
        </w:tc>
        <w:tc>
          <w:tcPr>
            <w:tcW w:w="5436" w:type="dxa"/>
            <w:tcBorders>
              <w:top w:val="single" w:sz="4" w:space="0" w:color="auto"/>
              <w:left w:val="single" w:sz="4" w:space="0" w:color="auto"/>
              <w:bottom w:val="single" w:sz="4" w:space="0" w:color="auto"/>
              <w:right w:val="single" w:sz="4" w:space="0" w:color="auto"/>
            </w:tcBorders>
            <w:hideMark/>
          </w:tcPr>
          <w:p w14:paraId="6872F3BF"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PA Type 1, Code 1111</w:t>
            </w:r>
          </w:p>
        </w:tc>
      </w:tr>
      <w:tr w:rsidR="00C96921" w:rsidRPr="00C96921" w14:paraId="2C9729F4" w14:textId="77777777" w:rsidTr="00C96921">
        <w:tc>
          <w:tcPr>
            <w:tcW w:w="5436" w:type="dxa"/>
            <w:tcBorders>
              <w:top w:val="single" w:sz="4" w:space="0" w:color="auto"/>
              <w:left w:val="single" w:sz="4" w:space="0" w:color="auto"/>
              <w:bottom w:val="single" w:sz="4" w:space="0" w:color="auto"/>
              <w:right w:val="single" w:sz="4" w:space="0" w:color="auto"/>
            </w:tcBorders>
            <w:hideMark/>
          </w:tcPr>
          <w:p w14:paraId="504545E7"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Tufts Health Together</w:t>
            </w:r>
          </w:p>
        </w:tc>
        <w:tc>
          <w:tcPr>
            <w:tcW w:w="5436" w:type="dxa"/>
            <w:tcBorders>
              <w:top w:val="single" w:sz="4" w:space="0" w:color="auto"/>
              <w:left w:val="single" w:sz="4" w:space="0" w:color="auto"/>
              <w:bottom w:val="single" w:sz="4" w:space="0" w:color="auto"/>
              <w:right w:val="single" w:sz="4" w:space="0" w:color="auto"/>
            </w:tcBorders>
            <w:hideMark/>
          </w:tcPr>
          <w:p w14:paraId="0C978A09" w14:textId="77777777" w:rsidR="00C96921" w:rsidRPr="00C96921" w:rsidRDefault="00C96921" w:rsidP="00C96921">
            <w:pPr>
              <w:rPr>
                <w:rFonts w:ascii="Arial" w:eastAsia="Calibri" w:hAnsi="Arial" w:cs="Arial"/>
                <w:sz w:val="22"/>
                <w:szCs w:val="22"/>
              </w:rPr>
            </w:pPr>
            <w:r w:rsidRPr="00C96921">
              <w:rPr>
                <w:rFonts w:ascii="Arial" w:eastAsia="Calibri" w:hAnsi="Arial" w:cs="Arial"/>
                <w:sz w:val="22"/>
                <w:szCs w:val="22"/>
              </w:rPr>
              <w:t>11112222333</w:t>
            </w:r>
          </w:p>
        </w:tc>
        <w:bookmarkEnd w:id="2"/>
      </w:tr>
    </w:tbl>
    <w:p w14:paraId="131CAE84" w14:textId="77777777" w:rsidR="0041065E" w:rsidRDefault="0041065E" w:rsidP="00212622">
      <w:pPr>
        <w:shd w:val="clear" w:color="auto" w:fill="FFFFFF"/>
        <w:ind w:left="270" w:hanging="441"/>
        <w:rPr>
          <w:bCs/>
          <w:sz w:val="18"/>
          <w:szCs w:val="18"/>
        </w:rPr>
        <w:sectPr w:rsidR="0041065E" w:rsidSect="009655CA">
          <w:footerReference w:type="default" r:id="rId26"/>
          <w:type w:val="continuous"/>
          <w:pgSz w:w="12240" w:h="15840" w:code="1"/>
          <w:pgMar w:top="360" w:right="907" w:bottom="432" w:left="907" w:header="720" w:footer="416" w:gutter="0"/>
          <w:cols w:sep="1" w:space="720"/>
          <w:docGrid w:linePitch="360"/>
        </w:sectPr>
      </w:pPr>
    </w:p>
    <w:p w14:paraId="4E5FB94C" w14:textId="655AE2EB" w:rsidR="009655CA" w:rsidRDefault="009655CA" w:rsidP="00375713">
      <w:pPr>
        <w:tabs>
          <w:tab w:val="left" w:pos="1606"/>
        </w:tabs>
      </w:pPr>
    </w:p>
    <w:p w14:paraId="58E756FE" w14:textId="77777777" w:rsidR="009655CA" w:rsidRPr="009655CA" w:rsidRDefault="009655CA" w:rsidP="009655CA"/>
    <w:p w14:paraId="4F04DFD8" w14:textId="77777777" w:rsidR="009655CA" w:rsidRPr="009655CA" w:rsidRDefault="009655CA" w:rsidP="009655CA"/>
    <w:p w14:paraId="33C528F6" w14:textId="77777777" w:rsidR="009655CA" w:rsidRPr="009655CA" w:rsidRDefault="009655CA" w:rsidP="009655CA"/>
    <w:p w14:paraId="67528091" w14:textId="77777777" w:rsidR="009655CA" w:rsidRPr="009655CA" w:rsidRDefault="009655CA" w:rsidP="009655CA"/>
    <w:p w14:paraId="219B55DE" w14:textId="77777777" w:rsidR="009655CA" w:rsidRPr="009655CA" w:rsidRDefault="009655CA" w:rsidP="009655CA"/>
    <w:p w14:paraId="4C6A8E58" w14:textId="77777777" w:rsidR="009655CA" w:rsidRPr="009655CA" w:rsidRDefault="009655CA" w:rsidP="009655CA"/>
    <w:p w14:paraId="6E2E9197" w14:textId="77777777" w:rsidR="009655CA" w:rsidRPr="009655CA" w:rsidRDefault="009655CA" w:rsidP="009655CA"/>
    <w:p w14:paraId="542A1FB2" w14:textId="77777777" w:rsidR="009655CA" w:rsidRPr="009655CA" w:rsidRDefault="009655CA" w:rsidP="009655CA"/>
    <w:p w14:paraId="24FC0F8C" w14:textId="77777777" w:rsidR="009655CA" w:rsidRPr="009655CA" w:rsidRDefault="009655CA" w:rsidP="009655CA"/>
    <w:p w14:paraId="49FC1CB4" w14:textId="77777777" w:rsidR="009655CA" w:rsidRPr="009655CA" w:rsidRDefault="009655CA" w:rsidP="009655CA"/>
    <w:p w14:paraId="7F9F7388" w14:textId="77777777" w:rsidR="009655CA" w:rsidRPr="009655CA" w:rsidRDefault="009655CA" w:rsidP="009655CA"/>
    <w:p w14:paraId="2155D65B" w14:textId="77777777" w:rsidR="009655CA" w:rsidRPr="009655CA" w:rsidRDefault="009655CA" w:rsidP="009655CA"/>
    <w:p w14:paraId="13FEA4BE" w14:textId="77777777" w:rsidR="009655CA" w:rsidRPr="009655CA" w:rsidRDefault="009655CA" w:rsidP="009655CA"/>
    <w:p w14:paraId="265760E0" w14:textId="77777777" w:rsidR="009655CA" w:rsidRPr="009655CA" w:rsidRDefault="009655CA" w:rsidP="009655CA"/>
    <w:p w14:paraId="6AC04E59" w14:textId="012C4AEB" w:rsidR="009655CA" w:rsidRDefault="009655CA" w:rsidP="009655CA"/>
    <w:p w14:paraId="7BF1765D" w14:textId="7956B64F" w:rsidR="009655CA" w:rsidRPr="009655CA" w:rsidRDefault="009655CA" w:rsidP="009655CA">
      <w:pPr>
        <w:tabs>
          <w:tab w:val="left" w:pos="3160"/>
        </w:tabs>
      </w:pPr>
      <w:r>
        <w:tab/>
      </w:r>
    </w:p>
    <w:sectPr w:rsidR="009655CA" w:rsidRPr="009655CA" w:rsidSect="009655CA">
      <w:type w:val="continuous"/>
      <w:pgSz w:w="12240" w:h="15840" w:code="1"/>
      <w:pgMar w:top="1267" w:right="346" w:bottom="288" w:left="907" w:header="0" w:footer="4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07095" w14:textId="77777777" w:rsidR="00AB5454" w:rsidRDefault="00AB5454" w:rsidP="00492602">
      <w:r>
        <w:separator/>
      </w:r>
    </w:p>
  </w:endnote>
  <w:endnote w:type="continuationSeparator" w:id="0">
    <w:p w14:paraId="336D9DF8" w14:textId="77777777" w:rsidR="00AB5454" w:rsidRDefault="00AB5454"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59F6C" w14:textId="77777777" w:rsidR="009655CA" w:rsidRDefault="00965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0042"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C443" w14:textId="77777777" w:rsidR="00637A67" w:rsidRDefault="00637A67">
    <w:pPr>
      <w:pStyle w:val="Footer"/>
    </w:pPr>
    <w:r>
      <w:t>[Type text]</w:t>
    </w:r>
  </w:p>
  <w:p w14:paraId="2F5F30FB" w14:textId="77777777" w:rsidR="00637A67" w:rsidRDefault="00637A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31FC7" w14:textId="6B2CB8CE" w:rsidR="003C1739" w:rsidRPr="00C96921" w:rsidRDefault="003C1739" w:rsidP="00C969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297A7" w14:textId="77777777" w:rsidR="00C96921" w:rsidRPr="00C96921" w:rsidRDefault="00C96921" w:rsidP="00C9692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4249C" w14:textId="71BAA904" w:rsidR="00167CB7" w:rsidRPr="00167CB7" w:rsidRDefault="00167CB7" w:rsidP="00167CB7">
    <w:pPr>
      <w:jc w:val="center"/>
      <w:rPr>
        <w:rFonts w:ascii="Arial" w:eastAsia="Calibri" w:hAnsi="Arial" w:cs="Arial"/>
        <w:i/>
        <w:sz w:val="22"/>
        <w:szCs w:val="22"/>
      </w:rPr>
    </w:pPr>
    <w:r w:rsidRPr="00167CB7">
      <w:rPr>
        <w:rFonts w:ascii="Arial" w:eastAsia="Calibri" w:hAnsi="Arial" w:cs="Arial"/>
        <w:i/>
        <w:sz w:val="22"/>
        <w:szCs w:val="22"/>
      </w:rPr>
      <w:t xml:space="preserve">Please direct any questions or comments (or to be removed from this fax distribution) to </w:t>
    </w:r>
    <w:hyperlink r:id="rId1" w:history="1">
      <w:r w:rsidRPr="00EA31BD">
        <w:rPr>
          <w:rFonts w:ascii="Arial" w:eastAsia="Calibri" w:hAnsi="Arial" w:cs="Arial"/>
          <w:i/>
          <w:color w:val="0000FF"/>
          <w:sz w:val="22"/>
          <w:szCs w:val="22"/>
          <w:u w:val="single"/>
        </w:rPr>
        <w:t>PharmFactsMA@Conduent.com</w:t>
      </w:r>
    </w:hyperlink>
  </w:p>
  <w:p w14:paraId="43971124" w14:textId="77777777" w:rsidR="00C96921" w:rsidRPr="00167CB7" w:rsidRDefault="00C96921" w:rsidP="00C96921">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6A2AB" w14:textId="77777777" w:rsidR="00AB5454" w:rsidRDefault="00AB5454" w:rsidP="00492602">
      <w:r>
        <w:separator/>
      </w:r>
    </w:p>
  </w:footnote>
  <w:footnote w:type="continuationSeparator" w:id="0">
    <w:p w14:paraId="105BE9B3" w14:textId="77777777" w:rsidR="00AB5454" w:rsidRDefault="00AB5454"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3C04" w14:textId="77777777" w:rsidR="009655CA" w:rsidRDefault="00965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C26BD" w14:textId="77777777" w:rsidR="009655CA" w:rsidRDefault="00965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8D80" w14:textId="77777777" w:rsidR="009655CA" w:rsidRDefault="009655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8BA54" w14:textId="5B60F818" w:rsidR="00FF79EF" w:rsidRPr="00FF79EF" w:rsidRDefault="00FF79EF" w:rsidP="00FF79EF">
    <w:pPr>
      <w:pStyle w:val="Default"/>
      <w:pBdr>
        <w:bottom w:val="single" w:sz="18" w:space="1" w:color="auto"/>
      </w:pBdr>
      <w:tabs>
        <w:tab w:val="right" w:pos="10440"/>
      </w:tabs>
      <w:spacing w:after="240"/>
      <w:rPr>
        <w:color w:val="auto"/>
        <w:sz w:val="18"/>
        <w:szCs w:val="18"/>
      </w:rPr>
    </w:pPr>
    <w:r w:rsidRPr="00AD18B8">
      <w:rPr>
        <w:sz w:val="18"/>
        <w:szCs w:val="18"/>
      </w:rPr>
      <w:t>P</w:t>
    </w:r>
    <w:r>
      <w:rPr>
        <w:sz w:val="18"/>
        <w:szCs w:val="18"/>
      </w:rPr>
      <w:t xml:space="preserve">harmacy Facts, Number </w:t>
    </w:r>
    <w:r w:rsidRPr="00FF79EF">
      <w:rPr>
        <w:color w:val="auto"/>
        <w:sz w:val="18"/>
        <w:szCs w:val="18"/>
      </w:rPr>
      <w:t>162</w:t>
    </w:r>
    <w:r>
      <w:rPr>
        <w:color w:val="FF0000"/>
        <w:sz w:val="18"/>
        <w:szCs w:val="18"/>
      </w:rPr>
      <w:tab/>
    </w:r>
    <w:r w:rsidRPr="00FF79EF">
      <w:rPr>
        <w:color w:val="auto"/>
        <w:sz w:val="18"/>
        <w:szCs w:val="18"/>
      </w:rPr>
      <w:t xml:space="preserve">Page </w:t>
    </w:r>
    <w:r w:rsidRPr="00FF79EF">
      <w:rPr>
        <w:b/>
        <w:bCs/>
        <w:color w:val="auto"/>
        <w:sz w:val="18"/>
        <w:szCs w:val="18"/>
      </w:rPr>
      <w:fldChar w:fldCharType="begin"/>
    </w:r>
    <w:r w:rsidRPr="00FF79EF">
      <w:rPr>
        <w:b/>
        <w:bCs/>
        <w:color w:val="auto"/>
        <w:sz w:val="18"/>
        <w:szCs w:val="18"/>
      </w:rPr>
      <w:instrText xml:space="preserve"> PAGE  \* Arabic  \* MERGEFORMAT </w:instrText>
    </w:r>
    <w:r w:rsidRPr="00FF79EF">
      <w:rPr>
        <w:b/>
        <w:bCs/>
        <w:color w:val="auto"/>
        <w:sz w:val="18"/>
        <w:szCs w:val="18"/>
      </w:rPr>
      <w:fldChar w:fldCharType="separate"/>
    </w:r>
    <w:r w:rsidR="00D74B38">
      <w:rPr>
        <w:b/>
        <w:bCs/>
        <w:noProof/>
        <w:color w:val="auto"/>
        <w:sz w:val="18"/>
        <w:szCs w:val="18"/>
      </w:rPr>
      <w:t>5</w:t>
    </w:r>
    <w:r w:rsidRPr="00FF79EF">
      <w:rPr>
        <w:b/>
        <w:bCs/>
        <w:color w:val="auto"/>
        <w:sz w:val="18"/>
        <w:szCs w:val="18"/>
      </w:rPr>
      <w:fldChar w:fldCharType="end"/>
    </w:r>
    <w:r w:rsidRPr="00FF79EF">
      <w:rPr>
        <w:color w:val="auto"/>
        <w:sz w:val="18"/>
        <w:szCs w:val="18"/>
      </w:rPr>
      <w:t xml:space="preserve"> of </w:t>
    </w:r>
    <w:r w:rsidRPr="00FF79EF">
      <w:rPr>
        <w:b/>
        <w:bCs/>
        <w:color w:val="auto"/>
        <w:sz w:val="18"/>
        <w:szCs w:val="18"/>
      </w:rPr>
      <w:fldChar w:fldCharType="begin"/>
    </w:r>
    <w:r w:rsidRPr="00FF79EF">
      <w:rPr>
        <w:b/>
        <w:bCs/>
        <w:color w:val="auto"/>
        <w:sz w:val="18"/>
        <w:szCs w:val="18"/>
      </w:rPr>
      <w:instrText xml:space="preserve"> NUMPAGES  \* Arabic  \* MERGEFORMAT </w:instrText>
    </w:r>
    <w:r w:rsidRPr="00FF79EF">
      <w:rPr>
        <w:b/>
        <w:bCs/>
        <w:color w:val="auto"/>
        <w:sz w:val="18"/>
        <w:szCs w:val="18"/>
      </w:rPr>
      <w:fldChar w:fldCharType="separate"/>
    </w:r>
    <w:r w:rsidR="00D74B38">
      <w:rPr>
        <w:b/>
        <w:bCs/>
        <w:noProof/>
        <w:color w:val="auto"/>
        <w:sz w:val="18"/>
        <w:szCs w:val="18"/>
      </w:rPr>
      <w:t>5</w:t>
    </w:r>
    <w:r w:rsidRPr="00FF79EF">
      <w:rPr>
        <w:b/>
        <w:bCs/>
        <w:color w:val="auto"/>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7F5"/>
    <w:multiLevelType w:val="hybridMultilevel"/>
    <w:tmpl w:val="55D898FC"/>
    <w:lvl w:ilvl="0" w:tplc="04090001">
      <w:start w:val="1"/>
      <w:numFmt w:val="bullet"/>
      <w:lvlText w:val=""/>
      <w:lvlJc w:val="left"/>
      <w:pPr>
        <w:ind w:left="720" w:hanging="360"/>
      </w:pPr>
      <w:rPr>
        <w:rFonts w:ascii="Symbol" w:hAnsi="Symbol" w:hint="default"/>
        <w:sz w:val="22"/>
      </w:rPr>
    </w:lvl>
    <w:lvl w:ilvl="1" w:tplc="608420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52FEE"/>
    <w:multiLevelType w:val="hybridMultilevel"/>
    <w:tmpl w:val="F50C7616"/>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80D2989"/>
    <w:multiLevelType w:val="hybridMultilevel"/>
    <w:tmpl w:val="5208544E"/>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90826"/>
    <w:multiLevelType w:val="hybridMultilevel"/>
    <w:tmpl w:val="7B28195E"/>
    <w:lvl w:ilvl="0" w:tplc="BBECCC3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B72BA"/>
    <w:multiLevelType w:val="hybridMultilevel"/>
    <w:tmpl w:val="2D547610"/>
    <w:lvl w:ilvl="0" w:tplc="04090001">
      <w:start w:val="1"/>
      <w:numFmt w:val="bullet"/>
      <w:lvlText w:val=""/>
      <w:lvlJc w:val="left"/>
      <w:pPr>
        <w:ind w:left="1080" w:hanging="360"/>
      </w:pPr>
      <w:rPr>
        <w:rFonts w:ascii="Symbol" w:hAnsi="Symbol" w:hint="default"/>
      </w:rPr>
    </w:lvl>
    <w:lvl w:ilvl="1" w:tplc="6D74651E">
      <w:start w:val="1"/>
      <w:numFmt w:val="bullet"/>
      <w:lvlText w:val=""/>
      <w:lvlJc w:val="left"/>
      <w:pPr>
        <w:ind w:left="1800" w:hanging="360"/>
      </w:pPr>
      <w:rPr>
        <w:rFonts w:ascii="Symbol" w:hAnsi="Symbol"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88255C"/>
    <w:multiLevelType w:val="hybridMultilevel"/>
    <w:tmpl w:val="F00EFB5C"/>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2540A"/>
    <w:multiLevelType w:val="hybridMultilevel"/>
    <w:tmpl w:val="7CE25ABC"/>
    <w:lvl w:ilvl="0" w:tplc="C742B7C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12444"/>
    <w:multiLevelType w:val="hybridMultilevel"/>
    <w:tmpl w:val="ED62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8275E"/>
    <w:multiLevelType w:val="hybridMultilevel"/>
    <w:tmpl w:val="0754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CB6C15"/>
    <w:multiLevelType w:val="hybridMultilevel"/>
    <w:tmpl w:val="F652469C"/>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29170B"/>
    <w:multiLevelType w:val="hybridMultilevel"/>
    <w:tmpl w:val="7DBAA5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8000F57"/>
    <w:multiLevelType w:val="hybridMultilevel"/>
    <w:tmpl w:val="7EB68E4E"/>
    <w:lvl w:ilvl="0" w:tplc="4814819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22D8C"/>
    <w:multiLevelType w:val="hybridMultilevel"/>
    <w:tmpl w:val="0A7C8A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6"/>
  </w:num>
  <w:num w:numId="2">
    <w:abstractNumId w:val="11"/>
  </w:num>
  <w:num w:numId="3">
    <w:abstractNumId w:val="2"/>
  </w:num>
  <w:num w:numId="4">
    <w:abstractNumId w:val="3"/>
  </w:num>
  <w:num w:numId="5">
    <w:abstractNumId w:val="0"/>
  </w:num>
  <w:num w:numId="6">
    <w:abstractNumId w:val="5"/>
  </w:num>
  <w:num w:numId="7">
    <w:abstractNumId w:val="13"/>
  </w:num>
  <w:num w:numId="8">
    <w:abstractNumId w:val="4"/>
  </w:num>
  <w:num w:numId="9">
    <w:abstractNumId w:val="14"/>
  </w:num>
  <w:num w:numId="10">
    <w:abstractNumId w:val="7"/>
  </w:num>
  <w:num w:numId="11">
    <w:abstractNumId w:val="9"/>
  </w:num>
  <w:num w:numId="12">
    <w:abstractNumId w:val="10"/>
  </w:num>
  <w:num w:numId="13">
    <w:abstractNumId w:val="12"/>
  </w:num>
  <w:num w:numId="14">
    <w:abstractNumId w:val="1"/>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053EE"/>
    <w:rsid w:val="0003148F"/>
    <w:rsid w:val="00047FD7"/>
    <w:rsid w:val="00052F8E"/>
    <w:rsid w:val="00054839"/>
    <w:rsid w:val="00062FE2"/>
    <w:rsid w:val="00063DDE"/>
    <w:rsid w:val="000713D3"/>
    <w:rsid w:val="000735C4"/>
    <w:rsid w:val="00074014"/>
    <w:rsid w:val="00081E8E"/>
    <w:rsid w:val="000A440A"/>
    <w:rsid w:val="000A6318"/>
    <w:rsid w:val="000D1502"/>
    <w:rsid w:val="000E7894"/>
    <w:rsid w:val="000F5C22"/>
    <w:rsid w:val="001128BE"/>
    <w:rsid w:val="00123D58"/>
    <w:rsid w:val="00137D3D"/>
    <w:rsid w:val="00140D08"/>
    <w:rsid w:val="00147437"/>
    <w:rsid w:val="00157A49"/>
    <w:rsid w:val="00167CB7"/>
    <w:rsid w:val="00171445"/>
    <w:rsid w:val="001721D8"/>
    <w:rsid w:val="0018357E"/>
    <w:rsid w:val="00183582"/>
    <w:rsid w:val="001864A9"/>
    <w:rsid w:val="001A125B"/>
    <w:rsid w:val="001B3510"/>
    <w:rsid w:val="001C1481"/>
    <w:rsid w:val="001E779F"/>
    <w:rsid w:val="0021214A"/>
    <w:rsid w:val="00212622"/>
    <w:rsid w:val="002275AE"/>
    <w:rsid w:val="00230996"/>
    <w:rsid w:val="002509E9"/>
    <w:rsid w:val="00261523"/>
    <w:rsid w:val="002727AB"/>
    <w:rsid w:val="00276F3A"/>
    <w:rsid w:val="00286CBE"/>
    <w:rsid w:val="00291397"/>
    <w:rsid w:val="00296AEF"/>
    <w:rsid w:val="002C7C67"/>
    <w:rsid w:val="002D390F"/>
    <w:rsid w:val="002D3C44"/>
    <w:rsid w:val="002D738C"/>
    <w:rsid w:val="002E2F9E"/>
    <w:rsid w:val="002F4E7B"/>
    <w:rsid w:val="003152DA"/>
    <w:rsid w:val="0033053B"/>
    <w:rsid w:val="00334D14"/>
    <w:rsid w:val="00360067"/>
    <w:rsid w:val="0036343A"/>
    <w:rsid w:val="0037373E"/>
    <w:rsid w:val="00375713"/>
    <w:rsid w:val="00382054"/>
    <w:rsid w:val="00387C1F"/>
    <w:rsid w:val="003911FC"/>
    <w:rsid w:val="003B6839"/>
    <w:rsid w:val="003B7146"/>
    <w:rsid w:val="003C1739"/>
    <w:rsid w:val="003D2B74"/>
    <w:rsid w:val="003F533B"/>
    <w:rsid w:val="003F74A0"/>
    <w:rsid w:val="004074F0"/>
    <w:rsid w:val="0041065E"/>
    <w:rsid w:val="00417F74"/>
    <w:rsid w:val="004439D7"/>
    <w:rsid w:val="004458B2"/>
    <w:rsid w:val="00447A5F"/>
    <w:rsid w:val="00453E30"/>
    <w:rsid w:val="00453F3E"/>
    <w:rsid w:val="00456B5A"/>
    <w:rsid w:val="0046166B"/>
    <w:rsid w:val="004664D3"/>
    <w:rsid w:val="00477916"/>
    <w:rsid w:val="004910B8"/>
    <w:rsid w:val="00492602"/>
    <w:rsid w:val="004A3BAA"/>
    <w:rsid w:val="004A7395"/>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76EB6"/>
    <w:rsid w:val="00581E50"/>
    <w:rsid w:val="005835F0"/>
    <w:rsid w:val="005842A0"/>
    <w:rsid w:val="005958DD"/>
    <w:rsid w:val="005A57BA"/>
    <w:rsid w:val="005B15B3"/>
    <w:rsid w:val="005B4566"/>
    <w:rsid w:val="005B59BE"/>
    <w:rsid w:val="005C7622"/>
    <w:rsid w:val="005D723D"/>
    <w:rsid w:val="005F7733"/>
    <w:rsid w:val="00607CFA"/>
    <w:rsid w:val="00623469"/>
    <w:rsid w:val="00634C49"/>
    <w:rsid w:val="00637A67"/>
    <w:rsid w:val="00650095"/>
    <w:rsid w:val="00651CA7"/>
    <w:rsid w:val="00654937"/>
    <w:rsid w:val="006615EC"/>
    <w:rsid w:val="00666D80"/>
    <w:rsid w:val="00673F96"/>
    <w:rsid w:val="00674418"/>
    <w:rsid w:val="00674428"/>
    <w:rsid w:val="00683872"/>
    <w:rsid w:val="00686C26"/>
    <w:rsid w:val="00690023"/>
    <w:rsid w:val="00696F48"/>
    <w:rsid w:val="0069772F"/>
    <w:rsid w:val="006A336B"/>
    <w:rsid w:val="006D3B5F"/>
    <w:rsid w:val="006E0C20"/>
    <w:rsid w:val="006E22A3"/>
    <w:rsid w:val="006E6AFF"/>
    <w:rsid w:val="006F35F9"/>
    <w:rsid w:val="00715324"/>
    <w:rsid w:val="007238C6"/>
    <w:rsid w:val="007319D7"/>
    <w:rsid w:val="00731A23"/>
    <w:rsid w:val="00731FAF"/>
    <w:rsid w:val="007400F4"/>
    <w:rsid w:val="007426BF"/>
    <w:rsid w:val="0075308F"/>
    <w:rsid w:val="00760FDF"/>
    <w:rsid w:val="0076788E"/>
    <w:rsid w:val="007757E7"/>
    <w:rsid w:val="007813D5"/>
    <w:rsid w:val="00781D3B"/>
    <w:rsid w:val="00791953"/>
    <w:rsid w:val="007A41F5"/>
    <w:rsid w:val="007B2F2D"/>
    <w:rsid w:val="007B4429"/>
    <w:rsid w:val="007B4632"/>
    <w:rsid w:val="007B7425"/>
    <w:rsid w:val="007E4380"/>
    <w:rsid w:val="007F5417"/>
    <w:rsid w:val="00804116"/>
    <w:rsid w:val="00812480"/>
    <w:rsid w:val="00814A17"/>
    <w:rsid w:val="00821937"/>
    <w:rsid w:val="008340D0"/>
    <w:rsid w:val="008403CA"/>
    <w:rsid w:val="0085395A"/>
    <w:rsid w:val="00853F8E"/>
    <w:rsid w:val="0086142C"/>
    <w:rsid w:val="008643AD"/>
    <w:rsid w:val="00870361"/>
    <w:rsid w:val="00872E7F"/>
    <w:rsid w:val="00880FA9"/>
    <w:rsid w:val="008930F1"/>
    <w:rsid w:val="00893F45"/>
    <w:rsid w:val="008C5414"/>
    <w:rsid w:val="008F0130"/>
    <w:rsid w:val="008F2E4C"/>
    <w:rsid w:val="00903922"/>
    <w:rsid w:val="00905C46"/>
    <w:rsid w:val="00906EEC"/>
    <w:rsid w:val="00913040"/>
    <w:rsid w:val="009166DF"/>
    <w:rsid w:val="00917DE7"/>
    <w:rsid w:val="009204C7"/>
    <w:rsid w:val="00921F00"/>
    <w:rsid w:val="00922030"/>
    <w:rsid w:val="0092757F"/>
    <w:rsid w:val="00931014"/>
    <w:rsid w:val="0093532E"/>
    <w:rsid w:val="00941258"/>
    <w:rsid w:val="00942245"/>
    <w:rsid w:val="00956812"/>
    <w:rsid w:val="00957C93"/>
    <w:rsid w:val="00963957"/>
    <w:rsid w:val="009655CA"/>
    <w:rsid w:val="009725E5"/>
    <w:rsid w:val="00974CFD"/>
    <w:rsid w:val="00981567"/>
    <w:rsid w:val="009C3981"/>
    <w:rsid w:val="009C3CFF"/>
    <w:rsid w:val="009D1341"/>
    <w:rsid w:val="009D5FBA"/>
    <w:rsid w:val="009D6D73"/>
    <w:rsid w:val="009D79C6"/>
    <w:rsid w:val="009F0440"/>
    <w:rsid w:val="009F0526"/>
    <w:rsid w:val="00A01DE3"/>
    <w:rsid w:val="00A11371"/>
    <w:rsid w:val="00A120E1"/>
    <w:rsid w:val="00A22C0B"/>
    <w:rsid w:val="00A2424D"/>
    <w:rsid w:val="00A31FAA"/>
    <w:rsid w:val="00A343A9"/>
    <w:rsid w:val="00A430AB"/>
    <w:rsid w:val="00A468A4"/>
    <w:rsid w:val="00A5239C"/>
    <w:rsid w:val="00A650DC"/>
    <w:rsid w:val="00A6764A"/>
    <w:rsid w:val="00A76673"/>
    <w:rsid w:val="00A84255"/>
    <w:rsid w:val="00A93734"/>
    <w:rsid w:val="00AB5454"/>
    <w:rsid w:val="00AC1AC7"/>
    <w:rsid w:val="00AD18B8"/>
    <w:rsid w:val="00AD1CE4"/>
    <w:rsid w:val="00AD33D5"/>
    <w:rsid w:val="00AD75CA"/>
    <w:rsid w:val="00AE21FC"/>
    <w:rsid w:val="00AE7072"/>
    <w:rsid w:val="00B01BAA"/>
    <w:rsid w:val="00B07BD7"/>
    <w:rsid w:val="00B13AA5"/>
    <w:rsid w:val="00B3099B"/>
    <w:rsid w:val="00B40A71"/>
    <w:rsid w:val="00B41B0C"/>
    <w:rsid w:val="00B503C7"/>
    <w:rsid w:val="00B54AB5"/>
    <w:rsid w:val="00B645C9"/>
    <w:rsid w:val="00B92C96"/>
    <w:rsid w:val="00BA68F0"/>
    <w:rsid w:val="00BC2A71"/>
    <w:rsid w:val="00BD08CA"/>
    <w:rsid w:val="00BE1214"/>
    <w:rsid w:val="00BE3015"/>
    <w:rsid w:val="00C15672"/>
    <w:rsid w:val="00C20252"/>
    <w:rsid w:val="00C215ED"/>
    <w:rsid w:val="00C233CA"/>
    <w:rsid w:val="00C31421"/>
    <w:rsid w:val="00C33753"/>
    <w:rsid w:val="00C35B94"/>
    <w:rsid w:val="00C82FA4"/>
    <w:rsid w:val="00C91D6C"/>
    <w:rsid w:val="00C96921"/>
    <w:rsid w:val="00CA0669"/>
    <w:rsid w:val="00CA1E7C"/>
    <w:rsid w:val="00CB0030"/>
    <w:rsid w:val="00CB5BE7"/>
    <w:rsid w:val="00CB7521"/>
    <w:rsid w:val="00CC57AC"/>
    <w:rsid w:val="00CC776C"/>
    <w:rsid w:val="00CD6D68"/>
    <w:rsid w:val="00CE3864"/>
    <w:rsid w:val="00CF383E"/>
    <w:rsid w:val="00D0584B"/>
    <w:rsid w:val="00D2467C"/>
    <w:rsid w:val="00D2695E"/>
    <w:rsid w:val="00D31A14"/>
    <w:rsid w:val="00D335C5"/>
    <w:rsid w:val="00D521FA"/>
    <w:rsid w:val="00D5685A"/>
    <w:rsid w:val="00D74B38"/>
    <w:rsid w:val="00D81121"/>
    <w:rsid w:val="00D82DCA"/>
    <w:rsid w:val="00D83FDF"/>
    <w:rsid w:val="00DA649B"/>
    <w:rsid w:val="00DB5DBC"/>
    <w:rsid w:val="00DB6A12"/>
    <w:rsid w:val="00DC2BA8"/>
    <w:rsid w:val="00DD39FC"/>
    <w:rsid w:val="00DF1708"/>
    <w:rsid w:val="00E02354"/>
    <w:rsid w:val="00E10EA0"/>
    <w:rsid w:val="00E24139"/>
    <w:rsid w:val="00E26271"/>
    <w:rsid w:val="00E34C02"/>
    <w:rsid w:val="00E3616D"/>
    <w:rsid w:val="00E50862"/>
    <w:rsid w:val="00E60ABB"/>
    <w:rsid w:val="00E62D91"/>
    <w:rsid w:val="00E64717"/>
    <w:rsid w:val="00E67611"/>
    <w:rsid w:val="00E67713"/>
    <w:rsid w:val="00E72DFF"/>
    <w:rsid w:val="00E92E47"/>
    <w:rsid w:val="00E9576D"/>
    <w:rsid w:val="00E95805"/>
    <w:rsid w:val="00EA31BD"/>
    <w:rsid w:val="00EC08AC"/>
    <w:rsid w:val="00EC0EDE"/>
    <w:rsid w:val="00EC1948"/>
    <w:rsid w:val="00ED0A53"/>
    <w:rsid w:val="00ED4639"/>
    <w:rsid w:val="00EE54D2"/>
    <w:rsid w:val="00EF7C8A"/>
    <w:rsid w:val="00F25E7F"/>
    <w:rsid w:val="00F307D6"/>
    <w:rsid w:val="00F40F9C"/>
    <w:rsid w:val="00F45E31"/>
    <w:rsid w:val="00F50DEC"/>
    <w:rsid w:val="00F512EE"/>
    <w:rsid w:val="00F643E6"/>
    <w:rsid w:val="00F72340"/>
    <w:rsid w:val="00F76D69"/>
    <w:rsid w:val="00F80E73"/>
    <w:rsid w:val="00F818DF"/>
    <w:rsid w:val="00F9012C"/>
    <w:rsid w:val="00F9097E"/>
    <w:rsid w:val="00F93C6C"/>
    <w:rsid w:val="00FA5147"/>
    <w:rsid w:val="00FB0C11"/>
    <w:rsid w:val="00FC4A2A"/>
    <w:rsid w:val="00FD4894"/>
    <w:rsid w:val="00FE6B9E"/>
    <w:rsid w:val="00FF40A0"/>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8A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paragraphstyle"/>
    <w:next w:val="Normal"/>
    <w:link w:val="Heading1Char"/>
    <w:qFormat/>
    <w:rsid w:val="00814A17"/>
    <w:pPr>
      <w:outlineLvl w:val="0"/>
    </w:pPr>
    <w:rPr>
      <w:rFonts w:ascii="Arial Narrow" w:hAnsi="Arial Narrow"/>
      <w:b/>
      <w:color w:val="FFFFFF" w:themeColor="background1"/>
      <w:sz w:val="20"/>
      <w:szCs w:val="20"/>
    </w:rPr>
  </w:style>
  <w:style w:type="paragraph" w:styleId="Heading2">
    <w:name w:val="heading 2"/>
    <w:basedOn w:val="Subtitle"/>
    <w:next w:val="Normal"/>
    <w:link w:val="Heading2Char"/>
    <w:unhideWhenUsed/>
    <w:qFormat/>
    <w:rsid w:val="00814A17"/>
    <w:pPr>
      <w:spacing w:line="240" w:lineRule="auto"/>
      <w:outlineLvl w:val="1"/>
    </w:pPr>
    <w:rPr>
      <w:rFonts w:cs="Arial"/>
      <w:b/>
      <w:sz w:val="24"/>
      <w:szCs w:val="24"/>
    </w:rPr>
  </w:style>
  <w:style w:type="paragraph" w:styleId="Heading3">
    <w:name w:val="heading 3"/>
    <w:basedOn w:val="Normal"/>
    <w:next w:val="Normal"/>
    <w:link w:val="Heading3Char"/>
    <w:unhideWhenUsed/>
    <w:qFormat/>
    <w:rsid w:val="00AD75CA"/>
    <w:pPr>
      <w:spacing w:before="240" w:after="240"/>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99"/>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FollowedHyperlink">
    <w:name w:val="FollowedHyperlink"/>
    <w:basedOn w:val="DefaultParagraphFont"/>
    <w:rsid w:val="00903922"/>
    <w:rPr>
      <w:color w:val="800080" w:themeColor="followedHyperlink"/>
      <w:u w:val="single"/>
    </w:rPr>
  </w:style>
  <w:style w:type="character" w:customStyle="1" w:styleId="Heading1Char">
    <w:name w:val="Heading 1 Char"/>
    <w:basedOn w:val="DefaultParagraphFont"/>
    <w:link w:val="Heading1"/>
    <w:rsid w:val="00814A17"/>
    <w:rPr>
      <w:rFonts w:ascii="Arial Narrow" w:hAnsi="Arial Narrow"/>
      <w:b/>
      <w:color w:val="FFFFFF" w:themeColor="background1"/>
    </w:rPr>
  </w:style>
  <w:style w:type="character" w:customStyle="1" w:styleId="Heading2Char">
    <w:name w:val="Heading 2 Char"/>
    <w:basedOn w:val="DefaultParagraphFont"/>
    <w:link w:val="Heading2"/>
    <w:rsid w:val="00814A17"/>
    <w:rPr>
      <w:rFonts w:ascii="Arial Black" w:hAnsi="Arial Black" w:cs="Arial"/>
      <w:b/>
      <w:color w:val="000000"/>
      <w:sz w:val="24"/>
      <w:szCs w:val="24"/>
    </w:rPr>
  </w:style>
  <w:style w:type="character" w:customStyle="1" w:styleId="Heading3Char">
    <w:name w:val="Heading 3 Char"/>
    <w:basedOn w:val="DefaultParagraphFont"/>
    <w:link w:val="Heading3"/>
    <w:rsid w:val="00AD75CA"/>
    <w:rPr>
      <w:rFonts w:ascii="Arial" w:hAnsi="Arial"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paragraphstyle"/>
    <w:next w:val="Normal"/>
    <w:link w:val="Heading1Char"/>
    <w:qFormat/>
    <w:rsid w:val="00814A17"/>
    <w:pPr>
      <w:outlineLvl w:val="0"/>
    </w:pPr>
    <w:rPr>
      <w:rFonts w:ascii="Arial Narrow" w:hAnsi="Arial Narrow"/>
      <w:b/>
      <w:color w:val="FFFFFF" w:themeColor="background1"/>
      <w:sz w:val="20"/>
      <w:szCs w:val="20"/>
    </w:rPr>
  </w:style>
  <w:style w:type="paragraph" w:styleId="Heading2">
    <w:name w:val="heading 2"/>
    <w:basedOn w:val="Subtitle"/>
    <w:next w:val="Normal"/>
    <w:link w:val="Heading2Char"/>
    <w:unhideWhenUsed/>
    <w:qFormat/>
    <w:rsid w:val="00814A17"/>
    <w:pPr>
      <w:spacing w:line="240" w:lineRule="auto"/>
      <w:outlineLvl w:val="1"/>
    </w:pPr>
    <w:rPr>
      <w:rFonts w:cs="Arial"/>
      <w:b/>
      <w:sz w:val="24"/>
      <w:szCs w:val="24"/>
    </w:rPr>
  </w:style>
  <w:style w:type="paragraph" w:styleId="Heading3">
    <w:name w:val="heading 3"/>
    <w:basedOn w:val="Normal"/>
    <w:next w:val="Normal"/>
    <w:link w:val="Heading3Char"/>
    <w:unhideWhenUsed/>
    <w:qFormat/>
    <w:rsid w:val="00AD75CA"/>
    <w:pPr>
      <w:spacing w:before="240" w:after="240"/>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99"/>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FollowedHyperlink">
    <w:name w:val="FollowedHyperlink"/>
    <w:basedOn w:val="DefaultParagraphFont"/>
    <w:rsid w:val="00903922"/>
    <w:rPr>
      <w:color w:val="800080" w:themeColor="followedHyperlink"/>
      <w:u w:val="single"/>
    </w:rPr>
  </w:style>
  <w:style w:type="character" w:customStyle="1" w:styleId="Heading1Char">
    <w:name w:val="Heading 1 Char"/>
    <w:basedOn w:val="DefaultParagraphFont"/>
    <w:link w:val="Heading1"/>
    <w:rsid w:val="00814A17"/>
    <w:rPr>
      <w:rFonts w:ascii="Arial Narrow" w:hAnsi="Arial Narrow"/>
      <w:b/>
      <w:color w:val="FFFFFF" w:themeColor="background1"/>
    </w:rPr>
  </w:style>
  <w:style w:type="character" w:customStyle="1" w:styleId="Heading2Char">
    <w:name w:val="Heading 2 Char"/>
    <w:basedOn w:val="DefaultParagraphFont"/>
    <w:link w:val="Heading2"/>
    <w:rsid w:val="00814A17"/>
    <w:rPr>
      <w:rFonts w:ascii="Arial Black" w:hAnsi="Arial Black" w:cs="Arial"/>
      <w:b/>
      <w:color w:val="000000"/>
      <w:sz w:val="24"/>
      <w:szCs w:val="24"/>
    </w:rPr>
  </w:style>
  <w:style w:type="character" w:customStyle="1" w:styleId="Heading3Char">
    <w:name w:val="Heading 3 Char"/>
    <w:basedOn w:val="DefaultParagraphFont"/>
    <w:link w:val="Heading3"/>
    <w:rsid w:val="00AD75CA"/>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365">
      <w:bodyDiv w:val="1"/>
      <w:marLeft w:val="0"/>
      <w:marRight w:val="0"/>
      <w:marTop w:val="0"/>
      <w:marBottom w:val="0"/>
      <w:divBdr>
        <w:top w:val="none" w:sz="0" w:space="0" w:color="auto"/>
        <w:left w:val="none" w:sz="0" w:space="0" w:color="auto"/>
        <w:bottom w:val="none" w:sz="0" w:space="0" w:color="auto"/>
        <w:right w:val="none" w:sz="0" w:space="0" w:color="auto"/>
      </w:divBdr>
    </w:div>
    <w:div w:id="235894701">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51253274">
      <w:bodyDiv w:val="1"/>
      <w:marLeft w:val="0"/>
      <w:marRight w:val="0"/>
      <w:marTop w:val="0"/>
      <w:marBottom w:val="0"/>
      <w:divBdr>
        <w:top w:val="none" w:sz="0" w:space="0" w:color="auto"/>
        <w:left w:val="none" w:sz="0" w:space="0" w:color="auto"/>
        <w:bottom w:val="none" w:sz="0" w:space="0" w:color="auto"/>
        <w:right w:val="none" w:sz="0" w:space="0" w:color="auto"/>
      </w:divBdr>
    </w:div>
    <w:div w:id="1258176454">
      <w:bodyDiv w:val="1"/>
      <w:marLeft w:val="0"/>
      <w:marRight w:val="0"/>
      <w:marTop w:val="0"/>
      <w:marBottom w:val="0"/>
      <w:divBdr>
        <w:top w:val="none" w:sz="0" w:space="0" w:color="auto"/>
        <w:left w:val="none" w:sz="0" w:space="0" w:color="auto"/>
        <w:bottom w:val="none" w:sz="0" w:space="0" w:color="auto"/>
        <w:right w:val="none" w:sz="0" w:space="0" w:color="auto"/>
      </w:divBdr>
    </w:div>
    <w:div w:id="1284115660">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688603154">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mass.gov/doc/all-provider-bulletin-312-additional-authorized-vaccine-product-and-antibody-treatment-and-0/download"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ncpdp.org/NCPDP/media/pdf/NCPDP-Emergency-Preparedness-Guidance-COVID-19-Vaccines.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ss.gov/doc/all-provider-bulletin-307-updated-payment-rates-and-authorized-providers-for-coronavirus-0/download"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mass.gov/doc/all-provider-bulletin-304-coverage-and-payment-for-coronavirus-disease-2019-covid-19-vaccine-0/download" TargetMode="External"/><Relationship Id="rId20" Type="http://schemas.openxmlformats.org/officeDocument/2006/relationships/hyperlink" Target="https://www.mass.gov/doc/pharmacy-facts-160-january-22-2021-0/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mass.gov/doc/all-provider-bulletin-313-updated-rates-for-coronavirus-disease-2019-covid-19-vaccine-administration-0/downloa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ss.gov/druglist" TargetMode="External"/><Relationship Id="rId27"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94EE-1788-4AB6-A7E7-3D87164C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10278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2021-03-25T16:00:00Z</dcterms:created>
  <dcterms:modified xsi:type="dcterms:W3CDTF">2021-03-25T16:00:00Z</dcterms:modified>
</cp:coreProperties>
</file>