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B7FD3" w14:textId="220932D4" w:rsidR="00C559C9" w:rsidRPr="007C1AAF" w:rsidRDefault="007C1AAF" w:rsidP="007C1AAF">
      <w:pPr>
        <w:pStyle w:val="Heading1"/>
        <w:rPr>
          <w:color w:val="FFFFFF" w:themeColor="background1"/>
        </w:rPr>
      </w:pPr>
      <w:bookmarkStart w:id="0" w:name="_GoBack"/>
      <w:bookmarkEnd w:id="0"/>
      <w:r w:rsidRPr="007C1AAF">
        <w:rPr>
          <w:color w:val="FFFFFF" w:themeColor="background1"/>
        </w:rPr>
        <w:t>Pharmacy Facts</w:t>
      </w:r>
      <w:r>
        <w:rPr>
          <w:color w:val="FFFFFF" w:themeColor="background1"/>
        </w:rPr>
        <w:br/>
      </w:r>
      <w:r w:rsidR="00C559C9" w:rsidRPr="007C1AAF">
        <w:t xml:space="preserve">Number </w:t>
      </w:r>
      <w:r w:rsidR="00AC77F8" w:rsidRPr="007C1AAF">
        <w:t xml:space="preserve">163, May </w:t>
      </w:r>
      <w:r w:rsidR="00A03B65" w:rsidRPr="007C1AAF">
        <w:t>7</w:t>
      </w:r>
      <w:r w:rsidR="00AC77F8" w:rsidRPr="007C1AAF">
        <w:t>, 2021</w:t>
      </w:r>
    </w:p>
    <w:p w14:paraId="0993BB0A" w14:textId="77777777" w:rsidR="006F35F9" w:rsidRDefault="00867D5C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CC66E47" wp14:editId="6306A4AC">
            <wp:extent cx="6620510" cy="1619157"/>
            <wp:effectExtent l="0" t="0" r="0" b="635"/>
            <wp:docPr id="1" name="Picture 1" descr="Pharmacy Facts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armacy Facts Masthea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161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B2C01" w14:textId="77777777" w:rsidR="00CD6D68" w:rsidRPr="00CF2414" w:rsidRDefault="00D62065" w:rsidP="00CF2414">
      <w:pPr>
        <w:pStyle w:val="Heading2"/>
      </w:pPr>
      <w:r w:rsidRPr="00CF2414">
        <w:lastRenderedPageBreak/>
        <w:t>Removal of Prior Authorization (PA) Requirements for Chloroquine and Hydroxychloroquine</w:t>
      </w:r>
      <w:r w:rsidR="00952E8D" w:rsidRPr="00CF2414">
        <w:t>,</w:t>
      </w:r>
      <w:r w:rsidRPr="00CF2414">
        <w:t xml:space="preserve"> Effective May 10, 2021</w:t>
      </w:r>
    </w:p>
    <w:p w14:paraId="2753CCC6" w14:textId="77777777" w:rsidR="007916AF" w:rsidRPr="007916AF" w:rsidRDefault="007916AF" w:rsidP="007916AF">
      <w:pPr>
        <w:rPr>
          <w:rFonts w:ascii="Arial Black" w:hAnsi="Arial Black" w:cs="Arial"/>
          <w:sz w:val="16"/>
        </w:rPr>
      </w:pPr>
    </w:p>
    <w:p w14:paraId="54E39A6D" w14:textId="77777777" w:rsidR="00171445" w:rsidRPr="00D62065" w:rsidRDefault="00D62065" w:rsidP="00D62065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D62065">
        <w:rPr>
          <w:rFonts w:ascii="Arial" w:hAnsi="Arial" w:cs="Arial"/>
          <w:sz w:val="22"/>
          <w:szCs w:val="22"/>
        </w:rPr>
        <w:t xml:space="preserve">In response to the coronavirus disease (COVID-19) outbreak, MassHealth announced certain temporary policy changes to provide greater flexibility in providing patient care to MassHealth members and Health Safety Net (HSN) patients, including the following policy change described in </w:t>
      </w:r>
      <w:hyperlink r:id="rId13" w:history="1">
        <w:r w:rsidRPr="00952E8D">
          <w:rPr>
            <w:rFonts w:ascii="Arial" w:hAnsi="Arial" w:cs="Arial"/>
            <w:bCs/>
            <w:color w:val="0000FF"/>
            <w:sz w:val="22"/>
            <w:u w:val="single"/>
          </w:rPr>
          <w:t>Pharmacy Facts #143</w:t>
        </w:r>
      </w:hyperlink>
      <w:r w:rsidRPr="00D62065">
        <w:rPr>
          <w:rFonts w:ascii="Arial" w:hAnsi="Arial" w:cs="Arial"/>
          <w:bCs/>
        </w:rPr>
        <w:t>:</w:t>
      </w:r>
    </w:p>
    <w:p w14:paraId="3AA820EA" w14:textId="77777777" w:rsidR="00D62065" w:rsidRPr="00EF52C8" w:rsidRDefault="00D62065" w:rsidP="00D62065">
      <w:pPr>
        <w:pStyle w:val="Subtitle"/>
        <w:ind w:left="270" w:right="263"/>
        <w:rPr>
          <w:rFonts w:ascii="Arial" w:hAnsi="Arial" w:cs="Arial"/>
          <w:bCs/>
          <w:color w:val="auto"/>
          <w:sz w:val="21"/>
          <w:szCs w:val="21"/>
        </w:rPr>
      </w:pPr>
      <w:r w:rsidRPr="00EF52C8">
        <w:rPr>
          <w:rFonts w:ascii="Arial" w:hAnsi="Arial" w:cs="Arial"/>
          <w:bCs/>
          <w:color w:val="auto"/>
          <w:sz w:val="21"/>
          <w:szCs w:val="21"/>
        </w:rPr>
        <w:t>“Individuals who have or are suspected to have COVID-19, or who have new prescriptions for lupus, malaria, or rheumatic conditions, must go through a PA process before chloroquine and hydroxychloroquine can be dispensed. If a MassHealth member or HSN patient is approved for COVID-19, pharmacies must dispense up to a 14-day supply. If a MassHealth member or HSN patient is approved for other diagnoses, pharmacies may dispense up to a 90-day supply if requested by the MassHealth member, HSN patient, or prescriber as long as sufficient quantity remains on the prescription to support the quantity being filled.”</w:t>
      </w:r>
    </w:p>
    <w:p w14:paraId="5F037843" w14:textId="77777777" w:rsidR="00EF52C8" w:rsidRPr="00EF52C8" w:rsidRDefault="00EF52C8" w:rsidP="008E3B8F">
      <w:pPr>
        <w:autoSpaceDE w:val="0"/>
        <w:autoSpaceDN w:val="0"/>
        <w:adjustRightInd w:val="0"/>
        <w:spacing w:before="200" w:after="12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F52C8">
        <w:rPr>
          <w:rFonts w:ascii="Arial" w:hAnsi="Arial" w:cs="Arial"/>
          <w:bCs/>
          <w:sz w:val="22"/>
          <w:szCs w:val="22"/>
        </w:rPr>
        <w:t xml:space="preserve">Effective May 10, 2021, the PA requirements for chloroquine and hydroxychloroquine will be removed. </w:t>
      </w:r>
    </w:p>
    <w:p w14:paraId="23299894" w14:textId="77777777" w:rsidR="00EF52C8" w:rsidRPr="00EF52C8" w:rsidRDefault="00EF52C8" w:rsidP="007916AF">
      <w:pPr>
        <w:autoSpaceDE w:val="0"/>
        <w:autoSpaceDN w:val="0"/>
        <w:adjustRightInd w:val="0"/>
        <w:spacing w:before="200" w:after="120" w:line="276" w:lineRule="auto"/>
        <w:ind w:right="1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Pharmacies </w:t>
      </w:r>
      <w:r w:rsidRPr="00EF52C8">
        <w:rPr>
          <w:rFonts w:ascii="Arial" w:hAnsi="Arial" w:cs="Arial"/>
          <w:sz w:val="22"/>
          <w:szCs w:val="22"/>
        </w:rPr>
        <w:t xml:space="preserve">should expect to receive additional updates in the future </w:t>
      </w:r>
      <w:r w:rsidR="00952E8D">
        <w:rPr>
          <w:rFonts w:ascii="Arial" w:hAnsi="Arial" w:cs="Arial"/>
          <w:sz w:val="22"/>
          <w:szCs w:val="22"/>
        </w:rPr>
        <w:t>about</w:t>
      </w:r>
      <w:r w:rsidRPr="00EF52C8">
        <w:rPr>
          <w:rFonts w:ascii="Arial" w:hAnsi="Arial" w:cs="Arial"/>
          <w:sz w:val="22"/>
          <w:szCs w:val="22"/>
        </w:rPr>
        <w:t xml:space="preserve"> other temporary policy changes that have been pu</w:t>
      </w:r>
      <w:r w:rsidR="007916AF">
        <w:rPr>
          <w:rFonts w:ascii="Arial" w:hAnsi="Arial" w:cs="Arial"/>
          <w:sz w:val="22"/>
          <w:szCs w:val="22"/>
        </w:rPr>
        <w:t>t in place to address the COVID</w:t>
      </w:r>
      <w:r w:rsidR="00952E8D">
        <w:rPr>
          <w:rFonts w:ascii="Arial" w:hAnsi="Arial" w:cs="Arial"/>
          <w:sz w:val="22"/>
          <w:szCs w:val="22"/>
        </w:rPr>
        <w:t>--</w:t>
      </w:r>
      <w:r w:rsidR="007916AF">
        <w:rPr>
          <w:rFonts w:ascii="Arial" w:hAnsi="Arial" w:cs="Arial"/>
          <w:sz w:val="22"/>
          <w:szCs w:val="22"/>
        </w:rPr>
        <w:t xml:space="preserve">19 </w:t>
      </w:r>
      <w:r w:rsidRPr="00EF52C8">
        <w:rPr>
          <w:rFonts w:ascii="Arial" w:hAnsi="Arial" w:cs="Arial"/>
          <w:sz w:val="22"/>
          <w:szCs w:val="22"/>
        </w:rPr>
        <w:t>outbreak.</w:t>
      </w:r>
    </w:p>
    <w:p w14:paraId="60A5C78D" w14:textId="77777777" w:rsidR="00EF52C8" w:rsidRPr="00EF52C8" w:rsidRDefault="00EF52C8" w:rsidP="00CF2414">
      <w:pPr>
        <w:pStyle w:val="Heading2"/>
      </w:pPr>
      <w:r w:rsidRPr="00EF52C8">
        <w:lastRenderedPageBreak/>
        <w:t>Vaccine Administration Rates</w:t>
      </w:r>
    </w:p>
    <w:p w14:paraId="52E55559" w14:textId="77777777" w:rsidR="00EF52C8" w:rsidRPr="007916AF" w:rsidRDefault="00EF52C8" w:rsidP="00EF52C8">
      <w:pPr>
        <w:rPr>
          <w:rFonts w:ascii="Arial" w:hAnsi="Arial" w:cs="Arial"/>
          <w:sz w:val="12"/>
          <w:szCs w:val="22"/>
        </w:rPr>
      </w:pPr>
    </w:p>
    <w:p w14:paraId="269EC122" w14:textId="468D10C1" w:rsidR="00D62065" w:rsidRPr="00171445" w:rsidRDefault="00EF52C8" w:rsidP="00CD6D68">
      <w:pPr>
        <w:rPr>
          <w:rFonts w:ascii="Arial" w:hAnsi="Arial" w:cs="Arial"/>
          <w:sz w:val="22"/>
          <w:szCs w:val="22"/>
        </w:rPr>
      </w:pPr>
      <w:r w:rsidRPr="00EF52C8">
        <w:rPr>
          <w:rFonts w:ascii="Arial" w:hAnsi="Arial" w:cs="Arial"/>
          <w:sz w:val="22"/>
          <w:szCs w:val="22"/>
        </w:rPr>
        <w:t>The allowed vaccine administration rate for vaccines other than COVID-19 submitted through POPS is now $20.45. This administration fee should be entered in NCPDP field “Incentive Amount Submitted” (438-E3)</w:t>
      </w:r>
    </w:p>
    <w:p w14:paraId="33640347" w14:textId="77777777" w:rsidR="00EF52C8" w:rsidRPr="00EF52C8" w:rsidRDefault="00EF52C8" w:rsidP="00CF2414">
      <w:pPr>
        <w:pStyle w:val="Heading2"/>
      </w:pPr>
      <w:r w:rsidRPr="00EF52C8">
        <w:t>MHDL Update</w:t>
      </w:r>
    </w:p>
    <w:p w14:paraId="1EDE910A" w14:textId="77777777" w:rsidR="00EF52C8" w:rsidRPr="007916AF" w:rsidRDefault="00EF52C8" w:rsidP="00EF52C8">
      <w:pPr>
        <w:rPr>
          <w:rFonts w:ascii="Arial" w:hAnsi="Arial" w:cs="Arial"/>
          <w:sz w:val="14"/>
          <w:szCs w:val="22"/>
        </w:rPr>
      </w:pPr>
    </w:p>
    <w:p w14:paraId="5B6EE2BB" w14:textId="77777777" w:rsidR="00EF52C8" w:rsidRPr="006E027B" w:rsidRDefault="00EF52C8" w:rsidP="00EF52C8">
      <w:pPr>
        <w:rPr>
          <w:rFonts w:ascii="Arial" w:hAnsi="Arial" w:cs="Arial"/>
          <w:sz w:val="22"/>
          <w:szCs w:val="22"/>
        </w:rPr>
      </w:pPr>
      <w:r w:rsidRPr="00EF52C8">
        <w:rPr>
          <w:rFonts w:ascii="Arial" w:hAnsi="Arial" w:cs="Arial"/>
          <w:sz w:val="22"/>
          <w:szCs w:val="22"/>
        </w:rPr>
        <w:t>Below are certain updates to th</w:t>
      </w:r>
      <w:r w:rsidRPr="006E027B">
        <w:rPr>
          <w:rFonts w:ascii="Arial" w:hAnsi="Arial" w:cs="Arial"/>
          <w:sz w:val="22"/>
          <w:szCs w:val="22"/>
        </w:rPr>
        <w:t xml:space="preserve">e MassHealth Drug List (MHDL). </w:t>
      </w:r>
      <w:r w:rsidRPr="00EF52C8">
        <w:rPr>
          <w:rFonts w:ascii="Arial" w:hAnsi="Arial" w:cs="Arial"/>
          <w:sz w:val="22"/>
          <w:szCs w:val="22"/>
        </w:rPr>
        <w:t>See the MHDL for a complete listing of updates.</w:t>
      </w:r>
    </w:p>
    <w:p w14:paraId="47FCFF51" w14:textId="77777777" w:rsidR="00CC5FF4" w:rsidRPr="00EF52C8" w:rsidRDefault="00CC5FF4" w:rsidP="00EF52C8">
      <w:pPr>
        <w:rPr>
          <w:sz w:val="22"/>
          <w:szCs w:val="22"/>
        </w:rPr>
      </w:pPr>
    </w:p>
    <w:p w14:paraId="4FDBA908" w14:textId="77777777" w:rsidR="00EF52C8" w:rsidRPr="00CC5FF4" w:rsidRDefault="00EF52C8" w:rsidP="00CC5FF4">
      <w:pPr>
        <w:autoSpaceDE w:val="0"/>
        <w:autoSpaceDN w:val="0"/>
        <w:adjustRightInd w:val="0"/>
        <w:spacing w:line="276" w:lineRule="auto"/>
        <w:ind w:right="720"/>
        <w:rPr>
          <w:rFonts w:ascii="Arial" w:hAnsi="Arial" w:cs="Arial"/>
          <w:b/>
          <w:bCs/>
        </w:rPr>
      </w:pPr>
      <w:r w:rsidRPr="00CC5FF4">
        <w:rPr>
          <w:rFonts w:ascii="Arial" w:hAnsi="Arial" w:cs="Arial"/>
          <w:b/>
          <w:bCs/>
        </w:rPr>
        <w:t>Additions</w:t>
      </w:r>
    </w:p>
    <w:p w14:paraId="38F0733F" w14:textId="77777777" w:rsidR="00A93A24" w:rsidRPr="00A93A24" w:rsidRDefault="00A93A24" w:rsidP="00A93A2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1"/>
        </w:rPr>
      </w:pPr>
    </w:p>
    <w:p w14:paraId="7B81FB78" w14:textId="77777777" w:rsidR="00A93A24" w:rsidRDefault="00A93A24" w:rsidP="00A93A2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</w:rPr>
      </w:pPr>
      <w:r w:rsidRPr="00A93A24">
        <w:rPr>
          <w:rFonts w:ascii="Arial" w:hAnsi="Arial" w:cs="Arial"/>
          <w:color w:val="000000"/>
          <w:sz w:val="22"/>
          <w:szCs w:val="21"/>
        </w:rPr>
        <w:t xml:space="preserve">Effective May 10, 2021, the following newly marketed drugs have been added to the MassHealth Drug List. </w:t>
      </w:r>
    </w:p>
    <w:p w14:paraId="449924A7" w14:textId="77777777" w:rsidR="007916AF" w:rsidRPr="007916AF" w:rsidRDefault="007916AF" w:rsidP="00A93A24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21"/>
        </w:rPr>
      </w:pPr>
    </w:p>
    <w:p w14:paraId="421FF076" w14:textId="77777777" w:rsidR="00A93A24" w:rsidRPr="00A93A24" w:rsidRDefault="00A93A24" w:rsidP="00AC77F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3A24">
        <w:rPr>
          <w:rFonts w:ascii="Arial" w:hAnsi="Arial" w:cs="Arial"/>
          <w:color w:val="000000"/>
          <w:sz w:val="22"/>
          <w:szCs w:val="22"/>
        </w:rPr>
        <w:t>Bafiertam</w:t>
      </w:r>
      <w:proofErr w:type="spellEnd"/>
      <w:r w:rsidRPr="00A93A24">
        <w:rPr>
          <w:rFonts w:ascii="Arial" w:hAnsi="Arial" w:cs="Arial"/>
          <w:color w:val="000000"/>
          <w:sz w:val="22"/>
          <w:szCs w:val="22"/>
        </w:rPr>
        <w:t xml:space="preserve"> (monomethyl fumarate) – </w:t>
      </w:r>
      <w:r w:rsidRPr="00A93A24">
        <w:rPr>
          <w:rFonts w:ascii="Arial" w:hAnsi="Arial" w:cs="Arial"/>
          <w:b/>
          <w:color w:val="000000"/>
          <w:sz w:val="22"/>
          <w:szCs w:val="22"/>
        </w:rPr>
        <w:t>PA</w:t>
      </w:r>
    </w:p>
    <w:p w14:paraId="5E58B7E1" w14:textId="77777777" w:rsidR="00A93A24" w:rsidRPr="00A93A24" w:rsidRDefault="00A93A24" w:rsidP="00AC77F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3A24">
        <w:rPr>
          <w:rFonts w:ascii="Arial" w:hAnsi="Arial" w:cs="Arial"/>
          <w:color w:val="000000"/>
          <w:sz w:val="22"/>
          <w:szCs w:val="22"/>
        </w:rPr>
        <w:t>Byfavo</w:t>
      </w:r>
      <w:proofErr w:type="spellEnd"/>
      <w:r w:rsidRPr="00A93A24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A93A24">
        <w:rPr>
          <w:rFonts w:ascii="Arial" w:hAnsi="Arial" w:cs="Arial"/>
          <w:color w:val="000000"/>
          <w:sz w:val="22"/>
          <w:szCs w:val="22"/>
        </w:rPr>
        <w:t>remimazolam</w:t>
      </w:r>
      <w:proofErr w:type="spellEnd"/>
      <w:r w:rsidRPr="00A93A24">
        <w:rPr>
          <w:rFonts w:ascii="Arial" w:hAnsi="Arial" w:cs="Arial"/>
          <w:color w:val="000000"/>
          <w:sz w:val="22"/>
          <w:szCs w:val="22"/>
        </w:rPr>
        <w:t xml:space="preserve">) ^ – </w:t>
      </w:r>
      <w:r w:rsidRPr="00A93A24">
        <w:rPr>
          <w:rFonts w:ascii="Arial" w:hAnsi="Arial" w:cs="Arial"/>
          <w:b/>
          <w:bCs/>
          <w:color w:val="000000"/>
          <w:sz w:val="22"/>
          <w:szCs w:val="22"/>
        </w:rPr>
        <w:t>PA</w:t>
      </w:r>
      <w:r w:rsidRPr="00A93A2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C932ADA" w14:textId="77777777" w:rsidR="00A93A24" w:rsidRPr="00A93A24" w:rsidRDefault="00A93A24" w:rsidP="00AC77F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3A24">
        <w:rPr>
          <w:rFonts w:ascii="Arial" w:hAnsi="Arial" w:cs="Arial"/>
          <w:color w:val="000000"/>
          <w:sz w:val="22"/>
          <w:szCs w:val="22"/>
        </w:rPr>
        <w:t>Cabenuva</w:t>
      </w:r>
      <w:proofErr w:type="spellEnd"/>
      <w:r w:rsidRPr="00A93A24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A93A24">
        <w:rPr>
          <w:rFonts w:ascii="Arial" w:hAnsi="Arial" w:cs="Arial"/>
          <w:color w:val="000000"/>
          <w:sz w:val="22"/>
          <w:szCs w:val="22"/>
        </w:rPr>
        <w:t>cabotegravir</w:t>
      </w:r>
      <w:proofErr w:type="spellEnd"/>
      <w:r w:rsidRPr="00A93A24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A93A24">
        <w:rPr>
          <w:rFonts w:ascii="Arial" w:hAnsi="Arial" w:cs="Arial"/>
          <w:color w:val="000000"/>
          <w:sz w:val="22"/>
          <w:szCs w:val="22"/>
        </w:rPr>
        <w:t>rilpivirine</w:t>
      </w:r>
      <w:proofErr w:type="spellEnd"/>
      <w:r w:rsidRPr="00A93A24">
        <w:rPr>
          <w:rFonts w:ascii="Arial" w:hAnsi="Arial" w:cs="Arial"/>
          <w:color w:val="000000"/>
          <w:sz w:val="22"/>
          <w:szCs w:val="22"/>
        </w:rPr>
        <w:t xml:space="preserve">) – </w:t>
      </w:r>
      <w:r w:rsidRPr="00A93A24">
        <w:rPr>
          <w:rFonts w:ascii="Arial" w:hAnsi="Arial" w:cs="Arial"/>
          <w:b/>
          <w:bCs/>
          <w:color w:val="000000"/>
          <w:sz w:val="22"/>
          <w:szCs w:val="22"/>
        </w:rPr>
        <w:t>PA</w:t>
      </w:r>
    </w:p>
    <w:p w14:paraId="04DFA732" w14:textId="77777777" w:rsidR="00AC77F8" w:rsidRDefault="00AC77F8" w:rsidP="00AC77F8">
      <w:pPr>
        <w:pStyle w:val="Default"/>
        <w:numPr>
          <w:ilvl w:val="0"/>
          <w:numId w:val="2"/>
        </w:numPr>
        <w:spacing w:line="276" w:lineRule="auto"/>
        <w:ind w:left="540"/>
        <w:rPr>
          <w:rFonts w:ascii="Arial" w:hAnsi="Arial" w:cs="Arial"/>
          <w:sz w:val="22"/>
          <w:szCs w:val="22"/>
        </w:rPr>
      </w:pPr>
      <w:proofErr w:type="spellStart"/>
      <w:r w:rsidRPr="00040D12">
        <w:rPr>
          <w:rFonts w:ascii="Arial" w:hAnsi="Arial" w:cs="Arial"/>
          <w:sz w:val="22"/>
          <w:szCs w:val="22"/>
        </w:rPr>
        <w:t>Danyelza</w:t>
      </w:r>
      <w:proofErr w:type="spellEnd"/>
      <w:r w:rsidRPr="00040D1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40D12">
        <w:rPr>
          <w:rFonts w:ascii="Arial" w:hAnsi="Arial" w:cs="Arial"/>
          <w:sz w:val="22"/>
          <w:szCs w:val="22"/>
        </w:rPr>
        <w:t>naxitamab-gqgk</w:t>
      </w:r>
      <w:proofErr w:type="spellEnd"/>
      <w:r w:rsidRPr="00040D12">
        <w:rPr>
          <w:rFonts w:ascii="Arial" w:hAnsi="Arial" w:cs="Arial"/>
          <w:sz w:val="22"/>
          <w:szCs w:val="22"/>
        </w:rPr>
        <w:t xml:space="preserve">) – </w:t>
      </w:r>
      <w:r w:rsidRPr="00040D12">
        <w:rPr>
          <w:rFonts w:ascii="Arial" w:hAnsi="Arial" w:cs="Arial"/>
          <w:b/>
          <w:bCs/>
          <w:sz w:val="22"/>
          <w:szCs w:val="22"/>
        </w:rPr>
        <w:t>PA</w:t>
      </w:r>
      <w:r w:rsidRPr="00040D12">
        <w:rPr>
          <w:rFonts w:ascii="Arial" w:hAnsi="Arial" w:cs="Arial"/>
          <w:sz w:val="22"/>
          <w:szCs w:val="22"/>
        </w:rPr>
        <w:t xml:space="preserve"> </w:t>
      </w:r>
    </w:p>
    <w:p w14:paraId="131DCCE8" w14:textId="77777777" w:rsidR="00AC77F8" w:rsidRPr="004B31B4" w:rsidRDefault="00AC77F8" w:rsidP="00AC77F8">
      <w:pPr>
        <w:pStyle w:val="Default"/>
        <w:numPr>
          <w:ilvl w:val="0"/>
          <w:numId w:val="2"/>
        </w:numPr>
        <w:spacing w:line="276" w:lineRule="auto"/>
        <w:ind w:left="540"/>
        <w:rPr>
          <w:rFonts w:ascii="Arial" w:hAnsi="Arial" w:cs="Arial"/>
          <w:sz w:val="22"/>
          <w:szCs w:val="22"/>
        </w:rPr>
      </w:pPr>
      <w:proofErr w:type="spellStart"/>
      <w:r w:rsidRPr="004B31B4">
        <w:rPr>
          <w:rFonts w:ascii="Arial" w:hAnsi="Arial" w:cs="Arial"/>
          <w:sz w:val="22"/>
          <w:szCs w:val="22"/>
        </w:rPr>
        <w:t>Imcivree</w:t>
      </w:r>
      <w:proofErr w:type="spellEnd"/>
      <w:r w:rsidRPr="004B31B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B31B4">
        <w:rPr>
          <w:rFonts w:ascii="Arial" w:hAnsi="Arial" w:cs="Arial"/>
          <w:sz w:val="22"/>
          <w:szCs w:val="22"/>
        </w:rPr>
        <w:t>setmelanotide</w:t>
      </w:r>
      <w:proofErr w:type="spellEnd"/>
      <w:r w:rsidRPr="004B31B4">
        <w:rPr>
          <w:rFonts w:ascii="Arial" w:hAnsi="Arial" w:cs="Arial"/>
          <w:sz w:val="22"/>
          <w:szCs w:val="22"/>
        </w:rPr>
        <w:t xml:space="preserve">) – </w:t>
      </w:r>
      <w:r w:rsidRPr="004B31B4">
        <w:rPr>
          <w:rFonts w:ascii="Arial" w:hAnsi="Arial" w:cs="Arial"/>
          <w:b/>
          <w:bCs/>
          <w:sz w:val="22"/>
          <w:szCs w:val="22"/>
        </w:rPr>
        <w:t>PA</w:t>
      </w:r>
    </w:p>
    <w:p w14:paraId="794AAC68" w14:textId="77777777" w:rsidR="00AC77F8" w:rsidRDefault="00AC77F8" w:rsidP="00AC77F8">
      <w:pPr>
        <w:pStyle w:val="Default"/>
        <w:numPr>
          <w:ilvl w:val="0"/>
          <w:numId w:val="2"/>
        </w:numPr>
        <w:spacing w:line="276" w:lineRule="auto"/>
        <w:ind w:left="540"/>
        <w:rPr>
          <w:rFonts w:ascii="Arial" w:hAnsi="Arial" w:cs="Arial"/>
          <w:sz w:val="22"/>
          <w:szCs w:val="22"/>
        </w:rPr>
      </w:pPr>
      <w:proofErr w:type="spellStart"/>
      <w:r w:rsidRPr="003F0855">
        <w:rPr>
          <w:rFonts w:ascii="Arial" w:hAnsi="Arial" w:cs="Arial"/>
          <w:sz w:val="22"/>
          <w:szCs w:val="22"/>
        </w:rPr>
        <w:t>Orladeyo</w:t>
      </w:r>
      <w:proofErr w:type="spellEnd"/>
      <w:r w:rsidRPr="003F085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F0855">
        <w:rPr>
          <w:rFonts w:ascii="Arial" w:hAnsi="Arial" w:cs="Arial"/>
          <w:sz w:val="22"/>
          <w:szCs w:val="22"/>
        </w:rPr>
        <w:t>berotralstat</w:t>
      </w:r>
      <w:proofErr w:type="spellEnd"/>
      <w:r w:rsidRPr="003F0855">
        <w:rPr>
          <w:rFonts w:ascii="Arial" w:hAnsi="Arial" w:cs="Arial"/>
          <w:sz w:val="22"/>
          <w:szCs w:val="22"/>
        </w:rPr>
        <w:t xml:space="preserve">) – </w:t>
      </w:r>
      <w:r w:rsidRPr="003F0855">
        <w:rPr>
          <w:rFonts w:ascii="Arial" w:hAnsi="Arial" w:cs="Arial"/>
          <w:b/>
          <w:bCs/>
          <w:sz w:val="22"/>
          <w:szCs w:val="22"/>
        </w:rPr>
        <w:t>PA</w:t>
      </w:r>
    </w:p>
    <w:p w14:paraId="40C5009A" w14:textId="77777777" w:rsidR="00AC77F8" w:rsidRPr="003F0855" w:rsidRDefault="00AC77F8" w:rsidP="00AC77F8">
      <w:pPr>
        <w:pStyle w:val="Default"/>
        <w:numPr>
          <w:ilvl w:val="0"/>
          <w:numId w:val="2"/>
        </w:numPr>
        <w:spacing w:line="276" w:lineRule="auto"/>
        <w:ind w:left="54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Phexxi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Pr="000A78B2">
        <w:rPr>
          <w:rFonts w:ascii="Arial" w:hAnsi="Arial" w:cs="Arial"/>
          <w:sz w:val="22"/>
          <w:szCs w:val="22"/>
        </w:rPr>
        <w:t>lactic acid</w:t>
      </w:r>
      <w:r>
        <w:rPr>
          <w:rFonts w:ascii="Arial" w:hAnsi="Arial" w:cs="Arial"/>
          <w:sz w:val="22"/>
          <w:szCs w:val="22"/>
        </w:rPr>
        <w:t>/</w:t>
      </w:r>
      <w:r w:rsidRPr="000A78B2">
        <w:rPr>
          <w:rFonts w:ascii="Arial" w:hAnsi="Arial" w:cs="Arial"/>
          <w:sz w:val="22"/>
          <w:szCs w:val="22"/>
        </w:rPr>
        <w:t>citric acid</w:t>
      </w:r>
      <w:r>
        <w:rPr>
          <w:rFonts w:ascii="Arial" w:hAnsi="Arial" w:cs="Arial"/>
          <w:sz w:val="22"/>
          <w:szCs w:val="22"/>
        </w:rPr>
        <w:t>/</w:t>
      </w:r>
      <w:r w:rsidRPr="000A78B2">
        <w:rPr>
          <w:rFonts w:ascii="Arial" w:hAnsi="Arial" w:cs="Arial"/>
          <w:sz w:val="22"/>
          <w:szCs w:val="22"/>
        </w:rPr>
        <w:t>potassium bitartrate</w:t>
      </w:r>
      <w:r>
        <w:rPr>
          <w:rFonts w:ascii="Arial" w:hAnsi="Arial" w:cs="Arial"/>
          <w:sz w:val="22"/>
          <w:szCs w:val="22"/>
        </w:rPr>
        <w:t xml:space="preserve"> vaginal gel)</w:t>
      </w:r>
    </w:p>
    <w:p w14:paraId="60B4E04C" w14:textId="77777777" w:rsidR="00AC77F8" w:rsidRPr="00C822C1" w:rsidRDefault="00AC77F8" w:rsidP="00AC77F8">
      <w:pPr>
        <w:pStyle w:val="Default"/>
        <w:numPr>
          <w:ilvl w:val="0"/>
          <w:numId w:val="2"/>
        </w:numPr>
        <w:spacing w:line="276" w:lineRule="auto"/>
        <w:ind w:left="540"/>
        <w:rPr>
          <w:rFonts w:ascii="Arial" w:hAnsi="Arial" w:cs="Arial"/>
          <w:sz w:val="22"/>
          <w:szCs w:val="22"/>
        </w:rPr>
      </w:pPr>
      <w:proofErr w:type="spellStart"/>
      <w:r w:rsidRPr="00C822C1">
        <w:rPr>
          <w:rFonts w:ascii="Arial" w:hAnsi="Arial" w:cs="Arial"/>
          <w:sz w:val="22"/>
          <w:szCs w:val="22"/>
        </w:rPr>
        <w:t>Riabni</w:t>
      </w:r>
      <w:proofErr w:type="spellEnd"/>
      <w:r w:rsidRPr="00C822C1">
        <w:rPr>
          <w:rFonts w:ascii="Arial" w:hAnsi="Arial" w:cs="Arial"/>
          <w:sz w:val="22"/>
          <w:szCs w:val="22"/>
        </w:rPr>
        <w:t xml:space="preserve"> (rituximab-</w:t>
      </w:r>
      <w:proofErr w:type="spellStart"/>
      <w:r w:rsidRPr="00C822C1">
        <w:rPr>
          <w:rFonts w:ascii="Arial" w:hAnsi="Arial" w:cs="Arial"/>
          <w:sz w:val="22"/>
          <w:szCs w:val="22"/>
        </w:rPr>
        <w:t>arrx</w:t>
      </w:r>
      <w:proofErr w:type="spellEnd"/>
      <w:r w:rsidRPr="00C822C1">
        <w:rPr>
          <w:rFonts w:ascii="Arial" w:hAnsi="Arial" w:cs="Arial"/>
          <w:sz w:val="22"/>
          <w:szCs w:val="22"/>
        </w:rPr>
        <w:t xml:space="preserve">) – </w:t>
      </w:r>
      <w:r w:rsidRPr="00C822C1">
        <w:rPr>
          <w:rFonts w:ascii="Arial" w:hAnsi="Arial" w:cs="Arial"/>
          <w:b/>
          <w:bCs/>
          <w:sz w:val="22"/>
          <w:szCs w:val="22"/>
        </w:rPr>
        <w:t>PA</w:t>
      </w:r>
    </w:p>
    <w:p w14:paraId="160DA0F9" w14:textId="77777777" w:rsidR="00AC77F8" w:rsidRPr="00074482" w:rsidRDefault="00AC77F8" w:rsidP="00AC77F8">
      <w:pPr>
        <w:pStyle w:val="Default"/>
        <w:numPr>
          <w:ilvl w:val="0"/>
          <w:numId w:val="2"/>
        </w:numPr>
        <w:spacing w:line="276" w:lineRule="auto"/>
        <w:ind w:left="540"/>
        <w:rPr>
          <w:rFonts w:ascii="Arial" w:hAnsi="Arial" w:cs="Arial"/>
          <w:sz w:val="22"/>
          <w:szCs w:val="22"/>
        </w:rPr>
      </w:pPr>
      <w:proofErr w:type="spellStart"/>
      <w:r w:rsidRPr="00074482">
        <w:rPr>
          <w:rFonts w:ascii="Arial" w:hAnsi="Arial" w:cs="Arial"/>
          <w:sz w:val="22"/>
          <w:szCs w:val="22"/>
        </w:rPr>
        <w:t>Vocabria</w:t>
      </w:r>
      <w:proofErr w:type="spellEnd"/>
      <w:r w:rsidRPr="0007448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74482">
        <w:rPr>
          <w:rFonts w:ascii="Arial" w:hAnsi="Arial" w:cs="Arial"/>
          <w:sz w:val="22"/>
          <w:szCs w:val="22"/>
        </w:rPr>
        <w:t>cabotegravir</w:t>
      </w:r>
      <w:proofErr w:type="spellEnd"/>
      <w:r w:rsidRPr="00074482">
        <w:rPr>
          <w:rFonts w:ascii="Arial" w:hAnsi="Arial" w:cs="Arial"/>
          <w:sz w:val="22"/>
          <w:szCs w:val="22"/>
        </w:rPr>
        <w:t xml:space="preserve">) – </w:t>
      </w:r>
      <w:r w:rsidRPr="00074482">
        <w:rPr>
          <w:rFonts w:ascii="Arial" w:hAnsi="Arial" w:cs="Arial"/>
          <w:b/>
          <w:bCs/>
          <w:sz w:val="22"/>
          <w:szCs w:val="22"/>
        </w:rPr>
        <w:t>PA</w:t>
      </w:r>
    </w:p>
    <w:p w14:paraId="2A7D8408" w14:textId="1B14D058" w:rsidR="00B503C7" w:rsidRPr="00CF2414" w:rsidRDefault="00AC77F8" w:rsidP="00CF2414">
      <w:pPr>
        <w:pStyle w:val="Default"/>
        <w:numPr>
          <w:ilvl w:val="0"/>
          <w:numId w:val="2"/>
        </w:numPr>
        <w:spacing w:line="276" w:lineRule="auto"/>
        <w:ind w:left="540"/>
        <w:rPr>
          <w:rFonts w:ascii="Arial" w:hAnsi="Arial" w:cs="Arial"/>
          <w:sz w:val="22"/>
          <w:szCs w:val="22"/>
        </w:rPr>
      </w:pPr>
      <w:proofErr w:type="spellStart"/>
      <w:r w:rsidRPr="00BF01AD">
        <w:rPr>
          <w:rFonts w:ascii="Arial" w:hAnsi="Arial" w:cs="Arial"/>
          <w:sz w:val="22"/>
          <w:szCs w:val="22"/>
        </w:rPr>
        <w:t>Zokinvy</w:t>
      </w:r>
      <w:proofErr w:type="spellEnd"/>
      <w:r w:rsidRPr="00BF01A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F01AD">
        <w:rPr>
          <w:rFonts w:ascii="Arial" w:hAnsi="Arial" w:cs="Arial"/>
          <w:sz w:val="22"/>
          <w:szCs w:val="22"/>
        </w:rPr>
        <w:t>lonafarnib</w:t>
      </w:r>
      <w:proofErr w:type="spellEnd"/>
      <w:r w:rsidRPr="00BF01AD">
        <w:rPr>
          <w:rFonts w:ascii="Arial" w:hAnsi="Arial" w:cs="Arial"/>
          <w:sz w:val="22"/>
          <w:szCs w:val="22"/>
        </w:rPr>
        <w:t xml:space="preserve">) – </w:t>
      </w:r>
      <w:r w:rsidRPr="00BF01AD">
        <w:rPr>
          <w:rFonts w:ascii="Arial" w:hAnsi="Arial" w:cs="Arial"/>
          <w:b/>
          <w:sz w:val="22"/>
          <w:szCs w:val="22"/>
        </w:rPr>
        <w:t>PA</w:t>
      </w:r>
      <w:r w:rsidRPr="00BF01AD">
        <w:rPr>
          <w:rFonts w:ascii="Arial" w:hAnsi="Arial" w:cs="Arial"/>
          <w:sz w:val="22"/>
          <w:szCs w:val="22"/>
        </w:rPr>
        <w:t xml:space="preserve"> </w:t>
      </w:r>
    </w:p>
    <w:p w14:paraId="2C3EE061" w14:textId="77777777" w:rsidR="00CD6D68" w:rsidRDefault="00A44AC0" w:rsidP="00CF2414">
      <w:pPr>
        <w:pStyle w:val="Heading2"/>
      </w:pPr>
      <w:r w:rsidRPr="00046996">
        <w:t xml:space="preserve">Change in </w:t>
      </w:r>
      <w:r w:rsidR="00952E8D">
        <w:t>PA</w:t>
      </w:r>
      <w:r w:rsidRPr="00046996">
        <w:t xml:space="preserve"> Status</w:t>
      </w:r>
    </w:p>
    <w:p w14:paraId="0332A8EE" w14:textId="77777777" w:rsidR="008E3B8F" w:rsidRPr="008E3B8F" w:rsidRDefault="008E3B8F" w:rsidP="00CD6D68">
      <w:pPr>
        <w:pStyle w:val="Default"/>
        <w:tabs>
          <w:tab w:val="left" w:pos="90"/>
        </w:tabs>
        <w:spacing w:line="276" w:lineRule="auto"/>
        <w:ind w:left="360" w:hanging="360"/>
        <w:rPr>
          <w:rFonts w:ascii="Arial" w:hAnsi="Arial" w:cs="Arial"/>
          <w:color w:val="auto"/>
          <w:sz w:val="16"/>
          <w:szCs w:val="22"/>
        </w:rPr>
      </w:pPr>
    </w:p>
    <w:p w14:paraId="49877512" w14:textId="77777777" w:rsidR="008E3B8F" w:rsidRPr="008E3B8F" w:rsidRDefault="008E3B8F" w:rsidP="008E3B8F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8E3B8F">
        <w:rPr>
          <w:rFonts w:ascii="Arial" w:hAnsi="Arial" w:cs="Arial"/>
          <w:color w:val="000000"/>
          <w:sz w:val="22"/>
          <w:szCs w:val="22"/>
        </w:rPr>
        <w:t xml:space="preserve">Effective May 10, 2021, the following anticonvulsants will no longer require </w:t>
      </w:r>
      <w:r w:rsidR="00952E8D">
        <w:rPr>
          <w:rFonts w:ascii="Arial" w:hAnsi="Arial" w:cs="Arial"/>
          <w:color w:val="000000"/>
          <w:sz w:val="22"/>
          <w:szCs w:val="22"/>
        </w:rPr>
        <w:t>PA</w:t>
      </w:r>
      <w:r w:rsidRPr="008E3B8F">
        <w:rPr>
          <w:rFonts w:ascii="Arial" w:hAnsi="Arial" w:cs="Arial"/>
          <w:color w:val="000000"/>
          <w:sz w:val="22"/>
          <w:szCs w:val="22"/>
        </w:rPr>
        <w:t xml:space="preserve"> for adult members. Pediatric Behavioral Health Medication Initiative criteria will still apply. For additional information, please see the Pediatric Behavioral Health Medication </w:t>
      </w:r>
      <w:r w:rsidRPr="008E3B8F">
        <w:rPr>
          <w:rFonts w:ascii="Arial" w:hAnsi="Arial" w:cs="Arial"/>
          <w:color w:val="000000"/>
          <w:sz w:val="22"/>
          <w:szCs w:val="22"/>
        </w:rPr>
        <w:lastRenderedPageBreak/>
        <w:t xml:space="preserve">Initiative documents found at </w:t>
      </w:r>
      <w:hyperlink r:id="rId14" w:history="1">
        <w:r w:rsidRPr="008E3B8F">
          <w:rPr>
            <w:rFonts w:ascii="Arial" w:hAnsi="Arial" w:cs="Arial"/>
            <w:color w:val="0000FF"/>
            <w:sz w:val="22"/>
            <w:szCs w:val="22"/>
            <w:u w:val="single"/>
          </w:rPr>
          <w:t>www.mass.gov/druglist</w:t>
        </w:r>
      </w:hyperlink>
      <w:r w:rsidRPr="008E3B8F">
        <w:rPr>
          <w:rFonts w:ascii="Arial" w:hAnsi="Arial" w:cs="Arial"/>
          <w:color w:val="000000"/>
          <w:sz w:val="22"/>
          <w:szCs w:val="22"/>
        </w:rPr>
        <w:t>.</w:t>
      </w:r>
    </w:p>
    <w:p w14:paraId="6CA31FBC" w14:textId="77777777" w:rsidR="008E3B8F" w:rsidRPr="008E3B8F" w:rsidRDefault="008E3B8F" w:rsidP="008E3B8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8E3B8F">
        <w:rPr>
          <w:rFonts w:ascii="Arial" w:hAnsi="Arial" w:cs="Arial"/>
          <w:color w:val="000000"/>
          <w:sz w:val="22"/>
          <w:szCs w:val="22"/>
        </w:rPr>
        <w:t>Equetro</w:t>
      </w:r>
      <w:proofErr w:type="spellEnd"/>
      <w:r w:rsidRPr="008E3B8F">
        <w:rPr>
          <w:rFonts w:ascii="Arial" w:hAnsi="Arial" w:cs="Arial"/>
          <w:color w:val="000000"/>
          <w:sz w:val="22"/>
          <w:szCs w:val="22"/>
        </w:rPr>
        <w:t xml:space="preserve"> (carbamazepine extended-release) – </w:t>
      </w:r>
      <w:r w:rsidRPr="008E3B8F">
        <w:rPr>
          <w:rFonts w:ascii="Arial" w:hAnsi="Arial" w:cs="Arial"/>
          <w:b/>
          <w:color w:val="000000"/>
          <w:sz w:val="22"/>
          <w:szCs w:val="22"/>
        </w:rPr>
        <w:t xml:space="preserve">PA &lt; 6 years </w:t>
      </w:r>
    </w:p>
    <w:p w14:paraId="49056B3A" w14:textId="77777777" w:rsidR="008E3B8F" w:rsidRPr="008E3B8F" w:rsidRDefault="008E3B8F" w:rsidP="008E3B8F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8E3B8F">
        <w:rPr>
          <w:rFonts w:ascii="Arial" w:hAnsi="Arial" w:cs="Arial"/>
          <w:color w:val="000000"/>
          <w:sz w:val="22"/>
          <w:szCs w:val="22"/>
        </w:rPr>
        <w:t>Qudexy</w:t>
      </w:r>
      <w:proofErr w:type="spellEnd"/>
      <w:r w:rsidRPr="008E3B8F">
        <w:rPr>
          <w:rFonts w:ascii="Arial" w:hAnsi="Arial" w:cs="Arial"/>
          <w:color w:val="000000"/>
          <w:sz w:val="22"/>
          <w:szCs w:val="22"/>
        </w:rPr>
        <w:t xml:space="preserve"> XR # (</w:t>
      </w:r>
      <w:proofErr w:type="spellStart"/>
      <w:r w:rsidRPr="008E3B8F">
        <w:rPr>
          <w:rFonts w:ascii="Arial" w:hAnsi="Arial" w:cs="Arial"/>
          <w:color w:val="000000"/>
          <w:sz w:val="22"/>
          <w:szCs w:val="22"/>
        </w:rPr>
        <w:t>topiramate</w:t>
      </w:r>
      <w:proofErr w:type="spellEnd"/>
      <w:r w:rsidRPr="008E3B8F">
        <w:rPr>
          <w:rFonts w:ascii="Arial" w:hAnsi="Arial" w:cs="Arial"/>
          <w:color w:val="000000"/>
          <w:sz w:val="22"/>
          <w:szCs w:val="22"/>
        </w:rPr>
        <w:t xml:space="preserve"> extended-release capsule) – </w:t>
      </w:r>
      <w:r w:rsidRPr="008E3B8F">
        <w:rPr>
          <w:rFonts w:ascii="Arial" w:hAnsi="Arial" w:cs="Arial"/>
          <w:b/>
          <w:color w:val="000000"/>
          <w:sz w:val="22"/>
          <w:szCs w:val="22"/>
        </w:rPr>
        <w:t xml:space="preserve">PA &lt; 6 years </w:t>
      </w:r>
    </w:p>
    <w:p w14:paraId="6FEF7AB1" w14:textId="77777777" w:rsidR="00CE0B81" w:rsidRPr="00CE0B81" w:rsidRDefault="00CE0B81" w:rsidP="00A04EF7">
      <w:pPr>
        <w:numPr>
          <w:ilvl w:val="0"/>
          <w:numId w:val="4"/>
        </w:numPr>
        <w:autoSpaceDE w:val="0"/>
        <w:autoSpaceDN w:val="0"/>
        <w:adjustRightInd w:val="0"/>
        <w:spacing w:before="20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CE0B81">
        <w:rPr>
          <w:rFonts w:ascii="Arial" w:hAnsi="Arial" w:cs="Arial"/>
          <w:color w:val="000000"/>
          <w:sz w:val="22"/>
          <w:szCs w:val="22"/>
        </w:rPr>
        <w:t xml:space="preserve">Effective May 10, 2021, the following anticonvulsant will no longer require </w:t>
      </w:r>
      <w:r w:rsidR="007916AF">
        <w:rPr>
          <w:rFonts w:ascii="Arial" w:hAnsi="Arial" w:cs="Arial"/>
          <w:color w:val="000000"/>
          <w:sz w:val="22"/>
          <w:szCs w:val="22"/>
        </w:rPr>
        <w:t>PA</w:t>
      </w:r>
      <w:r w:rsidRPr="00CE0B81">
        <w:rPr>
          <w:rFonts w:ascii="Arial" w:hAnsi="Arial" w:cs="Arial"/>
          <w:color w:val="000000"/>
          <w:sz w:val="22"/>
          <w:szCs w:val="22"/>
        </w:rPr>
        <w:t xml:space="preserve">. Pediatric Behavioral Health Medication Initiative polypharmacy criteria will still apply. For additional information, please see the Pediatric Behavioral Health Medication Initiative documents found at </w:t>
      </w:r>
      <w:hyperlink r:id="rId15" w:history="1">
        <w:r w:rsidRPr="00CE0B81">
          <w:rPr>
            <w:rFonts w:ascii="Arial" w:hAnsi="Arial" w:cs="Arial"/>
            <w:color w:val="0000FF"/>
            <w:sz w:val="22"/>
            <w:szCs w:val="22"/>
            <w:u w:val="single"/>
          </w:rPr>
          <w:t>www.mass.gov/druglist</w:t>
        </w:r>
      </w:hyperlink>
      <w:r w:rsidRPr="00CE0B81">
        <w:rPr>
          <w:rFonts w:ascii="Arial" w:hAnsi="Arial" w:cs="Arial"/>
          <w:color w:val="000000"/>
          <w:sz w:val="22"/>
          <w:szCs w:val="22"/>
        </w:rPr>
        <w:t>.</w:t>
      </w:r>
    </w:p>
    <w:p w14:paraId="5142C459" w14:textId="77777777" w:rsidR="00CE0B81" w:rsidRPr="00CE0B81" w:rsidRDefault="00CE0B81" w:rsidP="00CE0B81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CE0B81">
        <w:rPr>
          <w:rFonts w:ascii="Arial" w:hAnsi="Arial" w:cs="Arial"/>
          <w:color w:val="000000"/>
          <w:sz w:val="22"/>
          <w:szCs w:val="22"/>
        </w:rPr>
        <w:t>Onfi</w:t>
      </w:r>
      <w:proofErr w:type="spellEnd"/>
      <w:r w:rsidRPr="00CE0B81">
        <w:rPr>
          <w:rFonts w:ascii="Arial" w:hAnsi="Arial" w:cs="Arial"/>
          <w:color w:val="000000"/>
          <w:sz w:val="22"/>
          <w:szCs w:val="22"/>
        </w:rPr>
        <w:t xml:space="preserve"> # (</w:t>
      </w:r>
      <w:proofErr w:type="spellStart"/>
      <w:r w:rsidRPr="00CE0B81">
        <w:rPr>
          <w:rFonts w:ascii="Arial" w:hAnsi="Arial" w:cs="Arial"/>
          <w:color w:val="000000"/>
          <w:sz w:val="22"/>
          <w:szCs w:val="22"/>
        </w:rPr>
        <w:t>clobazam</w:t>
      </w:r>
      <w:proofErr w:type="spellEnd"/>
      <w:r w:rsidRPr="00CE0B81">
        <w:rPr>
          <w:rFonts w:ascii="Arial" w:hAnsi="Arial" w:cs="Arial"/>
          <w:color w:val="000000"/>
          <w:sz w:val="22"/>
          <w:szCs w:val="22"/>
        </w:rPr>
        <w:t xml:space="preserve"> suspension, tablet)</w:t>
      </w:r>
    </w:p>
    <w:p w14:paraId="0973617A" w14:textId="77777777" w:rsidR="00A04EF7" w:rsidRPr="00A04EF7" w:rsidRDefault="00A04EF7" w:rsidP="00A04EF7">
      <w:pPr>
        <w:numPr>
          <w:ilvl w:val="0"/>
          <w:numId w:val="4"/>
        </w:numPr>
        <w:autoSpaceDE w:val="0"/>
        <w:autoSpaceDN w:val="0"/>
        <w:adjustRightInd w:val="0"/>
        <w:spacing w:before="20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A04EF7">
        <w:rPr>
          <w:rFonts w:ascii="Arial" w:hAnsi="Arial" w:cs="Arial"/>
          <w:color w:val="000000"/>
          <w:sz w:val="22"/>
          <w:szCs w:val="22"/>
        </w:rPr>
        <w:t xml:space="preserve">Effective May 10, 2021, the following antimalarials will no longer require </w:t>
      </w:r>
      <w:r w:rsidR="004725A6">
        <w:rPr>
          <w:rFonts w:ascii="Arial" w:hAnsi="Arial" w:cs="Arial"/>
          <w:sz w:val="22"/>
          <w:szCs w:val="22"/>
        </w:rPr>
        <w:t>PA</w:t>
      </w:r>
      <w:r w:rsidRPr="00A04EF7">
        <w:rPr>
          <w:rFonts w:ascii="Arial" w:hAnsi="Arial" w:cs="Arial"/>
          <w:sz w:val="22"/>
          <w:szCs w:val="22"/>
        </w:rPr>
        <w:t>.</w:t>
      </w:r>
    </w:p>
    <w:p w14:paraId="2A6F4250" w14:textId="77777777" w:rsidR="00A04EF7" w:rsidRDefault="00A04EF7" w:rsidP="00A04EF7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A04EF7">
        <w:rPr>
          <w:rFonts w:ascii="Arial" w:hAnsi="Arial" w:cs="Arial"/>
          <w:color w:val="000000"/>
          <w:sz w:val="22"/>
          <w:szCs w:val="22"/>
        </w:rPr>
        <w:t>chloroquine phosphate</w:t>
      </w:r>
    </w:p>
    <w:p w14:paraId="094FCB5C" w14:textId="77777777" w:rsidR="00976403" w:rsidRDefault="00976403" w:rsidP="00A04EF7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582A19">
        <w:rPr>
          <w:rFonts w:ascii="Arial" w:hAnsi="Arial" w:cs="Arial"/>
          <w:bCs/>
          <w:color w:val="000000"/>
          <w:sz w:val="22"/>
          <w:szCs w:val="22"/>
        </w:rPr>
        <w:t>hydroxychloroquine</w:t>
      </w:r>
    </w:p>
    <w:p w14:paraId="55394929" w14:textId="77777777" w:rsidR="004F49E0" w:rsidRPr="00867D5C" w:rsidRDefault="001545D5" w:rsidP="002E08D7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67D5C">
        <w:rPr>
          <w:rFonts w:ascii="Arial" w:hAnsi="Arial" w:cs="Arial"/>
          <w:color w:val="000000"/>
          <w:sz w:val="22"/>
          <w:szCs w:val="22"/>
        </w:rPr>
        <w:br w:type="column"/>
      </w:r>
      <w:r w:rsidR="004F49E0" w:rsidRPr="00867D5C">
        <w:rPr>
          <w:rFonts w:ascii="Arial Black" w:hAnsi="Arial Black"/>
        </w:rPr>
        <w:lastRenderedPageBreak/>
        <w:t>Updated MassHealth Brand Name Preferred Over Generic Drug List</w:t>
      </w:r>
    </w:p>
    <w:p w14:paraId="11B88157" w14:textId="77777777" w:rsidR="00867D5C" w:rsidRDefault="00867D5C" w:rsidP="00976403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E46991B" w14:textId="77777777" w:rsidR="004F49E0" w:rsidRDefault="004F49E0" w:rsidP="004F49E0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A0A48">
        <w:rPr>
          <w:rFonts w:ascii="Arial" w:hAnsi="Arial" w:cs="Arial"/>
          <w:sz w:val="22"/>
          <w:szCs w:val="22"/>
        </w:rPr>
        <w:t>The MassHealth Brand Name Preferred Over Generic Drug List has been updated to reflect recent changes to the MassHealth Drug List.</w:t>
      </w:r>
    </w:p>
    <w:p w14:paraId="256C8AFC" w14:textId="77777777" w:rsidR="004F49E0" w:rsidRPr="002A0A48" w:rsidRDefault="004F49E0" w:rsidP="004F49E0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501CA7DC" w14:textId="77777777" w:rsidR="004F49E0" w:rsidRDefault="004F49E0" w:rsidP="004F49E0">
      <w:pPr>
        <w:pStyle w:val="Default"/>
        <w:numPr>
          <w:ilvl w:val="0"/>
          <w:numId w:val="30"/>
        </w:numPr>
        <w:spacing w:line="276" w:lineRule="auto"/>
        <w:ind w:left="360"/>
        <w:rPr>
          <w:rFonts w:ascii="Arial" w:hAnsi="Arial" w:cs="Arial"/>
          <w:sz w:val="22"/>
          <w:szCs w:val="21"/>
        </w:rPr>
      </w:pPr>
      <w:r w:rsidRPr="004D4AF3">
        <w:rPr>
          <w:rFonts w:ascii="Arial" w:hAnsi="Arial" w:cs="Arial"/>
          <w:sz w:val="22"/>
          <w:szCs w:val="21"/>
        </w:rPr>
        <w:t xml:space="preserve">Effective </w:t>
      </w:r>
      <w:r w:rsidRPr="006E5E78">
        <w:rPr>
          <w:rFonts w:ascii="Arial" w:hAnsi="Arial" w:cs="Arial"/>
          <w:color w:val="auto"/>
          <w:sz w:val="22"/>
          <w:szCs w:val="21"/>
        </w:rPr>
        <w:t>May 10</w:t>
      </w:r>
      <w:r w:rsidRPr="006E5E78">
        <w:rPr>
          <w:rFonts w:ascii="Arial" w:hAnsi="Arial" w:cs="Arial"/>
          <w:sz w:val="22"/>
          <w:szCs w:val="21"/>
        </w:rPr>
        <w:t xml:space="preserve">, </w:t>
      </w:r>
      <w:r w:rsidRPr="006E5E78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, </w:t>
      </w:r>
      <w:r w:rsidRPr="004D4AF3">
        <w:rPr>
          <w:rFonts w:ascii="Arial" w:hAnsi="Arial" w:cs="Arial"/>
          <w:sz w:val="22"/>
          <w:szCs w:val="21"/>
        </w:rPr>
        <w:t xml:space="preserve">the following agents will be added to the MassHealth Brand Name Preferred Over Generic Drug List. </w:t>
      </w:r>
    </w:p>
    <w:p w14:paraId="7660733E" w14:textId="77777777" w:rsidR="004F49E0" w:rsidRPr="002A0A48" w:rsidRDefault="004F49E0" w:rsidP="004F49E0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1"/>
        </w:rPr>
      </w:pPr>
      <w:proofErr w:type="spellStart"/>
      <w:r w:rsidRPr="002A0A48">
        <w:rPr>
          <w:rFonts w:ascii="Arial" w:hAnsi="Arial" w:cs="Arial"/>
          <w:sz w:val="22"/>
          <w:szCs w:val="21"/>
        </w:rPr>
        <w:t>Azopt</w:t>
      </w:r>
      <w:proofErr w:type="spellEnd"/>
      <w:r w:rsidRPr="002A0A48">
        <w:rPr>
          <w:rFonts w:ascii="Arial" w:hAnsi="Arial" w:cs="Arial"/>
          <w:sz w:val="22"/>
          <w:szCs w:val="21"/>
        </w:rPr>
        <w:t xml:space="preserve"> (</w:t>
      </w:r>
      <w:proofErr w:type="spellStart"/>
      <w:r w:rsidRPr="002A0A48">
        <w:rPr>
          <w:rFonts w:ascii="Arial" w:hAnsi="Arial" w:cs="Arial"/>
          <w:sz w:val="22"/>
          <w:szCs w:val="21"/>
        </w:rPr>
        <w:t>brinzolamide</w:t>
      </w:r>
      <w:proofErr w:type="spellEnd"/>
      <w:r w:rsidRPr="002A0A48">
        <w:rPr>
          <w:rFonts w:ascii="Arial" w:hAnsi="Arial" w:cs="Arial"/>
          <w:sz w:val="22"/>
          <w:szCs w:val="21"/>
        </w:rPr>
        <w:t>)</w:t>
      </w:r>
      <w:r w:rsidRPr="002A0A48">
        <w:rPr>
          <w:rFonts w:ascii="Arial" w:hAnsi="Arial" w:cs="Arial"/>
          <w:sz w:val="22"/>
          <w:szCs w:val="21"/>
          <w:vertAlign w:val="superscript"/>
        </w:rPr>
        <w:t xml:space="preserve"> BP</w:t>
      </w:r>
      <w:r w:rsidRPr="002A0A48">
        <w:rPr>
          <w:rFonts w:ascii="Arial" w:hAnsi="Arial" w:cs="Arial"/>
          <w:sz w:val="22"/>
          <w:szCs w:val="21"/>
        </w:rPr>
        <w:t xml:space="preserve"> – </w:t>
      </w:r>
      <w:r w:rsidRPr="002A0A48">
        <w:rPr>
          <w:rFonts w:ascii="Arial" w:hAnsi="Arial" w:cs="Arial"/>
          <w:b/>
          <w:sz w:val="22"/>
          <w:szCs w:val="21"/>
        </w:rPr>
        <w:t>PA</w:t>
      </w:r>
      <w:r w:rsidRPr="002A0A48">
        <w:rPr>
          <w:rFonts w:ascii="Arial" w:hAnsi="Arial" w:cs="Arial"/>
          <w:sz w:val="22"/>
          <w:szCs w:val="21"/>
        </w:rPr>
        <w:t xml:space="preserve"> </w:t>
      </w:r>
    </w:p>
    <w:p w14:paraId="6D3206EF" w14:textId="77777777" w:rsidR="004F49E0" w:rsidRPr="002A0A48" w:rsidRDefault="004F49E0" w:rsidP="004F49E0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A0A48">
        <w:rPr>
          <w:rFonts w:ascii="Arial" w:hAnsi="Arial" w:cs="Arial"/>
          <w:sz w:val="22"/>
          <w:szCs w:val="22"/>
        </w:rPr>
        <w:t>Carac</w:t>
      </w:r>
      <w:proofErr w:type="spellEnd"/>
      <w:r w:rsidRPr="002A0A48">
        <w:rPr>
          <w:rFonts w:ascii="Arial" w:hAnsi="Arial" w:cs="Arial"/>
          <w:sz w:val="22"/>
          <w:szCs w:val="22"/>
        </w:rPr>
        <w:t xml:space="preserve"> (fluorouracil 0.5% cream)</w:t>
      </w:r>
      <w:r w:rsidRPr="002A0A48">
        <w:rPr>
          <w:rFonts w:ascii="Arial" w:hAnsi="Arial" w:cs="Arial"/>
          <w:sz w:val="22"/>
          <w:szCs w:val="21"/>
          <w:vertAlign w:val="superscript"/>
        </w:rPr>
        <w:t xml:space="preserve"> BP</w:t>
      </w:r>
      <w:r w:rsidRPr="002A0A48">
        <w:rPr>
          <w:rFonts w:ascii="Arial" w:hAnsi="Arial" w:cs="Arial"/>
        </w:rPr>
        <w:t xml:space="preserve"> </w:t>
      </w:r>
      <w:r w:rsidRPr="002A0A48">
        <w:rPr>
          <w:rFonts w:ascii="Arial" w:hAnsi="Arial" w:cs="Arial"/>
          <w:sz w:val="22"/>
          <w:szCs w:val="22"/>
        </w:rPr>
        <w:t xml:space="preserve">– </w:t>
      </w:r>
      <w:r w:rsidRPr="002A0A48">
        <w:rPr>
          <w:rFonts w:ascii="Arial" w:hAnsi="Arial" w:cs="Arial"/>
          <w:b/>
          <w:bCs/>
          <w:sz w:val="22"/>
          <w:szCs w:val="22"/>
        </w:rPr>
        <w:t>PA</w:t>
      </w:r>
    </w:p>
    <w:p w14:paraId="3340F0F1" w14:textId="77777777" w:rsidR="004F49E0" w:rsidRPr="002A0A48" w:rsidRDefault="004F49E0" w:rsidP="004F49E0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A0A48">
        <w:rPr>
          <w:rFonts w:ascii="Arial" w:hAnsi="Arial" w:cs="Arial"/>
          <w:sz w:val="22"/>
          <w:szCs w:val="22"/>
        </w:rPr>
        <w:t>Diastat</w:t>
      </w:r>
      <w:proofErr w:type="spellEnd"/>
      <w:r w:rsidRPr="002A0A48">
        <w:rPr>
          <w:rFonts w:ascii="Arial" w:hAnsi="Arial" w:cs="Arial"/>
          <w:sz w:val="22"/>
          <w:szCs w:val="22"/>
        </w:rPr>
        <w:t xml:space="preserve"> (diazepam rectal gel) </w:t>
      </w:r>
      <w:r w:rsidRPr="002A0A48">
        <w:rPr>
          <w:rFonts w:ascii="Arial" w:hAnsi="Arial" w:cs="Arial"/>
          <w:sz w:val="22"/>
          <w:szCs w:val="22"/>
          <w:vertAlign w:val="superscript"/>
        </w:rPr>
        <w:t>BP</w:t>
      </w:r>
      <w:r w:rsidRPr="002A0A48">
        <w:rPr>
          <w:rFonts w:ascii="Arial" w:hAnsi="Arial" w:cs="Arial"/>
          <w:sz w:val="22"/>
          <w:szCs w:val="22"/>
        </w:rPr>
        <w:t xml:space="preserve"> – </w:t>
      </w:r>
      <w:r w:rsidRPr="002A0A48">
        <w:rPr>
          <w:rFonts w:ascii="Arial" w:hAnsi="Arial" w:cs="Arial"/>
          <w:b/>
          <w:bCs/>
          <w:sz w:val="22"/>
          <w:szCs w:val="22"/>
        </w:rPr>
        <w:t>PA &gt; 5 kits (10 syringes)/month</w:t>
      </w:r>
    </w:p>
    <w:p w14:paraId="5D68199A" w14:textId="77777777" w:rsidR="004F49E0" w:rsidRPr="002A0A48" w:rsidRDefault="004F49E0" w:rsidP="004F49E0">
      <w:pPr>
        <w:pStyle w:val="ListParagraph"/>
        <w:numPr>
          <w:ilvl w:val="0"/>
          <w:numId w:val="6"/>
        </w:numPr>
        <w:spacing w:line="259" w:lineRule="auto"/>
        <w:ind w:left="720"/>
        <w:contextualSpacing/>
        <w:rPr>
          <w:rFonts w:ascii="Arial" w:hAnsi="Arial" w:cs="Arial"/>
          <w:color w:val="000000"/>
        </w:rPr>
      </w:pPr>
      <w:proofErr w:type="spellStart"/>
      <w:r w:rsidRPr="002A0A48">
        <w:rPr>
          <w:rFonts w:ascii="Arial" w:hAnsi="Arial" w:cs="Arial"/>
          <w:color w:val="000000"/>
        </w:rPr>
        <w:t>Firvanq</w:t>
      </w:r>
      <w:proofErr w:type="spellEnd"/>
      <w:r w:rsidRPr="002A0A48">
        <w:rPr>
          <w:rFonts w:ascii="Arial" w:hAnsi="Arial" w:cs="Arial"/>
          <w:color w:val="000000"/>
        </w:rPr>
        <w:t xml:space="preserve"> (vancomycin oral solution) </w:t>
      </w:r>
      <w:r w:rsidRPr="002A0A48">
        <w:rPr>
          <w:rFonts w:ascii="Arial" w:hAnsi="Arial" w:cs="Arial"/>
          <w:color w:val="000000"/>
          <w:vertAlign w:val="superscript"/>
        </w:rPr>
        <w:t>BP</w:t>
      </w:r>
    </w:p>
    <w:p w14:paraId="7DAB10CB" w14:textId="77777777" w:rsidR="004F49E0" w:rsidRPr="005B36A6" w:rsidRDefault="004F49E0" w:rsidP="004F49E0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2A0A48">
        <w:rPr>
          <w:rFonts w:ascii="Arial" w:hAnsi="Arial" w:cs="Arial"/>
          <w:sz w:val="22"/>
          <w:szCs w:val="22"/>
        </w:rPr>
        <w:t>Timoptic</w:t>
      </w:r>
      <w:proofErr w:type="spellEnd"/>
      <w:r w:rsidRPr="002A0A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0A48">
        <w:rPr>
          <w:rFonts w:ascii="Arial" w:hAnsi="Arial" w:cs="Arial"/>
          <w:sz w:val="22"/>
          <w:szCs w:val="22"/>
        </w:rPr>
        <w:t>Ocudose</w:t>
      </w:r>
      <w:proofErr w:type="spellEnd"/>
      <w:r w:rsidRPr="002A0A4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A0A48">
        <w:rPr>
          <w:rFonts w:ascii="Arial" w:hAnsi="Arial" w:cs="Arial"/>
          <w:sz w:val="22"/>
          <w:szCs w:val="22"/>
        </w:rPr>
        <w:t>timolol</w:t>
      </w:r>
      <w:proofErr w:type="spellEnd"/>
      <w:r w:rsidRPr="002A0A48">
        <w:rPr>
          <w:rFonts w:ascii="Arial" w:hAnsi="Arial" w:cs="Arial"/>
          <w:sz w:val="22"/>
          <w:szCs w:val="22"/>
        </w:rPr>
        <w:t xml:space="preserve"> ophthalmic unit dose solution)</w:t>
      </w:r>
      <w:r w:rsidRPr="002A0A48">
        <w:rPr>
          <w:rFonts w:ascii="Arial" w:hAnsi="Arial" w:cs="Arial"/>
          <w:sz w:val="22"/>
          <w:szCs w:val="21"/>
          <w:vertAlign w:val="superscript"/>
        </w:rPr>
        <w:t xml:space="preserve"> BP</w:t>
      </w:r>
      <w:r w:rsidRPr="002A0A48">
        <w:rPr>
          <w:rFonts w:ascii="Arial" w:hAnsi="Arial" w:cs="Arial"/>
          <w:sz w:val="22"/>
          <w:szCs w:val="22"/>
        </w:rPr>
        <w:t xml:space="preserve"> – </w:t>
      </w:r>
      <w:r w:rsidRPr="002A0A48">
        <w:rPr>
          <w:rFonts w:ascii="Arial" w:hAnsi="Arial" w:cs="Arial"/>
          <w:b/>
          <w:bCs/>
          <w:sz w:val="22"/>
          <w:szCs w:val="22"/>
        </w:rPr>
        <w:t>PA</w:t>
      </w:r>
    </w:p>
    <w:p w14:paraId="26B03282" w14:textId="77777777" w:rsidR="005B36A6" w:rsidRPr="003C116C" w:rsidRDefault="005B36A6" w:rsidP="004F49E0">
      <w:pPr>
        <w:pStyle w:val="ListParagraph"/>
        <w:numPr>
          <w:ilvl w:val="0"/>
          <w:numId w:val="30"/>
        </w:numPr>
        <w:spacing w:before="120"/>
        <w:ind w:left="360"/>
        <w:rPr>
          <w:rFonts w:ascii="Arial" w:hAnsi="Arial" w:cs="Arial"/>
          <w:color w:val="000000"/>
          <w:sz w:val="22"/>
          <w:szCs w:val="22"/>
        </w:rPr>
      </w:pPr>
      <w:r w:rsidRPr="003C116C">
        <w:rPr>
          <w:rFonts w:ascii="Arial" w:hAnsi="Arial" w:cs="Arial"/>
          <w:color w:val="000000"/>
          <w:sz w:val="22"/>
          <w:szCs w:val="22"/>
        </w:rPr>
        <w:t xml:space="preserve">Effective May 10, 2021, the following agents will be removed from the MassHealth Brand Name Preferred Over Generic Drug List. </w:t>
      </w:r>
    </w:p>
    <w:p w14:paraId="508E7B52" w14:textId="77777777" w:rsidR="005B36A6" w:rsidRPr="00747531" w:rsidRDefault="005B36A6" w:rsidP="005B36A6">
      <w:pPr>
        <w:pStyle w:val="Default"/>
        <w:numPr>
          <w:ilvl w:val="0"/>
          <w:numId w:val="1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D514B0">
        <w:rPr>
          <w:rFonts w:ascii="Arial" w:hAnsi="Arial" w:cs="Arial"/>
          <w:sz w:val="22"/>
          <w:szCs w:val="22"/>
        </w:rPr>
        <w:t>Emend (</w:t>
      </w:r>
      <w:proofErr w:type="spellStart"/>
      <w:r w:rsidRPr="00D514B0">
        <w:rPr>
          <w:rFonts w:ascii="Arial" w:hAnsi="Arial" w:cs="Arial"/>
          <w:sz w:val="22"/>
          <w:szCs w:val="22"/>
        </w:rPr>
        <w:t>fosaprepitant</w:t>
      </w:r>
      <w:proofErr w:type="spellEnd"/>
      <w:r w:rsidRPr="00D514B0">
        <w:rPr>
          <w:rFonts w:ascii="Arial" w:hAnsi="Arial" w:cs="Arial"/>
          <w:sz w:val="22"/>
          <w:szCs w:val="22"/>
        </w:rPr>
        <w:t xml:space="preserve"> injection) – </w:t>
      </w:r>
      <w:r w:rsidRPr="00D514B0">
        <w:rPr>
          <w:rFonts w:ascii="Arial" w:hAnsi="Arial" w:cs="Arial"/>
          <w:b/>
          <w:sz w:val="22"/>
          <w:szCs w:val="22"/>
        </w:rPr>
        <w:t>PA &gt; 2 vials/28 days</w:t>
      </w:r>
    </w:p>
    <w:p w14:paraId="051DC751" w14:textId="77777777" w:rsidR="005B36A6" w:rsidRPr="00682E80" w:rsidRDefault="005B36A6" w:rsidP="005B36A6">
      <w:pPr>
        <w:pStyle w:val="Default"/>
        <w:numPr>
          <w:ilvl w:val="0"/>
          <w:numId w:val="1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8E7D80">
        <w:rPr>
          <w:rFonts w:ascii="Arial" w:hAnsi="Arial" w:cs="Arial"/>
          <w:sz w:val="22"/>
          <w:szCs w:val="22"/>
        </w:rPr>
        <w:t>Kuvan</w:t>
      </w:r>
      <w:proofErr w:type="spellEnd"/>
      <w:r w:rsidRPr="008E7D8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E7D80">
        <w:rPr>
          <w:rFonts w:ascii="Arial" w:hAnsi="Arial" w:cs="Arial"/>
          <w:sz w:val="22"/>
          <w:szCs w:val="22"/>
        </w:rPr>
        <w:t>sapropterin</w:t>
      </w:r>
      <w:proofErr w:type="spellEnd"/>
      <w:r w:rsidRPr="008E7D8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8F3B5C">
        <w:rPr>
          <w:rFonts w:ascii="Arial" w:hAnsi="Arial" w:cs="Arial"/>
          <w:sz w:val="22"/>
          <w:szCs w:val="22"/>
        </w:rPr>
        <w:t xml:space="preserve">– </w:t>
      </w:r>
      <w:r w:rsidRPr="008F3B5C">
        <w:rPr>
          <w:rFonts w:ascii="Arial" w:hAnsi="Arial" w:cs="Arial"/>
          <w:b/>
          <w:sz w:val="22"/>
          <w:szCs w:val="22"/>
        </w:rPr>
        <w:t>PA</w:t>
      </w:r>
    </w:p>
    <w:p w14:paraId="62742FB0" w14:textId="77777777" w:rsidR="005B36A6" w:rsidRDefault="005B36A6" w:rsidP="005B36A6">
      <w:pPr>
        <w:pStyle w:val="Default"/>
        <w:numPr>
          <w:ilvl w:val="0"/>
          <w:numId w:val="1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8E7D80">
        <w:rPr>
          <w:rFonts w:ascii="Arial" w:hAnsi="Arial" w:cs="Arial"/>
          <w:sz w:val="22"/>
          <w:szCs w:val="22"/>
        </w:rPr>
        <w:t>Revatio</w:t>
      </w:r>
      <w:proofErr w:type="spellEnd"/>
      <w:r w:rsidRPr="008E7D80">
        <w:rPr>
          <w:rFonts w:ascii="Arial" w:hAnsi="Arial" w:cs="Arial"/>
          <w:sz w:val="22"/>
          <w:szCs w:val="22"/>
        </w:rPr>
        <w:t xml:space="preserve"> (sildenafil oral suspension)</w:t>
      </w:r>
      <w:r>
        <w:rPr>
          <w:rFonts w:ascii="Arial" w:hAnsi="Arial" w:cs="Arial"/>
          <w:sz w:val="22"/>
          <w:szCs w:val="22"/>
        </w:rPr>
        <w:t xml:space="preserve"> </w:t>
      </w:r>
      <w:r w:rsidRPr="008F3B5C">
        <w:rPr>
          <w:rFonts w:ascii="Arial" w:hAnsi="Arial" w:cs="Arial"/>
          <w:sz w:val="22"/>
          <w:szCs w:val="22"/>
        </w:rPr>
        <w:t xml:space="preserve">– </w:t>
      </w:r>
      <w:r w:rsidRPr="008F3B5C">
        <w:rPr>
          <w:rFonts w:ascii="Arial" w:hAnsi="Arial" w:cs="Arial"/>
          <w:b/>
          <w:sz w:val="22"/>
          <w:szCs w:val="22"/>
        </w:rPr>
        <w:t>PA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5654CC" w14:textId="77777777" w:rsidR="005B36A6" w:rsidRDefault="005B36A6" w:rsidP="005B36A6">
      <w:pPr>
        <w:pStyle w:val="Default"/>
        <w:numPr>
          <w:ilvl w:val="0"/>
          <w:numId w:val="1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747531">
        <w:rPr>
          <w:rFonts w:ascii="Arial" w:hAnsi="Arial" w:cs="Arial"/>
          <w:sz w:val="22"/>
          <w:szCs w:val="22"/>
        </w:rPr>
        <w:t>Sensipar</w:t>
      </w:r>
      <w:proofErr w:type="spellEnd"/>
      <w:r w:rsidRPr="00747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#</w:t>
      </w:r>
      <w:r w:rsidRPr="0074753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47531">
        <w:rPr>
          <w:rFonts w:ascii="Arial" w:hAnsi="Arial" w:cs="Arial"/>
          <w:sz w:val="22"/>
          <w:szCs w:val="22"/>
        </w:rPr>
        <w:t>cinacalcet</w:t>
      </w:r>
      <w:proofErr w:type="spellEnd"/>
      <w:r w:rsidRPr="00747531">
        <w:rPr>
          <w:rFonts w:ascii="Arial" w:hAnsi="Arial" w:cs="Arial"/>
          <w:sz w:val="22"/>
          <w:szCs w:val="22"/>
        </w:rPr>
        <w:t>)</w:t>
      </w:r>
    </w:p>
    <w:p w14:paraId="70FFD220" w14:textId="77777777" w:rsidR="005B36A6" w:rsidRPr="00C25718" w:rsidRDefault="005B36A6" w:rsidP="005B36A6">
      <w:pPr>
        <w:pStyle w:val="Default"/>
        <w:numPr>
          <w:ilvl w:val="0"/>
          <w:numId w:val="1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C25718">
        <w:rPr>
          <w:rFonts w:ascii="Arial" w:hAnsi="Arial" w:cs="Arial"/>
          <w:sz w:val="22"/>
          <w:szCs w:val="22"/>
        </w:rPr>
        <w:t>Zovirax</w:t>
      </w:r>
      <w:r>
        <w:rPr>
          <w:rFonts w:ascii="Arial" w:hAnsi="Arial" w:cs="Arial"/>
          <w:sz w:val="22"/>
          <w:szCs w:val="22"/>
        </w:rPr>
        <w:t xml:space="preserve"> #</w:t>
      </w:r>
      <w:r w:rsidRPr="00C25718">
        <w:rPr>
          <w:rFonts w:ascii="Arial" w:hAnsi="Arial" w:cs="Arial"/>
          <w:sz w:val="22"/>
          <w:szCs w:val="22"/>
        </w:rPr>
        <w:t xml:space="preserve"> (acyclovir ointment)</w:t>
      </w:r>
    </w:p>
    <w:p w14:paraId="212D026C" w14:textId="77777777" w:rsidR="005B36A6" w:rsidRDefault="005B36A6" w:rsidP="005B36A6">
      <w:pPr>
        <w:rPr>
          <w:sz w:val="21"/>
          <w:szCs w:val="21"/>
        </w:rPr>
      </w:pPr>
    </w:p>
    <w:p w14:paraId="56C2B92F" w14:textId="77777777" w:rsidR="0086142C" w:rsidRPr="003C78FE" w:rsidRDefault="0086142C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074712A6" w14:textId="77777777" w:rsidR="00EF7C8A" w:rsidRDefault="00EF7C8A" w:rsidP="00B645C9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14:paraId="4CA32439" w14:textId="77777777" w:rsidR="005B36A6" w:rsidRPr="005B36A6" w:rsidRDefault="005B36A6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sz w:val="18"/>
          <w:szCs w:val="18"/>
        </w:rPr>
      </w:pPr>
    </w:p>
    <w:p w14:paraId="29B18835" w14:textId="77777777" w:rsidR="00E50862" w:rsidRDefault="00E50862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proofErr w:type="gramStart"/>
      <w:r w:rsidRPr="00B645C9">
        <w:rPr>
          <w:rFonts w:ascii="Arial" w:hAnsi="Arial"/>
          <w:b/>
          <w:bCs/>
          <w:sz w:val="18"/>
          <w:szCs w:val="18"/>
        </w:rPr>
        <w:t>PA</w:t>
      </w:r>
      <w:r w:rsidR="009F0526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Prior</w:t>
      </w:r>
      <w:proofErr w:type="gramEnd"/>
      <w:r>
        <w:rPr>
          <w:rFonts w:ascii="Arial" w:hAnsi="Arial"/>
          <w:bCs/>
          <w:sz w:val="18"/>
          <w:szCs w:val="18"/>
        </w:rPr>
        <w:t xml:space="preserve"> authorization is required. The prescriber must obtain prior authorization for the drug in order for the pharmacy to receive payment. Note: PA applies to both the brand-name and the FDA “A”-rated generic equivalent of listed product.</w:t>
      </w:r>
    </w:p>
    <w:p w14:paraId="1AC32981" w14:textId="77777777" w:rsidR="003240F1" w:rsidRPr="004F49E0" w:rsidRDefault="003240F1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2"/>
          <w:szCs w:val="18"/>
        </w:rPr>
      </w:pPr>
    </w:p>
    <w:p w14:paraId="4C1C01F2" w14:textId="77777777" w:rsidR="009D6D73" w:rsidRPr="009D6D73" w:rsidRDefault="009D6D73" w:rsidP="009D6D73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Cs/>
          <w:sz w:val="22"/>
          <w:szCs w:val="22"/>
        </w:rPr>
        <w:t xml:space="preserve">#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bookmarkStart w:id="1" w:name="Prior_Authorization"/>
      <w:r w:rsidRPr="009D6D73">
        <w:rPr>
          <w:rFonts w:ascii="Arial" w:hAnsi="Arial"/>
          <w:bCs/>
          <w:sz w:val="18"/>
          <w:szCs w:val="18"/>
        </w:rPr>
        <w:t>Prior authorization</w:t>
      </w:r>
      <w:bookmarkEnd w:id="1"/>
      <w:r w:rsidRPr="009D6D73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14:paraId="698370B6" w14:textId="77777777" w:rsidR="009D6D73" w:rsidRPr="004F49E0" w:rsidRDefault="009D6D73" w:rsidP="00E50862">
      <w:pPr>
        <w:shd w:val="clear" w:color="auto" w:fill="FFFFFF"/>
        <w:tabs>
          <w:tab w:val="left" w:pos="360"/>
        </w:tabs>
        <w:ind w:left="540" w:hanging="630"/>
        <w:rPr>
          <w:rFonts w:ascii="Arial" w:hAnsi="Arial"/>
          <w:bCs/>
          <w:sz w:val="16"/>
          <w:szCs w:val="22"/>
        </w:rPr>
      </w:pPr>
    </w:p>
    <w:p w14:paraId="7287E11D" w14:textId="77777777" w:rsidR="00D66801" w:rsidRPr="004F49E0" w:rsidRDefault="00E50862" w:rsidP="004F49E0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  <w:sectPr w:rsidR="00D66801" w:rsidRPr="004F49E0" w:rsidSect="00137D3D">
          <w:headerReference w:type="default" r:id="rId16"/>
          <w:footerReference w:type="default" r:id="rId17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  <w:r w:rsidRPr="005B15B3">
        <w:rPr>
          <w:rFonts w:ascii="Arial" w:hAnsi="Arial"/>
          <w:b/>
          <w:sz w:val="22"/>
          <w:szCs w:val="22"/>
          <w:vertAlign w:val="superscript"/>
        </w:rPr>
        <w:t>BP</w:t>
      </w:r>
      <w:r w:rsidR="004D79B2" w:rsidRPr="005B15B3">
        <w:rPr>
          <w:rFonts w:ascii="Arial" w:hAnsi="Arial"/>
          <w:b/>
          <w:sz w:val="22"/>
          <w:szCs w:val="22"/>
          <w:vertAlign w:val="superscript"/>
        </w:rPr>
        <w:t xml:space="preserve"> </w:t>
      </w:r>
      <w:r w:rsidR="004D79B2">
        <w:rPr>
          <w:rFonts w:ascii="Arial" w:hAnsi="Arial"/>
          <w:b/>
          <w:sz w:val="18"/>
          <w:szCs w:val="18"/>
          <w:vertAlign w:val="superscript"/>
        </w:rPr>
        <w:t xml:space="preserve">  </w:t>
      </w:r>
      <w:r w:rsidR="004D79B2">
        <w:rPr>
          <w:rFonts w:ascii="Arial" w:hAnsi="Arial"/>
          <w:bCs/>
          <w:sz w:val="18"/>
          <w:szCs w:val="18"/>
        </w:rPr>
        <w:t xml:space="preserve">  </w:t>
      </w:r>
      <w:r w:rsidR="009F0526">
        <w:rPr>
          <w:rFonts w:ascii="Arial" w:hAnsi="Arial"/>
          <w:bCs/>
          <w:sz w:val="18"/>
          <w:szCs w:val="18"/>
        </w:rPr>
        <w:tab/>
      </w:r>
      <w:r>
        <w:rPr>
          <w:rFonts w:ascii="Arial" w:hAnsi="Arial"/>
          <w:bCs/>
          <w:sz w:val="18"/>
          <w:szCs w:val="18"/>
        </w:rPr>
        <w:t>Brand preferred over generic equivalents.</w:t>
      </w:r>
      <w:r w:rsidR="005B15B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In general, MassHealth requires a trial of the preferred drug or clinical rationale for prescribing the nonp</w:t>
      </w:r>
      <w:r w:rsidR="004F49E0">
        <w:rPr>
          <w:rFonts w:ascii="Arial" w:hAnsi="Arial"/>
          <w:bCs/>
          <w:sz w:val="18"/>
          <w:szCs w:val="18"/>
        </w:rPr>
        <w:t>referred drug generic equivalent</w:t>
      </w:r>
    </w:p>
    <w:p w14:paraId="61D3FE0F" w14:textId="77777777" w:rsidR="005B36A6" w:rsidRPr="001721D8" w:rsidRDefault="005B36A6" w:rsidP="004F49E0">
      <w:pPr>
        <w:tabs>
          <w:tab w:val="left" w:pos="1606"/>
        </w:tabs>
      </w:pPr>
    </w:p>
    <w:sectPr w:rsidR="005B36A6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49292" w14:textId="77777777" w:rsidR="00EB286F" w:rsidRDefault="00EB286F" w:rsidP="00492602">
      <w:r>
        <w:separator/>
      </w:r>
    </w:p>
  </w:endnote>
  <w:endnote w:type="continuationSeparator" w:id="0">
    <w:p w14:paraId="5717125C" w14:textId="77777777" w:rsidR="00EB286F" w:rsidRDefault="00EB286F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19CC4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12B42" w14:textId="77777777" w:rsidR="00637A67" w:rsidRDefault="00637A67">
    <w:pPr>
      <w:pStyle w:val="Footer"/>
    </w:pPr>
    <w:r>
      <w:t>[Type text]</w:t>
    </w:r>
  </w:p>
  <w:p w14:paraId="2CA53BB3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9533B" w14:textId="77777777" w:rsidR="00487862" w:rsidRDefault="00487862" w:rsidP="00487862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="00385E65">
      <w:rPr>
        <w:rFonts w:ascii="Arial" w:hAnsi="Arial" w:cs="Arial"/>
        <w:iCs/>
        <w:sz w:val="18"/>
        <w:szCs w:val="18"/>
      </w:rPr>
      <w:t xml:space="preserve"> to</w:t>
    </w:r>
    <w:r w:rsidRPr="002D3600">
      <w:rPr>
        <w:rFonts w:ascii="Arial" w:hAnsi="Arial" w:cs="Arial"/>
        <w:iCs/>
        <w:sz w:val="18"/>
        <w:szCs w:val="18"/>
      </w:rPr>
      <w:t xml:space="preserve"> </w:t>
    </w:r>
  </w:p>
  <w:p w14:paraId="491AD9D9" w14:textId="77777777" w:rsidR="00637A67" w:rsidRPr="00E24139" w:rsidRDefault="00EB286F" w:rsidP="00487862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="00487862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F32D4" w14:textId="77777777" w:rsidR="00EB286F" w:rsidRDefault="00EB286F" w:rsidP="00492602">
      <w:r>
        <w:separator/>
      </w:r>
    </w:p>
  </w:footnote>
  <w:footnote w:type="continuationSeparator" w:id="0">
    <w:p w14:paraId="3C6DEAE6" w14:textId="77777777" w:rsidR="00EB286F" w:rsidRDefault="00EB286F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76A52" w14:textId="77777777" w:rsidR="00492602" w:rsidRDefault="00492602" w:rsidP="00492602">
    <w:pPr>
      <w:pStyle w:val="Header"/>
    </w:pPr>
  </w:p>
  <w:p w14:paraId="40E6BEA8" w14:textId="77777777"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CE64C" w14:textId="77777777" w:rsidR="00492602" w:rsidRPr="00867D5C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auto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867D5C">
      <w:rPr>
        <w:color w:val="auto"/>
        <w:sz w:val="18"/>
        <w:szCs w:val="18"/>
      </w:rPr>
      <w:t>163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18416E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467D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1F210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9A49D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D08B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D7458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D6C4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EE91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7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083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640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A37641"/>
    <w:multiLevelType w:val="hybridMultilevel"/>
    <w:tmpl w:val="C0563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2770E0"/>
    <w:multiLevelType w:val="hybridMultilevel"/>
    <w:tmpl w:val="8746E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BDF7073"/>
    <w:multiLevelType w:val="hybridMultilevel"/>
    <w:tmpl w:val="8FE262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B72BA"/>
    <w:multiLevelType w:val="hybridMultilevel"/>
    <w:tmpl w:val="2D547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88255C"/>
    <w:multiLevelType w:val="hybridMultilevel"/>
    <w:tmpl w:val="812048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E57B97"/>
    <w:multiLevelType w:val="hybridMultilevel"/>
    <w:tmpl w:val="8FE262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32"/>
  </w:num>
  <w:num w:numId="4">
    <w:abstractNumId w:val="20"/>
  </w:num>
  <w:num w:numId="5">
    <w:abstractNumId w:val="22"/>
  </w:num>
  <w:num w:numId="6">
    <w:abstractNumId w:val="27"/>
  </w:num>
  <w:num w:numId="7">
    <w:abstractNumId w:val="33"/>
  </w:num>
  <w:num w:numId="8">
    <w:abstractNumId w:val="14"/>
  </w:num>
  <w:num w:numId="9">
    <w:abstractNumId w:val="10"/>
  </w:num>
  <w:num w:numId="10">
    <w:abstractNumId w:val="30"/>
  </w:num>
  <w:num w:numId="1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2"/>
  </w:num>
  <w:num w:numId="1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9"/>
  </w:num>
  <w:num w:numId="17">
    <w:abstractNumId w:val="1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5"/>
  </w:num>
  <w:num w:numId="21">
    <w:abstractNumId w:val="21"/>
  </w:num>
  <w:num w:numId="22">
    <w:abstractNumId w:val="34"/>
  </w:num>
  <w:num w:numId="23">
    <w:abstractNumId w:val="35"/>
  </w:num>
  <w:num w:numId="24">
    <w:abstractNumId w:val="26"/>
  </w:num>
  <w:num w:numId="25">
    <w:abstractNumId w:val="31"/>
  </w:num>
  <w:num w:numId="26">
    <w:abstractNumId w:val="16"/>
  </w:num>
  <w:num w:numId="27">
    <w:abstractNumId w:val="19"/>
  </w:num>
  <w:num w:numId="28">
    <w:abstractNumId w:val="12"/>
  </w:num>
  <w:num w:numId="29">
    <w:abstractNumId w:val="11"/>
  </w:num>
  <w:num w:numId="30">
    <w:abstractNumId w:val="36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2450C"/>
    <w:rsid w:val="00054839"/>
    <w:rsid w:val="00061F50"/>
    <w:rsid w:val="000713D3"/>
    <w:rsid w:val="00074014"/>
    <w:rsid w:val="00081E8E"/>
    <w:rsid w:val="000A6318"/>
    <w:rsid w:val="000D1502"/>
    <w:rsid w:val="000F6BFD"/>
    <w:rsid w:val="00123D58"/>
    <w:rsid w:val="0012682D"/>
    <w:rsid w:val="001378CB"/>
    <w:rsid w:val="00137D3D"/>
    <w:rsid w:val="00140D08"/>
    <w:rsid w:val="00147437"/>
    <w:rsid w:val="001545D5"/>
    <w:rsid w:val="00157A49"/>
    <w:rsid w:val="00171445"/>
    <w:rsid w:val="001721D8"/>
    <w:rsid w:val="0018357E"/>
    <w:rsid w:val="0018416E"/>
    <w:rsid w:val="001864A9"/>
    <w:rsid w:val="001A125B"/>
    <w:rsid w:val="001C1481"/>
    <w:rsid w:val="001E779F"/>
    <w:rsid w:val="00207DE3"/>
    <w:rsid w:val="0021214A"/>
    <w:rsid w:val="00212622"/>
    <w:rsid w:val="002275AE"/>
    <w:rsid w:val="002509E9"/>
    <w:rsid w:val="00274F3E"/>
    <w:rsid w:val="00276F3A"/>
    <w:rsid w:val="00286CBE"/>
    <w:rsid w:val="00291397"/>
    <w:rsid w:val="002A0A48"/>
    <w:rsid w:val="002A1F96"/>
    <w:rsid w:val="002C7C67"/>
    <w:rsid w:val="002D390F"/>
    <w:rsid w:val="002D738C"/>
    <w:rsid w:val="002E08D7"/>
    <w:rsid w:val="002E2F9E"/>
    <w:rsid w:val="003152DA"/>
    <w:rsid w:val="003240F1"/>
    <w:rsid w:val="0033053B"/>
    <w:rsid w:val="00336F8F"/>
    <w:rsid w:val="00341F06"/>
    <w:rsid w:val="00360067"/>
    <w:rsid w:val="00361733"/>
    <w:rsid w:val="0036343A"/>
    <w:rsid w:val="00372195"/>
    <w:rsid w:val="0037373E"/>
    <w:rsid w:val="00375713"/>
    <w:rsid w:val="00382054"/>
    <w:rsid w:val="00385E65"/>
    <w:rsid w:val="003911FC"/>
    <w:rsid w:val="003B6839"/>
    <w:rsid w:val="003C116C"/>
    <w:rsid w:val="003C45A1"/>
    <w:rsid w:val="003D3B27"/>
    <w:rsid w:val="003F533B"/>
    <w:rsid w:val="004221B7"/>
    <w:rsid w:val="004269CA"/>
    <w:rsid w:val="00427BDE"/>
    <w:rsid w:val="00447A5F"/>
    <w:rsid w:val="00456B5A"/>
    <w:rsid w:val="004664D3"/>
    <w:rsid w:val="004725A6"/>
    <w:rsid w:val="00487862"/>
    <w:rsid w:val="00492602"/>
    <w:rsid w:val="0049423D"/>
    <w:rsid w:val="004A3BAA"/>
    <w:rsid w:val="004A7395"/>
    <w:rsid w:val="004C1DAD"/>
    <w:rsid w:val="004D1BC7"/>
    <w:rsid w:val="004D79B2"/>
    <w:rsid w:val="004E75BB"/>
    <w:rsid w:val="004F49E0"/>
    <w:rsid w:val="004F5612"/>
    <w:rsid w:val="005052D9"/>
    <w:rsid w:val="00516394"/>
    <w:rsid w:val="0052118E"/>
    <w:rsid w:val="00527F95"/>
    <w:rsid w:val="005314A6"/>
    <w:rsid w:val="005502E1"/>
    <w:rsid w:val="0055210F"/>
    <w:rsid w:val="0056481B"/>
    <w:rsid w:val="0057156C"/>
    <w:rsid w:val="00571898"/>
    <w:rsid w:val="00574ECE"/>
    <w:rsid w:val="00574F07"/>
    <w:rsid w:val="0057528C"/>
    <w:rsid w:val="00581E50"/>
    <w:rsid w:val="00582174"/>
    <w:rsid w:val="00582A19"/>
    <w:rsid w:val="005835F0"/>
    <w:rsid w:val="005842A0"/>
    <w:rsid w:val="005958DD"/>
    <w:rsid w:val="005A57BA"/>
    <w:rsid w:val="005B15B3"/>
    <w:rsid w:val="005B36A6"/>
    <w:rsid w:val="005D1AED"/>
    <w:rsid w:val="005D723D"/>
    <w:rsid w:val="005F2371"/>
    <w:rsid w:val="00604BCB"/>
    <w:rsid w:val="00623469"/>
    <w:rsid w:val="00634C49"/>
    <w:rsid w:val="00637A67"/>
    <w:rsid w:val="00650095"/>
    <w:rsid w:val="00651691"/>
    <w:rsid w:val="00651CA7"/>
    <w:rsid w:val="00656A01"/>
    <w:rsid w:val="00657D21"/>
    <w:rsid w:val="006615EC"/>
    <w:rsid w:val="00673F96"/>
    <w:rsid w:val="00674418"/>
    <w:rsid w:val="00674428"/>
    <w:rsid w:val="006819C7"/>
    <w:rsid w:val="006845C9"/>
    <w:rsid w:val="00686C26"/>
    <w:rsid w:val="00690023"/>
    <w:rsid w:val="00696F48"/>
    <w:rsid w:val="0069772F"/>
    <w:rsid w:val="006A7D28"/>
    <w:rsid w:val="006D3B5F"/>
    <w:rsid w:val="006E027B"/>
    <w:rsid w:val="006E0C20"/>
    <w:rsid w:val="006E22A3"/>
    <w:rsid w:val="006F35F9"/>
    <w:rsid w:val="007319D7"/>
    <w:rsid w:val="00731FAF"/>
    <w:rsid w:val="007426BF"/>
    <w:rsid w:val="00760FDF"/>
    <w:rsid w:val="00775393"/>
    <w:rsid w:val="007757E7"/>
    <w:rsid w:val="00781D3B"/>
    <w:rsid w:val="007916AF"/>
    <w:rsid w:val="007A038A"/>
    <w:rsid w:val="007A41F5"/>
    <w:rsid w:val="007B2F2D"/>
    <w:rsid w:val="007B4429"/>
    <w:rsid w:val="007B7425"/>
    <w:rsid w:val="007C1AAF"/>
    <w:rsid w:val="007F5417"/>
    <w:rsid w:val="00804116"/>
    <w:rsid w:val="00812480"/>
    <w:rsid w:val="00816CE2"/>
    <w:rsid w:val="00821937"/>
    <w:rsid w:val="008340D0"/>
    <w:rsid w:val="008403CA"/>
    <w:rsid w:val="008474A5"/>
    <w:rsid w:val="0085395A"/>
    <w:rsid w:val="00853F8E"/>
    <w:rsid w:val="008556A0"/>
    <w:rsid w:val="0086142C"/>
    <w:rsid w:val="00867D5C"/>
    <w:rsid w:val="00870F52"/>
    <w:rsid w:val="00872E7F"/>
    <w:rsid w:val="00880FA9"/>
    <w:rsid w:val="008930F1"/>
    <w:rsid w:val="00893F45"/>
    <w:rsid w:val="008C5414"/>
    <w:rsid w:val="008D350B"/>
    <w:rsid w:val="008E3B8F"/>
    <w:rsid w:val="008E4B33"/>
    <w:rsid w:val="008F0130"/>
    <w:rsid w:val="008F2E4C"/>
    <w:rsid w:val="00905C46"/>
    <w:rsid w:val="00906EEC"/>
    <w:rsid w:val="009166DF"/>
    <w:rsid w:val="009204C7"/>
    <w:rsid w:val="00922030"/>
    <w:rsid w:val="0092253A"/>
    <w:rsid w:val="009365C7"/>
    <w:rsid w:val="00941258"/>
    <w:rsid w:val="00942245"/>
    <w:rsid w:val="00952E8D"/>
    <w:rsid w:val="00956812"/>
    <w:rsid w:val="0095770E"/>
    <w:rsid w:val="009725E5"/>
    <w:rsid w:val="00974CFD"/>
    <w:rsid w:val="00976403"/>
    <w:rsid w:val="00981567"/>
    <w:rsid w:val="009C3981"/>
    <w:rsid w:val="009D1341"/>
    <w:rsid w:val="009D6D73"/>
    <w:rsid w:val="009D79C6"/>
    <w:rsid w:val="009F0440"/>
    <w:rsid w:val="009F0526"/>
    <w:rsid w:val="009F5614"/>
    <w:rsid w:val="00A01DE3"/>
    <w:rsid w:val="00A03B65"/>
    <w:rsid w:val="00A04EF7"/>
    <w:rsid w:val="00A06542"/>
    <w:rsid w:val="00A11371"/>
    <w:rsid w:val="00A120E1"/>
    <w:rsid w:val="00A31FAA"/>
    <w:rsid w:val="00A343A9"/>
    <w:rsid w:val="00A44AC0"/>
    <w:rsid w:val="00A5239C"/>
    <w:rsid w:val="00A5576C"/>
    <w:rsid w:val="00A571F6"/>
    <w:rsid w:val="00A6114E"/>
    <w:rsid w:val="00A650DC"/>
    <w:rsid w:val="00A6764A"/>
    <w:rsid w:val="00A84255"/>
    <w:rsid w:val="00A93A24"/>
    <w:rsid w:val="00AC1AC7"/>
    <w:rsid w:val="00AC77F8"/>
    <w:rsid w:val="00AD18B8"/>
    <w:rsid w:val="00AD33D5"/>
    <w:rsid w:val="00AE21FC"/>
    <w:rsid w:val="00AF481E"/>
    <w:rsid w:val="00B01BAA"/>
    <w:rsid w:val="00B07BD7"/>
    <w:rsid w:val="00B13AA5"/>
    <w:rsid w:val="00B3099B"/>
    <w:rsid w:val="00B40A71"/>
    <w:rsid w:val="00B503C7"/>
    <w:rsid w:val="00B54AB5"/>
    <w:rsid w:val="00B645C9"/>
    <w:rsid w:val="00B86F04"/>
    <w:rsid w:val="00B92C96"/>
    <w:rsid w:val="00BA64D7"/>
    <w:rsid w:val="00BA68F0"/>
    <w:rsid w:val="00BB6292"/>
    <w:rsid w:val="00BD08CA"/>
    <w:rsid w:val="00BF0DF4"/>
    <w:rsid w:val="00C00CF2"/>
    <w:rsid w:val="00C15672"/>
    <w:rsid w:val="00C21680"/>
    <w:rsid w:val="00C31421"/>
    <w:rsid w:val="00C33753"/>
    <w:rsid w:val="00C35B94"/>
    <w:rsid w:val="00C559C9"/>
    <w:rsid w:val="00C82FA4"/>
    <w:rsid w:val="00CA0669"/>
    <w:rsid w:val="00CA1E7C"/>
    <w:rsid w:val="00CB0030"/>
    <w:rsid w:val="00CB7521"/>
    <w:rsid w:val="00CC57AC"/>
    <w:rsid w:val="00CC5FF4"/>
    <w:rsid w:val="00CC776C"/>
    <w:rsid w:val="00CD6D68"/>
    <w:rsid w:val="00CE0B81"/>
    <w:rsid w:val="00CF2057"/>
    <w:rsid w:val="00CF2414"/>
    <w:rsid w:val="00D0584B"/>
    <w:rsid w:val="00D2695E"/>
    <w:rsid w:val="00D450C8"/>
    <w:rsid w:val="00D521FA"/>
    <w:rsid w:val="00D62065"/>
    <w:rsid w:val="00D66801"/>
    <w:rsid w:val="00D72F6A"/>
    <w:rsid w:val="00D81121"/>
    <w:rsid w:val="00D939D0"/>
    <w:rsid w:val="00DA6A55"/>
    <w:rsid w:val="00DF500C"/>
    <w:rsid w:val="00E06F7D"/>
    <w:rsid w:val="00E12EAE"/>
    <w:rsid w:val="00E228F5"/>
    <w:rsid w:val="00E24139"/>
    <w:rsid w:val="00E3616D"/>
    <w:rsid w:val="00E41888"/>
    <w:rsid w:val="00E50862"/>
    <w:rsid w:val="00E60ABB"/>
    <w:rsid w:val="00E62D91"/>
    <w:rsid w:val="00E67611"/>
    <w:rsid w:val="00E67713"/>
    <w:rsid w:val="00E72DFF"/>
    <w:rsid w:val="00E92E47"/>
    <w:rsid w:val="00E9576D"/>
    <w:rsid w:val="00EB286F"/>
    <w:rsid w:val="00EB5AFE"/>
    <w:rsid w:val="00EC08AC"/>
    <w:rsid w:val="00EC1948"/>
    <w:rsid w:val="00ED4639"/>
    <w:rsid w:val="00EE4D9F"/>
    <w:rsid w:val="00EE54D2"/>
    <w:rsid w:val="00EF52C8"/>
    <w:rsid w:val="00EF7C8A"/>
    <w:rsid w:val="00F012F8"/>
    <w:rsid w:val="00F2514F"/>
    <w:rsid w:val="00F25E7F"/>
    <w:rsid w:val="00F274DE"/>
    <w:rsid w:val="00F6038A"/>
    <w:rsid w:val="00F643E6"/>
    <w:rsid w:val="00F70392"/>
    <w:rsid w:val="00F76D69"/>
    <w:rsid w:val="00F77EFC"/>
    <w:rsid w:val="00F9012C"/>
    <w:rsid w:val="00F9097E"/>
    <w:rsid w:val="00F93C6C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D0A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414"/>
    <w:rPr>
      <w:sz w:val="24"/>
      <w:szCs w:val="24"/>
    </w:rPr>
  </w:style>
  <w:style w:type="paragraph" w:styleId="Heading1">
    <w:name w:val="heading 1"/>
    <w:basedOn w:val="Noparagraphstyle"/>
    <w:next w:val="Normal"/>
    <w:link w:val="Heading1Char"/>
    <w:qFormat/>
    <w:rsid w:val="007C1AAF"/>
    <w:pPr>
      <w:outlineLvl w:val="0"/>
    </w:pPr>
    <w:rPr>
      <w:rFonts w:ascii="Arial Narrow" w:hAnsi="Arial Narrow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CF2414"/>
    <w:pPr>
      <w:spacing w:before="200"/>
      <w:outlineLvl w:val="1"/>
    </w:pPr>
    <w:rPr>
      <w:rFonts w:ascii="Arial Black" w:hAnsi="Arial Black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4878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C1AAF"/>
    <w:rPr>
      <w:rFonts w:ascii="Arial Narrow" w:hAnsi="Arial Narrow"/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CF2414"/>
    <w:rPr>
      <w:rFonts w:ascii="Arial Black" w:hAnsi="Arial Black" w:cs="Arial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414"/>
    <w:rPr>
      <w:sz w:val="24"/>
      <w:szCs w:val="24"/>
    </w:rPr>
  </w:style>
  <w:style w:type="paragraph" w:styleId="Heading1">
    <w:name w:val="heading 1"/>
    <w:basedOn w:val="Noparagraphstyle"/>
    <w:next w:val="Normal"/>
    <w:link w:val="Heading1Char"/>
    <w:qFormat/>
    <w:rsid w:val="007C1AAF"/>
    <w:pPr>
      <w:outlineLvl w:val="0"/>
    </w:pPr>
    <w:rPr>
      <w:rFonts w:ascii="Arial Narrow" w:hAnsi="Arial Narrow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CF2414"/>
    <w:pPr>
      <w:spacing w:before="200"/>
      <w:outlineLvl w:val="1"/>
    </w:pPr>
    <w:rPr>
      <w:rFonts w:ascii="Arial Black" w:hAnsi="Arial Black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4878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C1AAF"/>
    <w:rPr>
      <w:rFonts w:ascii="Arial Narrow" w:hAnsi="Arial Narrow"/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CF2414"/>
    <w:rPr>
      <w:rFonts w:ascii="Arial Black" w:hAnsi="Arial Black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doc/pharmacy-facts-143-march-25-2020-0/downloa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mass.gov/druglis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mass.gov/druglis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17FC2-33BF-49A8-B589-0282BD7B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2021-05-07T16:18:00Z</dcterms:created>
  <dcterms:modified xsi:type="dcterms:W3CDTF">2021-05-07T16:18:00Z</dcterms:modified>
</cp:coreProperties>
</file>