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585C9" w14:textId="77777777" w:rsidR="007E4380" w:rsidRDefault="007E4380" w:rsidP="007E4380">
      <w:pPr>
        <w:pStyle w:val="Noparagraphstyl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</w:t>
      </w:r>
      <w:r w:rsidRPr="00A356AC">
        <w:rPr>
          <w:rFonts w:ascii="Arial Narrow" w:hAnsi="Arial Narrow"/>
          <w:b/>
          <w:color w:val="auto"/>
          <w:sz w:val="20"/>
          <w:szCs w:val="20"/>
        </w:rPr>
        <w:t xml:space="preserve">umber </w:t>
      </w:r>
      <w:r w:rsidR="005662E2" w:rsidRPr="00A356AC">
        <w:rPr>
          <w:rFonts w:ascii="Arial Narrow" w:hAnsi="Arial Narrow"/>
          <w:b/>
          <w:color w:val="auto"/>
          <w:sz w:val="20"/>
          <w:szCs w:val="20"/>
        </w:rPr>
        <w:t>168</w:t>
      </w:r>
      <w:r w:rsidRPr="00A356AC">
        <w:rPr>
          <w:rFonts w:ascii="Arial Narrow" w:hAnsi="Arial Narrow"/>
          <w:b/>
          <w:color w:val="auto"/>
          <w:sz w:val="20"/>
          <w:szCs w:val="20"/>
        </w:rPr>
        <w:t xml:space="preserve"> </w:t>
      </w:r>
      <w:r w:rsidR="005662E2" w:rsidRPr="00A356AC">
        <w:rPr>
          <w:rFonts w:ascii="Arial Narrow" w:hAnsi="Arial Narrow"/>
          <w:b/>
          <w:color w:val="auto"/>
          <w:sz w:val="20"/>
          <w:szCs w:val="20"/>
        </w:rPr>
        <w:t>June 23, 2021</w:t>
      </w:r>
    </w:p>
    <w:p w14:paraId="40DA41B1" w14:textId="6C6F246E" w:rsidR="006F35F9" w:rsidRDefault="00E12A7D" w:rsidP="007E4380">
      <w:pPr>
        <w:tabs>
          <w:tab w:val="left" w:pos="10530"/>
        </w:tabs>
        <w:ind w:right="720"/>
        <w:rPr>
          <w:rFonts w:ascii="Arial" w:hAnsi="Arial" w:cs="Arial"/>
          <w:color w:val="000000"/>
          <w:sz w:val="21"/>
          <w:szCs w:val="21"/>
        </w:rPr>
        <w:sectPr w:rsidR="006F35F9" w:rsidSect="003C1739">
          <w:footerReference w:type="default" r:id="rId8"/>
          <w:footerReference w:type="first" r:id="rId9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34D4441" wp14:editId="05DF8E9F">
            <wp:extent cx="6620510" cy="1618615"/>
            <wp:effectExtent l="0" t="0" r="889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6FCB2" w14:textId="77777777" w:rsidR="00CD6D68" w:rsidRPr="004B1CA9" w:rsidRDefault="005662E2" w:rsidP="004B1CA9">
      <w:pPr>
        <w:rPr>
          <w:rFonts w:ascii="Arial Black" w:hAnsi="Arial Black" w:cs="Arial"/>
          <w:b/>
        </w:rPr>
      </w:pPr>
      <w:r w:rsidRPr="004B1CA9">
        <w:rPr>
          <w:rFonts w:ascii="Arial Black" w:hAnsi="Arial Black" w:cs="Arial"/>
          <w:b/>
        </w:rPr>
        <w:t>MHDL Update</w:t>
      </w:r>
    </w:p>
    <w:p w14:paraId="5CE8E086" w14:textId="77777777" w:rsidR="00CD6D68" w:rsidRPr="00C60193" w:rsidRDefault="00CD6D68" w:rsidP="00CD6D68">
      <w:pPr>
        <w:rPr>
          <w:sz w:val="22"/>
          <w:szCs w:val="22"/>
        </w:rPr>
      </w:pPr>
    </w:p>
    <w:p w14:paraId="6CFA66CB" w14:textId="77777777" w:rsidR="00C77AE9" w:rsidRDefault="005662E2" w:rsidP="00C77AE9">
      <w:pPr>
        <w:rPr>
          <w:rFonts w:ascii="Arial" w:hAnsi="Arial" w:cs="Arial"/>
          <w:sz w:val="22"/>
          <w:szCs w:val="22"/>
        </w:rPr>
      </w:pPr>
      <w:r w:rsidRPr="005A1432">
        <w:rPr>
          <w:rFonts w:ascii="Arial" w:hAnsi="Arial" w:cs="Arial"/>
          <w:sz w:val="22"/>
          <w:szCs w:val="22"/>
        </w:rPr>
        <w:t>Below are certain updates to the MassHealth Drug List (MHDL). See the MHDL for a complete listing of updates.</w:t>
      </w:r>
    </w:p>
    <w:p w14:paraId="5D466C16" w14:textId="77777777" w:rsidR="00C77AE9" w:rsidRDefault="00C77AE9" w:rsidP="00C77AE9">
      <w:pPr>
        <w:rPr>
          <w:rFonts w:ascii="Arial" w:hAnsi="Arial" w:cs="Arial"/>
          <w:sz w:val="22"/>
          <w:szCs w:val="22"/>
        </w:rPr>
      </w:pPr>
    </w:p>
    <w:p w14:paraId="71AD6906" w14:textId="77777777" w:rsidR="005662E2" w:rsidRPr="00C77AE9" w:rsidRDefault="005662E2" w:rsidP="00C77AE9">
      <w:pPr>
        <w:rPr>
          <w:rFonts w:ascii="Arial" w:hAnsi="Arial" w:cs="Arial"/>
          <w:sz w:val="22"/>
          <w:szCs w:val="22"/>
        </w:rPr>
      </w:pPr>
      <w:r w:rsidRPr="004B1CA9">
        <w:rPr>
          <w:rFonts w:ascii="Arial Black" w:hAnsi="Arial Black"/>
          <w:sz w:val="22"/>
          <w:szCs w:val="22"/>
        </w:rPr>
        <w:t>Additions</w:t>
      </w:r>
    </w:p>
    <w:p w14:paraId="24A2EDA3" w14:textId="77777777" w:rsidR="005662E2" w:rsidRPr="009315FB" w:rsidRDefault="005662E2" w:rsidP="00C77AE9">
      <w:pPr>
        <w:pStyle w:val="Default"/>
        <w:numPr>
          <w:ilvl w:val="0"/>
          <w:numId w:val="26"/>
        </w:numPr>
        <w:ind w:left="360"/>
        <w:rPr>
          <w:rFonts w:ascii="Arial" w:hAnsi="Arial" w:cs="Arial"/>
          <w:sz w:val="22"/>
          <w:szCs w:val="21"/>
        </w:rPr>
      </w:pPr>
      <w:r w:rsidRPr="009315FB">
        <w:rPr>
          <w:rFonts w:ascii="Arial" w:hAnsi="Arial" w:cs="Arial"/>
          <w:sz w:val="22"/>
          <w:szCs w:val="21"/>
        </w:rPr>
        <w:t xml:space="preserve">Effective June 28, 2021, the following newly marketed drugs have been added to the MassHealth Drug List. </w:t>
      </w:r>
    </w:p>
    <w:p w14:paraId="198353C5" w14:textId="77777777" w:rsidR="005662E2" w:rsidRPr="009315FB" w:rsidRDefault="005662E2" w:rsidP="009315FB">
      <w:pPr>
        <w:pStyle w:val="Default"/>
        <w:numPr>
          <w:ilvl w:val="0"/>
          <w:numId w:val="2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Breyanzi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315FB">
        <w:rPr>
          <w:rFonts w:ascii="Arial" w:hAnsi="Arial" w:cs="Arial"/>
          <w:sz w:val="22"/>
          <w:szCs w:val="22"/>
        </w:rPr>
        <w:t>lisocabtagene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5FB">
        <w:rPr>
          <w:rFonts w:ascii="Arial" w:hAnsi="Arial" w:cs="Arial"/>
          <w:sz w:val="22"/>
          <w:szCs w:val="22"/>
        </w:rPr>
        <w:t>maraleucel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</w:t>
      </w:r>
      <w:r w:rsidRPr="009315FB">
        <w:rPr>
          <w:rFonts w:ascii="Arial" w:hAnsi="Arial" w:cs="Arial"/>
          <w:sz w:val="22"/>
          <w:szCs w:val="22"/>
          <w:vertAlign w:val="superscript"/>
        </w:rPr>
        <w:t xml:space="preserve">CO </w:t>
      </w:r>
      <w:r w:rsidRPr="009315FB">
        <w:rPr>
          <w:rFonts w:ascii="Arial" w:hAnsi="Arial" w:cs="Arial"/>
          <w:sz w:val="22"/>
          <w:szCs w:val="22"/>
        </w:rPr>
        <w:t xml:space="preserve">^ </w:t>
      </w:r>
      <w:r w:rsidR="009C2DEA">
        <w:rPr>
          <w:rFonts w:ascii="Arial" w:hAnsi="Arial" w:cs="Arial"/>
          <w:sz w:val="22"/>
          <w:szCs w:val="22"/>
        </w:rPr>
        <w:tab/>
      </w:r>
      <w:r w:rsidRPr="009315FB">
        <w:rPr>
          <w:rFonts w:ascii="Arial" w:hAnsi="Arial" w:cs="Arial"/>
          <w:sz w:val="22"/>
          <w:szCs w:val="22"/>
        </w:rPr>
        <w:t xml:space="preserve">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  <w:r w:rsidRPr="009315FB">
        <w:rPr>
          <w:rFonts w:ascii="Arial" w:hAnsi="Arial" w:cs="Arial"/>
          <w:sz w:val="22"/>
          <w:szCs w:val="22"/>
        </w:rPr>
        <w:t xml:space="preserve"> </w:t>
      </w:r>
    </w:p>
    <w:p w14:paraId="5E315FF7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Eysuvis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(loteprednol 0.25% suspension) – </w:t>
      </w:r>
      <w:r w:rsidR="009C2DEA">
        <w:rPr>
          <w:rFonts w:ascii="Arial" w:hAnsi="Arial" w:cs="Arial"/>
          <w:sz w:val="22"/>
          <w:szCs w:val="22"/>
        </w:rPr>
        <w:tab/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  <w:r w:rsidRPr="009315FB">
        <w:rPr>
          <w:rFonts w:ascii="Arial" w:hAnsi="Arial" w:cs="Arial"/>
          <w:sz w:val="22"/>
          <w:szCs w:val="22"/>
        </w:rPr>
        <w:t xml:space="preserve"> </w:t>
      </w:r>
    </w:p>
    <w:p w14:paraId="273B77CD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315FB">
        <w:rPr>
          <w:rFonts w:ascii="Arial" w:hAnsi="Arial" w:cs="Arial"/>
          <w:color w:val="auto"/>
          <w:sz w:val="22"/>
          <w:szCs w:val="22"/>
        </w:rPr>
        <w:t xml:space="preserve">fluorescein/benoxinate </w:t>
      </w:r>
    </w:p>
    <w:p w14:paraId="2F6FAA9F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Gemtesa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315FB">
        <w:rPr>
          <w:rFonts w:ascii="Arial" w:hAnsi="Arial" w:cs="Arial"/>
          <w:sz w:val="22"/>
          <w:szCs w:val="22"/>
        </w:rPr>
        <w:t>vibegron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69F1639C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9315FB">
        <w:rPr>
          <w:rFonts w:ascii="Arial" w:hAnsi="Arial" w:cs="Arial"/>
          <w:sz w:val="22"/>
          <w:szCs w:val="22"/>
        </w:rPr>
        <w:t xml:space="preserve">Herceptin </w:t>
      </w:r>
      <w:proofErr w:type="spellStart"/>
      <w:r w:rsidRPr="009315FB">
        <w:rPr>
          <w:rFonts w:ascii="Arial" w:hAnsi="Arial" w:cs="Arial"/>
          <w:sz w:val="22"/>
          <w:szCs w:val="22"/>
        </w:rPr>
        <w:t>Hylecta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(trastuzumab/hyaluronidase-</w:t>
      </w:r>
      <w:proofErr w:type="spellStart"/>
      <w:r w:rsidRPr="009315FB">
        <w:rPr>
          <w:rFonts w:ascii="Arial" w:hAnsi="Arial" w:cs="Arial"/>
          <w:sz w:val="22"/>
          <w:szCs w:val="22"/>
        </w:rPr>
        <w:t>oysk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6C874D4F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Herzuma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(trastuzumab-</w:t>
      </w:r>
      <w:proofErr w:type="spellStart"/>
      <w:r w:rsidRPr="009315FB">
        <w:rPr>
          <w:rFonts w:ascii="Arial" w:hAnsi="Arial" w:cs="Arial"/>
          <w:sz w:val="22"/>
          <w:szCs w:val="22"/>
        </w:rPr>
        <w:t>pkrb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1DADB049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Kanjinti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(trastuzumab-</w:t>
      </w:r>
      <w:proofErr w:type="spellStart"/>
      <w:r w:rsidRPr="009315FB">
        <w:rPr>
          <w:rFonts w:ascii="Arial" w:hAnsi="Arial" w:cs="Arial"/>
          <w:sz w:val="22"/>
          <w:szCs w:val="22"/>
        </w:rPr>
        <w:t>anns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2B50993E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Lupkynis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315FB">
        <w:rPr>
          <w:rFonts w:ascii="Arial" w:hAnsi="Arial" w:cs="Arial"/>
          <w:sz w:val="22"/>
          <w:szCs w:val="22"/>
        </w:rPr>
        <w:t>voclosporin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4E13A641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Margenza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315FB">
        <w:rPr>
          <w:rFonts w:ascii="Arial" w:hAnsi="Arial" w:cs="Arial"/>
          <w:sz w:val="22"/>
          <w:szCs w:val="22"/>
        </w:rPr>
        <w:t>margetuximab-cmkb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62DDF76F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Mvasi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(bevacizumab-</w:t>
      </w:r>
      <w:proofErr w:type="spellStart"/>
      <w:r w:rsidRPr="009315FB">
        <w:rPr>
          <w:rFonts w:ascii="Arial" w:hAnsi="Arial" w:cs="Arial"/>
          <w:sz w:val="22"/>
          <w:szCs w:val="22"/>
        </w:rPr>
        <w:t>awwb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786A45C5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Mycapssa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(octreotide capsule)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20039EB7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Ogivri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(trastuzumab-</w:t>
      </w:r>
      <w:proofErr w:type="spellStart"/>
      <w:r w:rsidRPr="009315FB">
        <w:rPr>
          <w:rFonts w:ascii="Arial" w:hAnsi="Arial" w:cs="Arial"/>
          <w:sz w:val="22"/>
          <w:szCs w:val="22"/>
        </w:rPr>
        <w:t>dkst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45EC879B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Olinvyk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315FB">
        <w:rPr>
          <w:rFonts w:ascii="Arial" w:hAnsi="Arial" w:cs="Arial"/>
          <w:sz w:val="22"/>
          <w:szCs w:val="22"/>
        </w:rPr>
        <w:t>oliceridine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^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1E1B16D5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Ontruzant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(trastuzumab-</w:t>
      </w:r>
      <w:proofErr w:type="spellStart"/>
      <w:r w:rsidRPr="009315FB">
        <w:rPr>
          <w:rFonts w:ascii="Arial" w:hAnsi="Arial" w:cs="Arial"/>
          <w:sz w:val="22"/>
          <w:szCs w:val="22"/>
        </w:rPr>
        <w:t>dttb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1047B4D6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Orgovyx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315FB">
        <w:rPr>
          <w:rFonts w:ascii="Arial" w:hAnsi="Arial" w:cs="Arial"/>
          <w:sz w:val="22"/>
          <w:szCs w:val="22"/>
        </w:rPr>
        <w:t>relugolix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29F125D9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Oxlumo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315FB">
        <w:rPr>
          <w:rFonts w:ascii="Arial" w:hAnsi="Arial" w:cs="Arial"/>
          <w:sz w:val="22"/>
          <w:szCs w:val="22"/>
        </w:rPr>
        <w:t>lumasiran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2345C0D6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Ponvory</w:t>
      </w:r>
      <w:proofErr w:type="spellEnd"/>
      <w:r w:rsidRPr="009315FB">
        <w:rPr>
          <w:rFonts w:ascii="Arial" w:hAnsi="Arial" w:cs="Arial"/>
        </w:rPr>
        <w:t xml:space="preserve"> </w:t>
      </w:r>
      <w:r w:rsidRPr="009315FB">
        <w:rPr>
          <w:rFonts w:ascii="Arial" w:hAnsi="Arial" w:cs="Arial"/>
          <w:sz w:val="22"/>
          <w:szCs w:val="22"/>
        </w:rPr>
        <w:t>(</w:t>
      </w:r>
      <w:proofErr w:type="spellStart"/>
      <w:r w:rsidRPr="009315FB">
        <w:rPr>
          <w:rFonts w:ascii="Arial" w:hAnsi="Arial" w:cs="Arial"/>
          <w:sz w:val="22"/>
          <w:szCs w:val="22"/>
        </w:rPr>
        <w:t>ponesimod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4603A4C3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Qelbree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(viloxazine)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14D4B093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Tepmetko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315FB">
        <w:rPr>
          <w:rFonts w:ascii="Arial" w:hAnsi="Arial" w:cs="Arial"/>
          <w:sz w:val="22"/>
          <w:szCs w:val="22"/>
        </w:rPr>
        <w:t>tepotinib</w:t>
      </w:r>
      <w:proofErr w:type="spellEnd"/>
      <w:r w:rsidRPr="009315FB">
        <w:rPr>
          <w:rFonts w:ascii="Arial" w:hAnsi="Arial" w:cs="Arial"/>
          <w:sz w:val="22"/>
          <w:szCs w:val="22"/>
        </w:rPr>
        <w:t>) –</w:t>
      </w:r>
      <w:r w:rsidRPr="009315FB">
        <w:rPr>
          <w:rFonts w:ascii="Arial" w:hAnsi="Arial" w:cs="Arial"/>
          <w:b/>
          <w:bCs/>
          <w:sz w:val="22"/>
          <w:szCs w:val="22"/>
        </w:rPr>
        <w:t xml:space="preserve"> PA</w:t>
      </w:r>
      <w:r w:rsidRPr="009315FB">
        <w:rPr>
          <w:rFonts w:ascii="Arial" w:hAnsi="Arial" w:cs="Arial"/>
          <w:sz w:val="22"/>
          <w:szCs w:val="22"/>
        </w:rPr>
        <w:t xml:space="preserve"> </w:t>
      </w:r>
    </w:p>
    <w:p w14:paraId="3E86A1D0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Thyquidity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(levothyroxine) </w:t>
      </w:r>
    </w:p>
    <w:p w14:paraId="4DFA7B0F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Trazimera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(trastuzumab-</w:t>
      </w:r>
      <w:proofErr w:type="spellStart"/>
      <w:r w:rsidRPr="009315FB">
        <w:rPr>
          <w:rFonts w:ascii="Arial" w:hAnsi="Arial" w:cs="Arial"/>
          <w:sz w:val="22"/>
          <w:szCs w:val="22"/>
        </w:rPr>
        <w:t>qyyp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1D4FC7C4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Verquvo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315FB">
        <w:rPr>
          <w:rFonts w:ascii="Arial" w:hAnsi="Arial" w:cs="Arial"/>
          <w:sz w:val="22"/>
          <w:szCs w:val="22"/>
        </w:rPr>
        <w:t>vericiguat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sz w:val="22"/>
          <w:szCs w:val="22"/>
        </w:rPr>
        <w:t xml:space="preserve">PA </w:t>
      </w:r>
    </w:p>
    <w:p w14:paraId="18AF7176" w14:textId="77777777" w:rsidR="005662E2" w:rsidRPr="009315FB" w:rsidRDefault="005662E2" w:rsidP="009C2DEA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315FB">
        <w:rPr>
          <w:rFonts w:ascii="Arial" w:hAnsi="Arial" w:cs="Arial"/>
          <w:sz w:val="22"/>
          <w:szCs w:val="22"/>
        </w:rPr>
        <w:t>Zirabev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 (bevacizumab-</w:t>
      </w:r>
      <w:proofErr w:type="spellStart"/>
      <w:r w:rsidRPr="009315FB">
        <w:rPr>
          <w:rFonts w:ascii="Arial" w:hAnsi="Arial" w:cs="Arial"/>
          <w:sz w:val="22"/>
          <w:szCs w:val="22"/>
        </w:rPr>
        <w:t>bvzr</w:t>
      </w:r>
      <w:proofErr w:type="spellEnd"/>
      <w:r w:rsidRPr="009315FB">
        <w:rPr>
          <w:rFonts w:ascii="Arial" w:hAnsi="Arial" w:cs="Arial"/>
          <w:sz w:val="22"/>
          <w:szCs w:val="22"/>
        </w:rPr>
        <w:t xml:space="preserve">) – </w:t>
      </w:r>
      <w:r w:rsidRPr="009315FB">
        <w:rPr>
          <w:rFonts w:ascii="Arial" w:hAnsi="Arial" w:cs="Arial"/>
          <w:b/>
          <w:bCs/>
          <w:sz w:val="22"/>
          <w:szCs w:val="22"/>
        </w:rPr>
        <w:t>PA</w:t>
      </w:r>
    </w:p>
    <w:p w14:paraId="1DA08BBE" w14:textId="77777777" w:rsidR="005662E2" w:rsidRPr="009315FB" w:rsidRDefault="005662E2" w:rsidP="00C77AE9">
      <w:pPr>
        <w:pStyle w:val="Default"/>
        <w:numPr>
          <w:ilvl w:val="0"/>
          <w:numId w:val="26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9315FB">
        <w:rPr>
          <w:rFonts w:ascii="Arial" w:hAnsi="Arial" w:cs="Arial"/>
          <w:sz w:val="22"/>
          <w:szCs w:val="22"/>
        </w:rPr>
        <w:t xml:space="preserve">Effective for the date listed below, the following COVID-19 preventative therapy has been added to the MassHealth Drug List on June 09, 2021. </w:t>
      </w:r>
    </w:p>
    <w:p w14:paraId="331DC3A1" w14:textId="77777777" w:rsidR="005662E2" w:rsidRDefault="005662E2" w:rsidP="009C2DEA">
      <w:pPr>
        <w:pStyle w:val="Default"/>
        <w:numPr>
          <w:ilvl w:val="0"/>
          <w:numId w:val="2"/>
        </w:numPr>
        <w:spacing w:line="276" w:lineRule="auto"/>
        <w:ind w:left="450" w:hanging="90"/>
        <w:rPr>
          <w:rFonts w:ascii="Arial" w:hAnsi="Arial" w:cs="Arial"/>
          <w:sz w:val="22"/>
          <w:szCs w:val="22"/>
        </w:rPr>
      </w:pPr>
      <w:proofErr w:type="spellStart"/>
      <w:r w:rsidRPr="008876BC">
        <w:rPr>
          <w:rFonts w:ascii="Arial" w:hAnsi="Arial" w:cs="Arial"/>
          <w:sz w:val="22"/>
          <w:szCs w:val="22"/>
        </w:rPr>
        <w:t>sotrovimab</w:t>
      </w:r>
      <w:proofErr w:type="spellEnd"/>
      <w:r w:rsidRPr="008876BC">
        <w:rPr>
          <w:rFonts w:ascii="Arial" w:hAnsi="Arial" w:cs="Arial"/>
          <w:sz w:val="22"/>
          <w:szCs w:val="22"/>
        </w:rPr>
        <w:t xml:space="preserve"> (COVID EUA – May 26, </w:t>
      </w:r>
      <w:r w:rsidR="0094331C">
        <w:rPr>
          <w:rFonts w:ascii="Arial" w:hAnsi="Arial" w:cs="Arial"/>
          <w:sz w:val="22"/>
          <w:szCs w:val="22"/>
        </w:rPr>
        <w:tab/>
      </w:r>
      <w:r w:rsidRPr="008876BC">
        <w:rPr>
          <w:rFonts w:ascii="Arial" w:hAnsi="Arial" w:cs="Arial"/>
          <w:sz w:val="22"/>
          <w:szCs w:val="22"/>
        </w:rPr>
        <w:t xml:space="preserve">2021) </w:t>
      </w:r>
    </w:p>
    <w:p w14:paraId="17E6B588" w14:textId="77777777" w:rsidR="005662E2" w:rsidRDefault="005662E2" w:rsidP="005662E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CEE52C" w14:textId="77777777" w:rsidR="005662E2" w:rsidRPr="000111F1" w:rsidRDefault="005662E2" w:rsidP="009C2DEA">
      <w:pPr>
        <w:rPr>
          <w:rFonts w:ascii="Arial Black" w:hAnsi="Arial Black"/>
          <w:sz w:val="22"/>
          <w:szCs w:val="22"/>
        </w:rPr>
      </w:pPr>
      <w:r w:rsidRPr="000111F1">
        <w:rPr>
          <w:rFonts w:ascii="Arial Black" w:hAnsi="Arial Black"/>
          <w:sz w:val="22"/>
          <w:szCs w:val="22"/>
        </w:rPr>
        <w:t>Change in Prior-Authorization Status</w:t>
      </w:r>
    </w:p>
    <w:p w14:paraId="043A7665" w14:textId="77777777" w:rsidR="005662E2" w:rsidRPr="00AF5E4D" w:rsidRDefault="005662E2" w:rsidP="000111F1">
      <w:pPr>
        <w:pStyle w:val="Default"/>
        <w:numPr>
          <w:ilvl w:val="0"/>
          <w:numId w:val="4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F5E4D">
        <w:rPr>
          <w:rFonts w:ascii="Arial" w:hAnsi="Arial" w:cs="Arial"/>
          <w:sz w:val="22"/>
          <w:szCs w:val="22"/>
        </w:rPr>
        <w:t xml:space="preserve">Effective </w:t>
      </w:r>
      <w:r>
        <w:rPr>
          <w:rFonts w:ascii="Arial" w:hAnsi="Arial" w:cs="Arial"/>
          <w:sz w:val="22"/>
          <w:szCs w:val="22"/>
        </w:rPr>
        <w:t>June 28, 2021</w:t>
      </w:r>
      <w:r w:rsidRPr="00AF5E4D">
        <w:rPr>
          <w:rFonts w:ascii="Arial" w:hAnsi="Arial" w:cs="Arial"/>
          <w:sz w:val="22"/>
          <w:szCs w:val="22"/>
        </w:rPr>
        <w:t xml:space="preserve">, the following </w:t>
      </w:r>
      <w:r>
        <w:rPr>
          <w:rFonts w:ascii="Arial" w:hAnsi="Arial" w:cs="Arial"/>
          <w:sz w:val="22"/>
          <w:szCs w:val="22"/>
        </w:rPr>
        <w:t>dermatologic</w:t>
      </w:r>
      <w:r w:rsidRPr="00AF5E4D">
        <w:rPr>
          <w:rFonts w:ascii="Arial" w:hAnsi="Arial" w:cs="Arial"/>
          <w:sz w:val="22"/>
          <w:szCs w:val="22"/>
        </w:rPr>
        <w:t xml:space="preserve"> agents will no longer require prior authorization</w:t>
      </w:r>
      <w:r>
        <w:rPr>
          <w:rFonts w:ascii="Arial" w:hAnsi="Arial" w:cs="Arial"/>
          <w:sz w:val="22"/>
          <w:szCs w:val="22"/>
        </w:rPr>
        <w:t xml:space="preserve"> (PA)</w:t>
      </w:r>
      <w:r w:rsidRPr="00AF5E4D">
        <w:rPr>
          <w:rFonts w:ascii="Arial" w:hAnsi="Arial" w:cs="Arial"/>
          <w:sz w:val="22"/>
          <w:szCs w:val="22"/>
        </w:rPr>
        <w:t>.</w:t>
      </w:r>
    </w:p>
    <w:p w14:paraId="51DCB703" w14:textId="77777777" w:rsidR="005662E2" w:rsidRPr="00AF5E4D" w:rsidRDefault="005662E2" w:rsidP="000111F1">
      <w:pPr>
        <w:pStyle w:val="Default"/>
        <w:numPr>
          <w:ilvl w:val="0"/>
          <w:numId w:val="27"/>
        </w:numPr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  <w:proofErr w:type="spellStart"/>
      <w:r w:rsidRPr="00AF5E4D">
        <w:rPr>
          <w:rFonts w:ascii="Arial" w:hAnsi="Arial" w:cs="Arial"/>
          <w:sz w:val="22"/>
          <w:szCs w:val="22"/>
        </w:rPr>
        <w:t>Aldara</w:t>
      </w:r>
      <w:proofErr w:type="spellEnd"/>
      <w:r w:rsidRPr="00AF5E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# </w:t>
      </w:r>
      <w:r w:rsidRPr="00AF5E4D">
        <w:rPr>
          <w:rFonts w:ascii="Arial" w:hAnsi="Arial" w:cs="Arial"/>
          <w:sz w:val="22"/>
          <w:szCs w:val="22"/>
        </w:rPr>
        <w:t>(imiquimod 5% cream)</w:t>
      </w:r>
    </w:p>
    <w:p w14:paraId="1B65E262" w14:textId="77777777" w:rsidR="005662E2" w:rsidRDefault="005662E2" w:rsidP="000111F1">
      <w:pPr>
        <w:pStyle w:val="Default"/>
        <w:numPr>
          <w:ilvl w:val="0"/>
          <w:numId w:val="27"/>
        </w:numPr>
        <w:spacing w:line="276" w:lineRule="auto"/>
        <w:ind w:left="720"/>
        <w:rPr>
          <w:rFonts w:ascii="Arial" w:hAnsi="Arial" w:cs="Arial"/>
          <w:bCs/>
          <w:sz w:val="22"/>
          <w:szCs w:val="22"/>
        </w:rPr>
      </w:pPr>
      <w:proofErr w:type="spellStart"/>
      <w:r w:rsidRPr="00AF5E4D">
        <w:rPr>
          <w:rFonts w:ascii="Arial" w:hAnsi="Arial" w:cs="Arial"/>
          <w:bCs/>
          <w:sz w:val="22"/>
          <w:szCs w:val="22"/>
        </w:rPr>
        <w:t>Condylox</w:t>
      </w:r>
      <w:proofErr w:type="spellEnd"/>
      <w:r w:rsidRPr="00AF5E4D">
        <w:rPr>
          <w:rFonts w:ascii="Arial" w:hAnsi="Arial" w:cs="Arial"/>
          <w:bCs/>
          <w:sz w:val="22"/>
          <w:szCs w:val="22"/>
        </w:rPr>
        <w:t xml:space="preserve"> Gel (podofilox gel)</w:t>
      </w:r>
    </w:p>
    <w:p w14:paraId="2EAA797B" w14:textId="77777777" w:rsidR="005662E2" w:rsidRPr="00AF5E4D" w:rsidRDefault="005662E2" w:rsidP="000111F1">
      <w:pPr>
        <w:pStyle w:val="Default"/>
        <w:numPr>
          <w:ilvl w:val="0"/>
          <w:numId w:val="27"/>
        </w:numPr>
        <w:spacing w:line="276" w:lineRule="auto"/>
        <w:ind w:left="720"/>
        <w:rPr>
          <w:rFonts w:ascii="Arial" w:hAnsi="Arial" w:cs="Arial"/>
          <w:bCs/>
          <w:sz w:val="22"/>
          <w:szCs w:val="22"/>
        </w:rPr>
      </w:pPr>
      <w:proofErr w:type="spellStart"/>
      <w:r w:rsidRPr="00AF5E4D">
        <w:rPr>
          <w:rFonts w:ascii="Arial" w:hAnsi="Arial" w:cs="Arial"/>
          <w:bCs/>
          <w:sz w:val="22"/>
          <w:szCs w:val="22"/>
        </w:rPr>
        <w:t>Efudex</w:t>
      </w:r>
      <w:proofErr w:type="spellEnd"/>
      <w:r w:rsidRPr="00AF5E4D">
        <w:rPr>
          <w:rFonts w:ascii="Arial" w:hAnsi="Arial" w:cs="Arial"/>
          <w:bCs/>
          <w:sz w:val="22"/>
          <w:szCs w:val="22"/>
        </w:rPr>
        <w:t xml:space="preserve"> (fluorouracil 5% cream) </w:t>
      </w:r>
      <w:r w:rsidRPr="00AF5E4D">
        <w:rPr>
          <w:rFonts w:ascii="Arial" w:hAnsi="Arial" w:cs="Arial"/>
          <w:bCs/>
          <w:sz w:val="22"/>
          <w:szCs w:val="22"/>
          <w:vertAlign w:val="superscript"/>
        </w:rPr>
        <w:t>BP</w:t>
      </w:r>
    </w:p>
    <w:p w14:paraId="5D034025" w14:textId="77777777" w:rsidR="005662E2" w:rsidRPr="005E7124" w:rsidRDefault="005662E2" w:rsidP="008916D3">
      <w:pPr>
        <w:pStyle w:val="Default"/>
        <w:numPr>
          <w:ilvl w:val="0"/>
          <w:numId w:val="4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E7124">
        <w:rPr>
          <w:rFonts w:ascii="Arial" w:hAnsi="Arial" w:cs="Arial"/>
          <w:sz w:val="22"/>
          <w:szCs w:val="22"/>
        </w:rPr>
        <w:t xml:space="preserve">Effective </w:t>
      </w:r>
      <w:r>
        <w:rPr>
          <w:rFonts w:ascii="Arial" w:hAnsi="Arial" w:cs="Arial"/>
          <w:sz w:val="22"/>
          <w:szCs w:val="22"/>
        </w:rPr>
        <w:t>June 28, 2021</w:t>
      </w:r>
      <w:r w:rsidRPr="005E7124">
        <w:rPr>
          <w:rFonts w:ascii="Arial" w:hAnsi="Arial" w:cs="Arial"/>
          <w:sz w:val="22"/>
          <w:szCs w:val="22"/>
        </w:rPr>
        <w:t xml:space="preserve">, the following antipsychotic </w:t>
      </w:r>
      <w:r>
        <w:rPr>
          <w:rFonts w:ascii="Arial" w:hAnsi="Arial" w:cs="Arial"/>
          <w:sz w:val="22"/>
          <w:szCs w:val="22"/>
        </w:rPr>
        <w:t xml:space="preserve">agents </w:t>
      </w:r>
      <w:r w:rsidRPr="005E7124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 xml:space="preserve">no longer </w:t>
      </w:r>
      <w:r w:rsidRPr="005E7124">
        <w:rPr>
          <w:rFonts w:ascii="Arial" w:hAnsi="Arial" w:cs="Arial"/>
          <w:sz w:val="22"/>
          <w:szCs w:val="22"/>
        </w:rPr>
        <w:t xml:space="preserve">require </w:t>
      </w:r>
      <w:r>
        <w:rPr>
          <w:rFonts w:ascii="Arial" w:hAnsi="Arial" w:cs="Arial"/>
          <w:sz w:val="22"/>
          <w:szCs w:val="22"/>
        </w:rPr>
        <w:t>PA</w:t>
      </w:r>
      <w:r w:rsidRPr="005E71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within updated </w:t>
      </w:r>
      <w:r w:rsidRPr="005E7124">
        <w:rPr>
          <w:rFonts w:ascii="Arial" w:hAnsi="Arial" w:cs="Arial"/>
          <w:sz w:val="22"/>
          <w:szCs w:val="22"/>
        </w:rPr>
        <w:t xml:space="preserve">quantity limits. Pediatric Behavioral Health Medication Initiative criteria will still apply. For additional information, please see the Pediatric Behavioral Health Medication Initiative documents found at </w:t>
      </w:r>
      <w:bookmarkStart w:id="0" w:name="_GoBack"/>
      <w:bookmarkEnd w:id="0"/>
      <w:r w:rsidR="00A54759">
        <w:fldChar w:fldCharType="begin"/>
      </w:r>
      <w:r w:rsidR="00A54759">
        <w:instrText xml:space="preserve"> HYPERLINK "http://www</w:instrText>
      </w:r>
      <w:r w:rsidR="00A54759">
        <w:instrText xml:space="preserve">.mass.gov/druglist" </w:instrText>
      </w:r>
      <w:r w:rsidR="00A54759">
        <w:fldChar w:fldCharType="separate"/>
      </w:r>
      <w:r w:rsidRPr="005E7124">
        <w:rPr>
          <w:rStyle w:val="Hyperlink"/>
          <w:rFonts w:ascii="Arial" w:hAnsi="Arial" w:cs="Arial"/>
          <w:sz w:val="22"/>
          <w:szCs w:val="22"/>
        </w:rPr>
        <w:t>www.mass.gov/druglist</w:t>
      </w:r>
      <w:r w:rsidR="00A54759">
        <w:rPr>
          <w:rStyle w:val="Hyperlink"/>
          <w:rFonts w:ascii="Arial" w:hAnsi="Arial" w:cs="Arial"/>
          <w:sz w:val="22"/>
          <w:szCs w:val="22"/>
        </w:rPr>
        <w:fldChar w:fldCharType="end"/>
      </w:r>
      <w:r w:rsidRPr="005E7124">
        <w:rPr>
          <w:rFonts w:ascii="Arial" w:hAnsi="Arial" w:cs="Arial"/>
          <w:sz w:val="22"/>
          <w:szCs w:val="22"/>
        </w:rPr>
        <w:t>.</w:t>
      </w:r>
    </w:p>
    <w:p w14:paraId="60C0AAD3" w14:textId="77777777" w:rsidR="005662E2" w:rsidRPr="005E7124" w:rsidRDefault="005662E2" w:rsidP="008916D3">
      <w:pPr>
        <w:pStyle w:val="Default"/>
        <w:numPr>
          <w:ilvl w:val="0"/>
          <w:numId w:val="27"/>
        </w:numPr>
        <w:spacing w:line="276" w:lineRule="auto"/>
        <w:ind w:left="360" w:firstLine="0"/>
        <w:rPr>
          <w:rFonts w:ascii="Arial" w:hAnsi="Arial" w:cs="Arial"/>
          <w:b/>
          <w:sz w:val="22"/>
          <w:szCs w:val="22"/>
        </w:rPr>
      </w:pPr>
      <w:r w:rsidRPr="005E7124">
        <w:rPr>
          <w:rFonts w:ascii="Arial" w:hAnsi="Arial" w:cs="Arial"/>
          <w:bCs/>
          <w:sz w:val="22"/>
          <w:szCs w:val="22"/>
        </w:rPr>
        <w:t xml:space="preserve">Abilify </w:t>
      </w:r>
      <w:r>
        <w:rPr>
          <w:rFonts w:ascii="Arial" w:hAnsi="Arial" w:cs="Arial"/>
          <w:bCs/>
          <w:sz w:val="22"/>
          <w:szCs w:val="22"/>
        </w:rPr>
        <w:t xml:space="preserve"># </w:t>
      </w:r>
      <w:r w:rsidRPr="005E7124">
        <w:rPr>
          <w:rFonts w:ascii="Arial" w:hAnsi="Arial" w:cs="Arial"/>
          <w:bCs/>
          <w:sz w:val="22"/>
          <w:szCs w:val="22"/>
        </w:rPr>
        <w:t xml:space="preserve">(aripiprazole tablet) – </w:t>
      </w:r>
      <w:r w:rsidRPr="005E7124">
        <w:rPr>
          <w:rFonts w:ascii="Arial" w:hAnsi="Arial" w:cs="Arial"/>
          <w:b/>
          <w:sz w:val="22"/>
          <w:szCs w:val="22"/>
        </w:rPr>
        <w:t xml:space="preserve">PA &lt; 6 </w:t>
      </w:r>
      <w:r w:rsidR="008916D3">
        <w:rPr>
          <w:rFonts w:ascii="Arial" w:hAnsi="Arial" w:cs="Arial"/>
          <w:b/>
          <w:sz w:val="22"/>
          <w:szCs w:val="22"/>
        </w:rPr>
        <w:tab/>
      </w:r>
      <w:r w:rsidRPr="005E7124">
        <w:rPr>
          <w:rFonts w:ascii="Arial" w:hAnsi="Arial" w:cs="Arial"/>
          <w:b/>
          <w:sz w:val="22"/>
          <w:szCs w:val="22"/>
        </w:rPr>
        <w:t>years and PA &gt; 2 units/day</w:t>
      </w:r>
    </w:p>
    <w:p w14:paraId="5A664342" w14:textId="77777777" w:rsidR="005662E2" w:rsidRPr="00C1032A" w:rsidRDefault="005662E2" w:rsidP="008916D3">
      <w:pPr>
        <w:pStyle w:val="Default"/>
        <w:numPr>
          <w:ilvl w:val="0"/>
          <w:numId w:val="27"/>
        </w:numPr>
        <w:spacing w:line="276" w:lineRule="auto"/>
        <w:ind w:left="360" w:firstLine="0"/>
        <w:rPr>
          <w:rFonts w:ascii="Arial" w:hAnsi="Arial" w:cs="Arial"/>
          <w:bCs/>
          <w:sz w:val="22"/>
          <w:szCs w:val="22"/>
        </w:rPr>
      </w:pPr>
      <w:r w:rsidRPr="00C1032A">
        <w:rPr>
          <w:rFonts w:ascii="Arial" w:hAnsi="Arial" w:cs="Arial"/>
          <w:bCs/>
          <w:sz w:val="22"/>
          <w:szCs w:val="22"/>
        </w:rPr>
        <w:t xml:space="preserve">Seroquel XR </w:t>
      </w:r>
      <w:r>
        <w:rPr>
          <w:rFonts w:ascii="Arial" w:hAnsi="Arial" w:cs="Arial"/>
          <w:bCs/>
          <w:sz w:val="22"/>
          <w:szCs w:val="22"/>
        </w:rPr>
        <w:t xml:space="preserve"># </w:t>
      </w:r>
      <w:r w:rsidRPr="00C1032A">
        <w:rPr>
          <w:rFonts w:ascii="Arial" w:hAnsi="Arial" w:cs="Arial"/>
          <w:bCs/>
          <w:sz w:val="22"/>
          <w:szCs w:val="22"/>
        </w:rPr>
        <w:t>(quetiapine extended-</w:t>
      </w:r>
      <w:r w:rsidR="008916D3">
        <w:rPr>
          <w:rFonts w:ascii="Arial" w:hAnsi="Arial" w:cs="Arial"/>
          <w:bCs/>
          <w:sz w:val="22"/>
          <w:szCs w:val="22"/>
        </w:rPr>
        <w:tab/>
      </w:r>
      <w:r w:rsidRPr="00C1032A">
        <w:rPr>
          <w:rFonts w:ascii="Arial" w:hAnsi="Arial" w:cs="Arial"/>
          <w:bCs/>
          <w:sz w:val="22"/>
          <w:szCs w:val="22"/>
        </w:rPr>
        <w:t>release 150 mg, 200 mg)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Pr="005E7124">
        <w:rPr>
          <w:rFonts w:ascii="Arial" w:hAnsi="Arial" w:cs="Arial"/>
          <w:b/>
          <w:sz w:val="22"/>
          <w:szCs w:val="22"/>
        </w:rPr>
        <w:t>PA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E7124">
        <w:rPr>
          <w:rFonts w:ascii="Arial" w:hAnsi="Arial" w:cs="Arial"/>
          <w:b/>
          <w:sz w:val="22"/>
          <w:szCs w:val="22"/>
        </w:rPr>
        <w:t xml:space="preserve">&lt; 6 years </w:t>
      </w:r>
      <w:r w:rsidR="008916D3">
        <w:rPr>
          <w:rFonts w:ascii="Arial" w:hAnsi="Arial" w:cs="Arial"/>
          <w:b/>
          <w:sz w:val="22"/>
          <w:szCs w:val="22"/>
        </w:rPr>
        <w:tab/>
      </w:r>
      <w:r w:rsidRPr="005E7124">
        <w:rPr>
          <w:rFonts w:ascii="Arial" w:hAnsi="Arial" w:cs="Arial"/>
          <w:b/>
          <w:sz w:val="22"/>
          <w:szCs w:val="22"/>
        </w:rPr>
        <w:t>and PA &gt; 2 units/day</w:t>
      </w:r>
    </w:p>
    <w:p w14:paraId="202F1651" w14:textId="77777777" w:rsidR="005662E2" w:rsidRPr="00C1032A" w:rsidRDefault="005662E2" w:rsidP="008916D3">
      <w:pPr>
        <w:pStyle w:val="Default"/>
        <w:numPr>
          <w:ilvl w:val="0"/>
          <w:numId w:val="27"/>
        </w:numPr>
        <w:spacing w:line="276" w:lineRule="auto"/>
        <w:ind w:left="360" w:firstLine="0"/>
        <w:rPr>
          <w:rFonts w:ascii="Arial" w:hAnsi="Arial" w:cs="Arial"/>
          <w:b/>
          <w:sz w:val="22"/>
          <w:szCs w:val="22"/>
        </w:rPr>
      </w:pPr>
      <w:bookmarkStart w:id="1" w:name="_Hlk68187272"/>
      <w:r w:rsidRPr="002D33C2">
        <w:rPr>
          <w:rFonts w:ascii="Arial" w:hAnsi="Arial" w:cs="Arial"/>
          <w:sz w:val="22"/>
          <w:szCs w:val="22"/>
        </w:rPr>
        <w:t xml:space="preserve">Zyprexa </w:t>
      </w:r>
      <w:r>
        <w:rPr>
          <w:rFonts w:ascii="Arial" w:hAnsi="Arial" w:cs="Arial"/>
          <w:sz w:val="22"/>
          <w:szCs w:val="22"/>
        </w:rPr>
        <w:t xml:space="preserve"># </w:t>
      </w:r>
      <w:r w:rsidRPr="002D33C2">
        <w:rPr>
          <w:rFonts w:ascii="Arial" w:hAnsi="Arial" w:cs="Arial"/>
          <w:sz w:val="22"/>
          <w:szCs w:val="22"/>
        </w:rPr>
        <w:t xml:space="preserve">(olanzapine 2.5 mg, 5 mg, 7.5 </w:t>
      </w:r>
      <w:r w:rsidR="008916D3">
        <w:rPr>
          <w:rFonts w:ascii="Arial" w:hAnsi="Arial" w:cs="Arial"/>
          <w:sz w:val="22"/>
          <w:szCs w:val="22"/>
        </w:rPr>
        <w:tab/>
      </w:r>
      <w:r w:rsidRPr="002D33C2">
        <w:rPr>
          <w:rFonts w:ascii="Arial" w:hAnsi="Arial" w:cs="Arial"/>
          <w:sz w:val="22"/>
          <w:szCs w:val="22"/>
        </w:rPr>
        <w:t>mg, 10 mg, 20 mg tablets)</w:t>
      </w:r>
      <w:r>
        <w:rPr>
          <w:rFonts w:ascii="Arial" w:hAnsi="Arial" w:cs="Arial"/>
          <w:sz w:val="22"/>
          <w:szCs w:val="22"/>
        </w:rPr>
        <w:t xml:space="preserve"> </w:t>
      </w:r>
      <w:r w:rsidRPr="005E7124">
        <w:rPr>
          <w:rFonts w:ascii="Arial" w:hAnsi="Arial" w:cs="Arial"/>
          <w:sz w:val="22"/>
          <w:szCs w:val="22"/>
        </w:rPr>
        <w:t xml:space="preserve">– </w:t>
      </w:r>
      <w:r w:rsidRPr="005E7124">
        <w:rPr>
          <w:rFonts w:ascii="Arial" w:hAnsi="Arial" w:cs="Arial"/>
          <w:b/>
          <w:bCs/>
          <w:sz w:val="22"/>
          <w:szCs w:val="22"/>
        </w:rPr>
        <w:t xml:space="preserve">PA &lt; 6 </w:t>
      </w:r>
      <w:r w:rsidR="0094331C">
        <w:rPr>
          <w:rFonts w:ascii="Arial" w:hAnsi="Arial" w:cs="Arial"/>
          <w:b/>
          <w:bCs/>
          <w:sz w:val="22"/>
          <w:szCs w:val="22"/>
        </w:rPr>
        <w:tab/>
      </w:r>
      <w:r w:rsidRPr="005E7124">
        <w:rPr>
          <w:rFonts w:ascii="Arial" w:hAnsi="Arial" w:cs="Arial"/>
          <w:b/>
          <w:bCs/>
          <w:sz w:val="22"/>
          <w:szCs w:val="22"/>
        </w:rPr>
        <w:t>years and PA &gt; 2 units/day</w:t>
      </w:r>
      <w:bookmarkEnd w:id="1"/>
    </w:p>
    <w:p w14:paraId="4977E503" w14:textId="77777777" w:rsidR="005662E2" w:rsidRPr="005E7124" w:rsidRDefault="005662E2" w:rsidP="000111F1">
      <w:pPr>
        <w:pStyle w:val="Default"/>
        <w:numPr>
          <w:ilvl w:val="0"/>
          <w:numId w:val="4"/>
        </w:numPr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5E7124">
        <w:rPr>
          <w:rFonts w:ascii="Arial" w:hAnsi="Arial" w:cs="Arial"/>
          <w:sz w:val="22"/>
          <w:szCs w:val="22"/>
        </w:rPr>
        <w:t xml:space="preserve">Effective </w:t>
      </w:r>
      <w:r>
        <w:rPr>
          <w:rFonts w:ascii="Arial" w:hAnsi="Arial" w:cs="Arial"/>
          <w:sz w:val="22"/>
          <w:szCs w:val="22"/>
        </w:rPr>
        <w:t>June 28, 2021</w:t>
      </w:r>
      <w:r w:rsidRPr="005E7124">
        <w:rPr>
          <w:rFonts w:ascii="Arial" w:hAnsi="Arial" w:cs="Arial"/>
          <w:sz w:val="22"/>
          <w:szCs w:val="22"/>
        </w:rPr>
        <w:t xml:space="preserve">, the following antipsychotic </w:t>
      </w:r>
      <w:r>
        <w:rPr>
          <w:rFonts w:ascii="Arial" w:hAnsi="Arial" w:cs="Arial"/>
          <w:sz w:val="22"/>
          <w:szCs w:val="22"/>
        </w:rPr>
        <w:t xml:space="preserve">agent </w:t>
      </w:r>
      <w:r w:rsidRPr="005E7124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 xml:space="preserve">no longer </w:t>
      </w:r>
      <w:r w:rsidRPr="005E7124">
        <w:rPr>
          <w:rFonts w:ascii="Arial" w:hAnsi="Arial" w:cs="Arial"/>
          <w:sz w:val="22"/>
          <w:szCs w:val="22"/>
        </w:rPr>
        <w:t xml:space="preserve">require </w:t>
      </w:r>
      <w:r>
        <w:rPr>
          <w:rFonts w:ascii="Arial" w:hAnsi="Arial" w:cs="Arial"/>
          <w:sz w:val="22"/>
          <w:szCs w:val="22"/>
        </w:rPr>
        <w:t>PA when used</w:t>
      </w:r>
      <w:r w:rsidRPr="005E71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within </w:t>
      </w:r>
      <w:r w:rsidRPr="005E7124">
        <w:rPr>
          <w:rFonts w:ascii="Arial" w:hAnsi="Arial" w:cs="Arial"/>
          <w:sz w:val="22"/>
          <w:szCs w:val="22"/>
        </w:rPr>
        <w:t xml:space="preserve">quantity limits. Pediatric Behavioral Health Medication Initiative criteria will still apply. For additional information, please see the Pediatric Behavioral Health Medication Initiative documents found at </w:t>
      </w:r>
      <w:hyperlink r:id="rId11" w:history="1">
        <w:r w:rsidRPr="005E7124">
          <w:rPr>
            <w:rStyle w:val="Hyperlink"/>
            <w:rFonts w:ascii="Arial" w:hAnsi="Arial" w:cs="Arial"/>
            <w:sz w:val="22"/>
            <w:szCs w:val="22"/>
          </w:rPr>
          <w:t>www.mass.gov/druglist</w:t>
        </w:r>
      </w:hyperlink>
      <w:r w:rsidRPr="005E7124">
        <w:rPr>
          <w:rFonts w:ascii="Arial" w:hAnsi="Arial" w:cs="Arial"/>
          <w:sz w:val="22"/>
          <w:szCs w:val="22"/>
        </w:rPr>
        <w:t>.</w:t>
      </w:r>
    </w:p>
    <w:p w14:paraId="179977CA" w14:textId="77777777" w:rsidR="005662E2" w:rsidRPr="005662E2" w:rsidRDefault="005662E2" w:rsidP="008916D3">
      <w:pPr>
        <w:pStyle w:val="Default"/>
        <w:numPr>
          <w:ilvl w:val="0"/>
          <w:numId w:val="27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FA72E1">
        <w:rPr>
          <w:rFonts w:ascii="Arial" w:hAnsi="Arial" w:cs="Arial"/>
          <w:sz w:val="22"/>
          <w:szCs w:val="22"/>
        </w:rPr>
        <w:t xml:space="preserve">Risperdal M-Tab # (risperidone 0.25 mg orally disintegrating tablet) – </w:t>
      </w:r>
      <w:r w:rsidRPr="00FA72E1">
        <w:rPr>
          <w:rFonts w:ascii="Arial" w:hAnsi="Arial" w:cs="Arial"/>
          <w:b/>
          <w:bCs/>
          <w:sz w:val="22"/>
          <w:szCs w:val="22"/>
        </w:rPr>
        <w:t>PA &lt; 6 years and PA &gt; 2 units/day</w:t>
      </w:r>
    </w:p>
    <w:p w14:paraId="75952FBC" w14:textId="77777777" w:rsidR="00A24049" w:rsidRPr="002F189C" w:rsidRDefault="00A24049" w:rsidP="00EC1DF6">
      <w:pPr>
        <w:pStyle w:val="Default"/>
        <w:numPr>
          <w:ilvl w:val="0"/>
          <w:numId w:val="4"/>
        </w:numPr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2F189C">
        <w:rPr>
          <w:rFonts w:ascii="Arial" w:hAnsi="Arial" w:cs="Arial"/>
          <w:sz w:val="22"/>
          <w:szCs w:val="22"/>
        </w:rPr>
        <w:t xml:space="preserve">Effective </w:t>
      </w:r>
      <w:r>
        <w:rPr>
          <w:rFonts w:ascii="Arial" w:hAnsi="Arial" w:cs="Arial"/>
          <w:sz w:val="22"/>
          <w:szCs w:val="22"/>
        </w:rPr>
        <w:t>June 28, 2021</w:t>
      </w:r>
      <w:r w:rsidRPr="002F189C">
        <w:rPr>
          <w:rFonts w:ascii="Arial" w:hAnsi="Arial" w:cs="Arial"/>
          <w:sz w:val="22"/>
          <w:szCs w:val="22"/>
        </w:rPr>
        <w:t>, the following antipsychotic</w:t>
      </w:r>
      <w:r>
        <w:rPr>
          <w:rFonts w:ascii="Arial" w:hAnsi="Arial" w:cs="Arial"/>
          <w:sz w:val="22"/>
          <w:szCs w:val="22"/>
        </w:rPr>
        <w:t xml:space="preserve"> agent</w:t>
      </w:r>
      <w:r w:rsidRPr="002F189C">
        <w:rPr>
          <w:rFonts w:ascii="Arial" w:hAnsi="Arial" w:cs="Arial"/>
          <w:sz w:val="22"/>
          <w:szCs w:val="22"/>
        </w:rPr>
        <w:t xml:space="preserve"> will require </w:t>
      </w:r>
      <w:r>
        <w:rPr>
          <w:rFonts w:ascii="Arial" w:hAnsi="Arial" w:cs="Arial"/>
          <w:color w:val="auto"/>
          <w:sz w:val="22"/>
          <w:szCs w:val="22"/>
        </w:rPr>
        <w:t xml:space="preserve">PA when </w:t>
      </w:r>
      <w:r>
        <w:rPr>
          <w:rFonts w:ascii="Arial" w:hAnsi="Arial" w:cs="Arial"/>
          <w:color w:val="auto"/>
          <w:sz w:val="22"/>
          <w:szCs w:val="22"/>
        </w:rPr>
        <w:lastRenderedPageBreak/>
        <w:t xml:space="preserve">exceeding </w:t>
      </w:r>
      <w:r w:rsidRPr="002F189C">
        <w:rPr>
          <w:rFonts w:ascii="Arial" w:hAnsi="Arial" w:cs="Arial"/>
          <w:color w:val="auto"/>
          <w:sz w:val="22"/>
          <w:szCs w:val="22"/>
        </w:rPr>
        <w:t xml:space="preserve">newly established quantity limits. </w:t>
      </w:r>
      <w:r w:rsidRPr="002F189C">
        <w:rPr>
          <w:rFonts w:ascii="Arial" w:hAnsi="Arial" w:cs="Arial"/>
          <w:sz w:val="22"/>
          <w:szCs w:val="22"/>
        </w:rPr>
        <w:t xml:space="preserve">Pediatric Behavioral Health Medication Initiative criteria will still apply. For additional information, please see the Pediatric Behavioral Health Medication Initiative documents found at </w:t>
      </w:r>
      <w:hyperlink r:id="rId12" w:history="1">
        <w:r w:rsidRPr="002F189C">
          <w:rPr>
            <w:rStyle w:val="Hyperlink"/>
            <w:rFonts w:ascii="Arial" w:hAnsi="Arial" w:cs="Arial"/>
            <w:sz w:val="22"/>
            <w:szCs w:val="22"/>
          </w:rPr>
          <w:t>www.mass.gov/druglist</w:t>
        </w:r>
      </w:hyperlink>
      <w:r w:rsidRPr="002F189C">
        <w:rPr>
          <w:rFonts w:ascii="Arial" w:hAnsi="Arial" w:cs="Arial"/>
          <w:sz w:val="22"/>
          <w:szCs w:val="22"/>
        </w:rPr>
        <w:t>.</w:t>
      </w:r>
    </w:p>
    <w:p w14:paraId="775537B4" w14:textId="77777777" w:rsidR="00A24049" w:rsidRPr="00FA72E1" w:rsidRDefault="00A24049" w:rsidP="00A24049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bookmarkStart w:id="2" w:name="_Hlk68187998"/>
      <w:r w:rsidRPr="00FA72E1">
        <w:rPr>
          <w:rFonts w:ascii="Arial" w:hAnsi="Arial" w:cs="Arial"/>
          <w:sz w:val="22"/>
          <w:szCs w:val="22"/>
        </w:rPr>
        <w:t xml:space="preserve">Risperdal M-Tab # (risperidone 2 mg orally disintegrating tablet) </w:t>
      </w:r>
      <w:bookmarkEnd w:id="2"/>
      <w:r w:rsidRPr="00FA72E1">
        <w:rPr>
          <w:rFonts w:ascii="Arial" w:hAnsi="Arial" w:cs="Arial"/>
          <w:sz w:val="22"/>
          <w:szCs w:val="22"/>
        </w:rPr>
        <w:t xml:space="preserve">– </w:t>
      </w:r>
      <w:r w:rsidRPr="00FA72E1">
        <w:rPr>
          <w:rFonts w:ascii="Arial" w:hAnsi="Arial" w:cs="Arial"/>
          <w:b/>
          <w:bCs/>
          <w:sz w:val="22"/>
          <w:szCs w:val="22"/>
        </w:rPr>
        <w:t>PA &lt; 6 years and PA &gt; 2 units/day</w:t>
      </w:r>
    </w:p>
    <w:p w14:paraId="1B46F0B3" w14:textId="77777777" w:rsidR="00A24049" w:rsidRPr="00C1032A" w:rsidRDefault="00A24049" w:rsidP="00A24049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2F189C">
        <w:rPr>
          <w:rFonts w:ascii="Arial" w:hAnsi="Arial" w:cs="Arial"/>
          <w:sz w:val="22"/>
          <w:szCs w:val="22"/>
        </w:rPr>
        <w:t xml:space="preserve">Effective </w:t>
      </w:r>
      <w:r>
        <w:rPr>
          <w:rFonts w:ascii="Arial" w:hAnsi="Arial" w:cs="Arial"/>
          <w:sz w:val="22"/>
          <w:szCs w:val="22"/>
        </w:rPr>
        <w:t xml:space="preserve">June 28, 2021, </w:t>
      </w:r>
      <w:r w:rsidRPr="002F189C">
        <w:rPr>
          <w:rFonts w:ascii="Arial" w:hAnsi="Arial" w:cs="Arial"/>
          <w:sz w:val="22"/>
          <w:szCs w:val="22"/>
        </w:rPr>
        <w:t xml:space="preserve">the following </w:t>
      </w:r>
      <w:r>
        <w:rPr>
          <w:rFonts w:ascii="Arial" w:hAnsi="Arial" w:cs="Arial"/>
          <w:sz w:val="22"/>
          <w:szCs w:val="22"/>
        </w:rPr>
        <w:t>antipsychotic agent</w:t>
      </w:r>
      <w:r w:rsidRPr="002F189C">
        <w:rPr>
          <w:rFonts w:ascii="Arial" w:hAnsi="Arial" w:cs="Arial"/>
          <w:sz w:val="22"/>
          <w:szCs w:val="22"/>
        </w:rPr>
        <w:t xml:space="preserve"> will require </w:t>
      </w:r>
      <w:r>
        <w:rPr>
          <w:rFonts w:ascii="Arial" w:hAnsi="Arial" w:cs="Arial"/>
          <w:color w:val="auto"/>
          <w:sz w:val="22"/>
          <w:szCs w:val="22"/>
        </w:rPr>
        <w:t>PA for all ages</w:t>
      </w:r>
      <w:r w:rsidRPr="002F189C">
        <w:rPr>
          <w:rFonts w:ascii="Arial" w:hAnsi="Arial" w:cs="Arial"/>
          <w:color w:val="auto"/>
          <w:sz w:val="22"/>
          <w:szCs w:val="22"/>
        </w:rPr>
        <w:t>.</w:t>
      </w:r>
    </w:p>
    <w:p w14:paraId="0B8CC3B2" w14:textId="77777777" w:rsidR="00A24049" w:rsidRPr="00C1032A" w:rsidRDefault="00A24049" w:rsidP="00A24049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C1032A">
        <w:rPr>
          <w:rFonts w:ascii="Arial" w:hAnsi="Arial" w:cs="Arial"/>
          <w:sz w:val="22"/>
          <w:szCs w:val="22"/>
        </w:rPr>
        <w:t xml:space="preserve">Risperdal M-Tab (risperidone </w:t>
      </w:r>
      <w:r>
        <w:rPr>
          <w:rFonts w:ascii="Arial" w:hAnsi="Arial" w:cs="Arial"/>
          <w:sz w:val="22"/>
          <w:szCs w:val="22"/>
        </w:rPr>
        <w:t>3</w:t>
      </w:r>
      <w:r w:rsidRPr="00C1032A">
        <w:rPr>
          <w:rFonts w:ascii="Arial" w:hAnsi="Arial" w:cs="Arial"/>
          <w:sz w:val="22"/>
          <w:szCs w:val="22"/>
        </w:rPr>
        <w:t xml:space="preserve"> mg orally disintegrating tablet) </w:t>
      </w:r>
      <w:r w:rsidRPr="00C1032A">
        <w:rPr>
          <w:rFonts w:ascii="Arial" w:hAnsi="Arial" w:cs="Arial"/>
          <w:bCs/>
          <w:sz w:val="22"/>
          <w:szCs w:val="22"/>
        </w:rPr>
        <w:t>–</w:t>
      </w:r>
      <w:r w:rsidRPr="00C1032A">
        <w:rPr>
          <w:rFonts w:ascii="Arial" w:hAnsi="Arial" w:cs="Arial"/>
          <w:b/>
          <w:sz w:val="22"/>
          <w:szCs w:val="22"/>
        </w:rPr>
        <w:t xml:space="preserve"> PA</w:t>
      </w:r>
    </w:p>
    <w:p w14:paraId="323C2DC6" w14:textId="77777777" w:rsidR="00A24049" w:rsidRPr="005C6589" w:rsidRDefault="00A24049" w:rsidP="00A24049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5C6589">
        <w:rPr>
          <w:rFonts w:ascii="Arial" w:hAnsi="Arial" w:cs="Arial"/>
          <w:sz w:val="22"/>
          <w:szCs w:val="22"/>
        </w:rPr>
        <w:t xml:space="preserve">Effective </w:t>
      </w:r>
      <w:r>
        <w:rPr>
          <w:rFonts w:ascii="Arial" w:hAnsi="Arial" w:cs="Arial"/>
          <w:sz w:val="22"/>
          <w:szCs w:val="22"/>
        </w:rPr>
        <w:t>June 28, 2021</w:t>
      </w:r>
      <w:r w:rsidRPr="005C6589">
        <w:rPr>
          <w:rFonts w:ascii="Arial" w:hAnsi="Arial" w:cs="Arial"/>
          <w:sz w:val="22"/>
          <w:szCs w:val="22"/>
        </w:rPr>
        <w:t xml:space="preserve">, the following anticonvulsant </w:t>
      </w:r>
      <w:r>
        <w:rPr>
          <w:rFonts w:ascii="Arial" w:hAnsi="Arial" w:cs="Arial"/>
          <w:sz w:val="22"/>
          <w:szCs w:val="22"/>
        </w:rPr>
        <w:t xml:space="preserve">agent </w:t>
      </w:r>
      <w:r w:rsidRPr="005C6589">
        <w:rPr>
          <w:rFonts w:ascii="Arial" w:hAnsi="Arial" w:cs="Arial"/>
          <w:sz w:val="22"/>
          <w:szCs w:val="22"/>
        </w:rPr>
        <w:t xml:space="preserve">will require </w:t>
      </w:r>
      <w:r>
        <w:rPr>
          <w:rFonts w:ascii="Arial" w:hAnsi="Arial" w:cs="Arial"/>
          <w:color w:val="auto"/>
          <w:sz w:val="22"/>
          <w:szCs w:val="22"/>
        </w:rPr>
        <w:t>PA</w:t>
      </w:r>
      <w:r w:rsidRPr="005C6589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when exceeding </w:t>
      </w:r>
      <w:r w:rsidRPr="005C6589">
        <w:rPr>
          <w:rFonts w:ascii="Arial" w:hAnsi="Arial" w:cs="Arial"/>
          <w:color w:val="auto"/>
          <w:sz w:val="22"/>
          <w:szCs w:val="22"/>
        </w:rPr>
        <w:t xml:space="preserve">newly established dosing limits. </w:t>
      </w:r>
      <w:r w:rsidRPr="005C6589">
        <w:rPr>
          <w:rFonts w:ascii="Arial" w:hAnsi="Arial" w:cs="Arial"/>
          <w:sz w:val="22"/>
          <w:szCs w:val="22"/>
        </w:rPr>
        <w:t xml:space="preserve">Pediatric Behavioral Health Medication Initiative criteria will still apply. For additional information, please see the Pediatric Behavioral Health Medication Initiative documents found at </w:t>
      </w:r>
      <w:hyperlink r:id="rId13" w:history="1">
        <w:r w:rsidRPr="005C6589">
          <w:rPr>
            <w:rStyle w:val="Hyperlink"/>
            <w:rFonts w:ascii="Arial" w:hAnsi="Arial" w:cs="Arial"/>
            <w:sz w:val="22"/>
            <w:szCs w:val="22"/>
          </w:rPr>
          <w:t>www.mass.gov/druglist</w:t>
        </w:r>
      </w:hyperlink>
      <w:r w:rsidRPr="005C6589">
        <w:rPr>
          <w:rFonts w:ascii="Arial" w:hAnsi="Arial" w:cs="Arial"/>
          <w:sz w:val="22"/>
          <w:szCs w:val="22"/>
        </w:rPr>
        <w:t>.</w:t>
      </w:r>
    </w:p>
    <w:p w14:paraId="49B4E1EA" w14:textId="77777777" w:rsidR="00A24049" w:rsidRPr="005C6589" w:rsidRDefault="00A24049" w:rsidP="00A24049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5C6589">
        <w:rPr>
          <w:rFonts w:ascii="Arial" w:hAnsi="Arial" w:cs="Arial"/>
          <w:sz w:val="22"/>
          <w:szCs w:val="22"/>
        </w:rPr>
        <w:t xml:space="preserve">Neurontin </w:t>
      </w:r>
      <w:r>
        <w:rPr>
          <w:rFonts w:ascii="Arial" w:hAnsi="Arial" w:cs="Arial"/>
          <w:sz w:val="22"/>
          <w:szCs w:val="22"/>
        </w:rPr>
        <w:t xml:space="preserve"># </w:t>
      </w:r>
      <w:r w:rsidRPr="005C6589">
        <w:rPr>
          <w:rFonts w:ascii="Arial" w:hAnsi="Arial" w:cs="Arial"/>
          <w:sz w:val="22"/>
          <w:szCs w:val="22"/>
        </w:rPr>
        <w:t xml:space="preserve">(gabapentin capsule, solution, tablet) – </w:t>
      </w:r>
      <w:r w:rsidRPr="005C6589">
        <w:rPr>
          <w:rFonts w:ascii="Arial" w:hAnsi="Arial" w:cs="Arial"/>
          <w:b/>
          <w:bCs/>
          <w:sz w:val="22"/>
          <w:szCs w:val="22"/>
        </w:rPr>
        <w:t>PA</w:t>
      </w:r>
      <w:r>
        <w:rPr>
          <w:rFonts w:ascii="Arial" w:hAnsi="Arial" w:cs="Arial"/>
          <w:b/>
          <w:bCs/>
          <w:sz w:val="22"/>
          <w:szCs w:val="22"/>
        </w:rPr>
        <w:t xml:space="preserve"> &lt;</w:t>
      </w:r>
      <w:r w:rsidRPr="005C6589">
        <w:rPr>
          <w:rFonts w:ascii="Arial" w:hAnsi="Arial" w:cs="Arial"/>
          <w:b/>
          <w:bCs/>
          <w:sz w:val="22"/>
          <w:szCs w:val="22"/>
        </w:rPr>
        <w:t xml:space="preserve"> 6 years and PA &gt; 3600 mg/day</w:t>
      </w:r>
    </w:p>
    <w:p w14:paraId="3B4BB7CF" w14:textId="77777777" w:rsidR="00A24049" w:rsidRPr="00D42282" w:rsidRDefault="00A24049" w:rsidP="00A24049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D42282">
        <w:rPr>
          <w:rFonts w:ascii="Arial" w:hAnsi="Arial" w:cs="Arial"/>
          <w:sz w:val="22"/>
          <w:szCs w:val="22"/>
        </w:rPr>
        <w:t xml:space="preserve">Effective </w:t>
      </w:r>
      <w:r>
        <w:rPr>
          <w:rFonts w:ascii="Arial" w:hAnsi="Arial" w:cs="Arial"/>
          <w:sz w:val="22"/>
          <w:szCs w:val="22"/>
        </w:rPr>
        <w:t>June 28, 2021</w:t>
      </w:r>
      <w:r w:rsidRPr="00D42282">
        <w:rPr>
          <w:rFonts w:ascii="Arial" w:hAnsi="Arial" w:cs="Arial"/>
          <w:sz w:val="22"/>
          <w:szCs w:val="22"/>
        </w:rPr>
        <w:t>, the following injectable antibiotic</w:t>
      </w:r>
      <w:r>
        <w:rPr>
          <w:rFonts w:ascii="Arial" w:hAnsi="Arial" w:cs="Arial"/>
          <w:sz w:val="22"/>
          <w:szCs w:val="22"/>
        </w:rPr>
        <w:t xml:space="preserve"> agents</w:t>
      </w:r>
      <w:r w:rsidRPr="00D42282">
        <w:rPr>
          <w:rFonts w:ascii="Arial" w:hAnsi="Arial" w:cs="Arial"/>
          <w:sz w:val="22"/>
          <w:szCs w:val="22"/>
        </w:rPr>
        <w:t xml:space="preserve"> will no longer require </w:t>
      </w:r>
      <w:r>
        <w:rPr>
          <w:rFonts w:ascii="Arial" w:hAnsi="Arial" w:cs="Arial"/>
          <w:sz w:val="22"/>
          <w:szCs w:val="22"/>
        </w:rPr>
        <w:t>PA</w:t>
      </w:r>
      <w:r w:rsidRPr="00D42282">
        <w:rPr>
          <w:rFonts w:ascii="Arial" w:hAnsi="Arial" w:cs="Arial"/>
          <w:sz w:val="22"/>
          <w:szCs w:val="22"/>
        </w:rPr>
        <w:t xml:space="preserve">. </w:t>
      </w:r>
    </w:p>
    <w:p w14:paraId="62D745F5" w14:textId="77777777" w:rsidR="00A24049" w:rsidRPr="00D42282" w:rsidRDefault="00A24049" w:rsidP="00A24049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D42282">
        <w:rPr>
          <w:rFonts w:ascii="Arial" w:hAnsi="Arial" w:cs="Arial"/>
          <w:sz w:val="22"/>
          <w:szCs w:val="22"/>
        </w:rPr>
        <w:t>Cubicin</w:t>
      </w:r>
      <w:proofErr w:type="spellEnd"/>
      <w:r w:rsidRPr="00D42282">
        <w:rPr>
          <w:rFonts w:ascii="Arial" w:hAnsi="Arial" w:cs="Arial"/>
          <w:sz w:val="22"/>
          <w:szCs w:val="22"/>
        </w:rPr>
        <w:t xml:space="preserve"> # (daptomycin)</w:t>
      </w:r>
    </w:p>
    <w:p w14:paraId="77A3A5F6" w14:textId="77777777" w:rsidR="00A24049" w:rsidRDefault="00A24049" w:rsidP="00A24049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42282">
        <w:rPr>
          <w:rFonts w:ascii="Arial" w:hAnsi="Arial" w:cs="Arial"/>
          <w:sz w:val="22"/>
          <w:szCs w:val="22"/>
        </w:rPr>
        <w:t>aptomycin</w:t>
      </w:r>
    </w:p>
    <w:p w14:paraId="5C22C607" w14:textId="77777777" w:rsidR="00A24049" w:rsidRDefault="00A24049" w:rsidP="00A24049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Effective June 28, 2021, the following glaucoma agent will no longer require PA.</w:t>
      </w:r>
    </w:p>
    <w:p w14:paraId="3D13D788" w14:textId="77777777" w:rsidR="00A24049" w:rsidRDefault="00A24049" w:rsidP="00A24049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Azopt</w:t>
      </w:r>
      <w:proofErr w:type="spellEnd"/>
      <w:r>
        <w:rPr>
          <w:rFonts w:ascii="Arial" w:hAnsi="Arial" w:cs="Arial"/>
          <w:sz w:val="22"/>
          <w:szCs w:val="22"/>
        </w:rPr>
        <w:t xml:space="preserve"> (brinzolamide</w:t>
      </w:r>
      <w:r w:rsidRPr="00F42B5D">
        <w:rPr>
          <w:rFonts w:ascii="Arial" w:hAnsi="Arial" w:cs="Arial"/>
          <w:sz w:val="22"/>
          <w:szCs w:val="22"/>
        </w:rPr>
        <w:t>)</w:t>
      </w:r>
      <w:r w:rsidRPr="00F42B5D">
        <w:rPr>
          <w:rFonts w:ascii="Arial" w:hAnsi="Arial" w:cs="Arial"/>
          <w:sz w:val="22"/>
          <w:szCs w:val="22"/>
          <w:vertAlign w:val="superscript"/>
        </w:rPr>
        <w:t xml:space="preserve"> BP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403FD8" w14:textId="77777777" w:rsidR="00A24049" w:rsidRPr="00503039" w:rsidRDefault="00A24049" w:rsidP="00A24049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5C6589">
        <w:rPr>
          <w:rFonts w:ascii="Arial" w:hAnsi="Arial" w:cs="Arial"/>
          <w:sz w:val="22"/>
          <w:szCs w:val="22"/>
        </w:rPr>
        <w:t xml:space="preserve">Effective </w:t>
      </w:r>
      <w:r>
        <w:rPr>
          <w:rFonts w:ascii="Arial" w:hAnsi="Arial" w:cs="Arial"/>
          <w:sz w:val="22"/>
          <w:szCs w:val="22"/>
        </w:rPr>
        <w:t>June 28, 2021</w:t>
      </w:r>
      <w:r w:rsidRPr="005C6589">
        <w:rPr>
          <w:rFonts w:ascii="Arial" w:hAnsi="Arial" w:cs="Arial"/>
          <w:sz w:val="22"/>
          <w:szCs w:val="22"/>
        </w:rPr>
        <w:t xml:space="preserve">, the following </w:t>
      </w:r>
      <w:r>
        <w:rPr>
          <w:rFonts w:ascii="Arial" w:hAnsi="Arial" w:cs="Arial"/>
          <w:sz w:val="22"/>
          <w:szCs w:val="22"/>
        </w:rPr>
        <w:t>hereditary angioedema agent</w:t>
      </w:r>
      <w:r w:rsidRPr="005C6589">
        <w:rPr>
          <w:rFonts w:ascii="Arial" w:hAnsi="Arial" w:cs="Arial"/>
          <w:sz w:val="22"/>
          <w:szCs w:val="22"/>
        </w:rPr>
        <w:t xml:space="preserve"> will require </w:t>
      </w:r>
      <w:r>
        <w:rPr>
          <w:rFonts w:ascii="Arial" w:hAnsi="Arial" w:cs="Arial"/>
          <w:color w:val="auto"/>
          <w:sz w:val="22"/>
          <w:szCs w:val="22"/>
        </w:rPr>
        <w:t>PA.</w:t>
      </w:r>
    </w:p>
    <w:p w14:paraId="64DE073A" w14:textId="77777777" w:rsidR="00A24049" w:rsidRPr="001B3BF2" w:rsidRDefault="00A24049" w:rsidP="00A24049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503039">
        <w:rPr>
          <w:rFonts w:ascii="Arial" w:hAnsi="Arial" w:cs="Arial"/>
          <w:sz w:val="22"/>
          <w:szCs w:val="22"/>
        </w:rPr>
        <w:t>Kalbitor</w:t>
      </w:r>
      <w:proofErr w:type="spellEnd"/>
      <w:r w:rsidRPr="0050303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03039">
        <w:rPr>
          <w:rFonts w:ascii="Arial" w:hAnsi="Arial" w:cs="Arial"/>
          <w:sz w:val="22"/>
          <w:szCs w:val="22"/>
        </w:rPr>
        <w:t>ecallantide</w:t>
      </w:r>
      <w:proofErr w:type="spellEnd"/>
      <w:r w:rsidRPr="00503039">
        <w:rPr>
          <w:rFonts w:ascii="Arial" w:hAnsi="Arial" w:cs="Arial"/>
          <w:sz w:val="22"/>
          <w:szCs w:val="22"/>
        </w:rPr>
        <w:t xml:space="preserve">) ^ </w:t>
      </w:r>
      <w:r w:rsidRPr="003B6F3A">
        <w:rPr>
          <w:rFonts w:ascii="Arial" w:hAnsi="Arial" w:cs="Arial"/>
          <w:sz w:val="22"/>
          <w:szCs w:val="22"/>
        </w:rPr>
        <w:t>–</w:t>
      </w:r>
      <w:r w:rsidRPr="00503039">
        <w:rPr>
          <w:rFonts w:ascii="Arial" w:hAnsi="Arial" w:cs="Arial"/>
          <w:b/>
          <w:bCs/>
          <w:sz w:val="22"/>
          <w:szCs w:val="22"/>
        </w:rPr>
        <w:t xml:space="preserve"> PA</w:t>
      </w:r>
    </w:p>
    <w:p w14:paraId="34C81A08" w14:textId="77777777" w:rsidR="00A24049" w:rsidRPr="00503039" w:rsidRDefault="00A24049" w:rsidP="00A24049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5C6589">
        <w:rPr>
          <w:rFonts w:ascii="Arial" w:hAnsi="Arial" w:cs="Arial"/>
          <w:sz w:val="22"/>
          <w:szCs w:val="22"/>
        </w:rPr>
        <w:t xml:space="preserve">Effective </w:t>
      </w:r>
      <w:r>
        <w:rPr>
          <w:rFonts w:ascii="Arial" w:hAnsi="Arial" w:cs="Arial"/>
          <w:sz w:val="22"/>
          <w:szCs w:val="22"/>
        </w:rPr>
        <w:t>June 28, 2021</w:t>
      </w:r>
      <w:r w:rsidRPr="005C6589">
        <w:rPr>
          <w:rFonts w:ascii="Arial" w:hAnsi="Arial" w:cs="Arial"/>
          <w:sz w:val="22"/>
          <w:szCs w:val="22"/>
        </w:rPr>
        <w:t xml:space="preserve">, the following </w:t>
      </w:r>
      <w:r>
        <w:rPr>
          <w:rFonts w:ascii="Arial" w:hAnsi="Arial" w:cs="Arial"/>
          <w:sz w:val="22"/>
          <w:szCs w:val="22"/>
        </w:rPr>
        <w:t>o</w:t>
      </w:r>
      <w:r w:rsidRPr="001B3BF2">
        <w:rPr>
          <w:rFonts w:ascii="Arial" w:hAnsi="Arial" w:cs="Arial"/>
          <w:sz w:val="22"/>
          <w:szCs w:val="22"/>
        </w:rPr>
        <w:t xml:space="preserve">ncology </w:t>
      </w:r>
      <w:r>
        <w:rPr>
          <w:rFonts w:ascii="Arial" w:hAnsi="Arial" w:cs="Arial"/>
          <w:sz w:val="22"/>
          <w:szCs w:val="22"/>
        </w:rPr>
        <w:t>a</w:t>
      </w:r>
      <w:r w:rsidRPr="001B3BF2">
        <w:rPr>
          <w:rFonts w:ascii="Arial" w:hAnsi="Arial" w:cs="Arial"/>
          <w:sz w:val="22"/>
          <w:szCs w:val="22"/>
        </w:rPr>
        <w:t>gent</w:t>
      </w:r>
      <w:r w:rsidRPr="005C6589">
        <w:rPr>
          <w:rFonts w:ascii="Arial" w:hAnsi="Arial" w:cs="Arial"/>
          <w:sz w:val="22"/>
          <w:szCs w:val="22"/>
        </w:rPr>
        <w:t xml:space="preserve"> will require </w:t>
      </w:r>
      <w:r>
        <w:rPr>
          <w:rFonts w:ascii="Arial" w:hAnsi="Arial" w:cs="Arial"/>
          <w:color w:val="auto"/>
          <w:sz w:val="22"/>
          <w:szCs w:val="22"/>
        </w:rPr>
        <w:t>PA.</w:t>
      </w:r>
    </w:p>
    <w:p w14:paraId="18C7D527" w14:textId="41208F77" w:rsidR="00EC1DF6" w:rsidRPr="00EC1DF6" w:rsidRDefault="00A24049" w:rsidP="00EC1DF6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EC1DF6">
        <w:rPr>
          <w:rFonts w:ascii="Arial" w:hAnsi="Arial" w:cs="Arial"/>
          <w:sz w:val="22"/>
          <w:szCs w:val="22"/>
        </w:rPr>
        <w:t xml:space="preserve">Herceptin (trastuzumab) – </w:t>
      </w:r>
      <w:r w:rsidRPr="00EC1DF6">
        <w:rPr>
          <w:rFonts w:ascii="Arial" w:hAnsi="Arial" w:cs="Arial"/>
          <w:b/>
          <w:bCs/>
          <w:sz w:val="22"/>
          <w:szCs w:val="22"/>
        </w:rPr>
        <w:t>PA</w:t>
      </w:r>
    </w:p>
    <w:p w14:paraId="4FFDB59E" w14:textId="603602A0" w:rsidR="00EC1DF6" w:rsidRPr="00EC1DF6" w:rsidRDefault="00EC1DF6" w:rsidP="00EC1DF6">
      <w:pPr>
        <w:pStyle w:val="Default"/>
        <w:numPr>
          <w:ilvl w:val="0"/>
          <w:numId w:val="4"/>
        </w:numPr>
        <w:adjustRightInd/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3" w:name="_Hlk75185786"/>
      <w:r w:rsidRPr="00EC1DF6">
        <w:rPr>
          <w:rFonts w:ascii="Arial" w:hAnsi="Arial" w:cs="Arial"/>
          <w:color w:val="auto"/>
          <w:sz w:val="22"/>
          <w:szCs w:val="22"/>
        </w:rPr>
        <w:t xml:space="preserve">Effective July 1, 2021, the following antiretroviral/HIV agent will no longer require </w:t>
      </w:r>
      <w:r w:rsidR="0075587C">
        <w:rPr>
          <w:rFonts w:ascii="Arial" w:hAnsi="Arial" w:cs="Arial"/>
          <w:color w:val="auto"/>
          <w:sz w:val="22"/>
          <w:szCs w:val="22"/>
        </w:rPr>
        <w:t>PA</w:t>
      </w:r>
      <w:r w:rsidRPr="00EC1DF6">
        <w:rPr>
          <w:rFonts w:ascii="Arial" w:hAnsi="Arial" w:cs="Arial"/>
          <w:color w:val="auto"/>
          <w:sz w:val="22"/>
          <w:szCs w:val="22"/>
        </w:rPr>
        <w:t>.</w:t>
      </w:r>
    </w:p>
    <w:p w14:paraId="192C975C" w14:textId="2B9BEE12" w:rsidR="00EC1DF6" w:rsidRPr="00EC1DF6" w:rsidRDefault="00EC1DF6" w:rsidP="00EC1DF6">
      <w:pPr>
        <w:pStyle w:val="Default"/>
        <w:numPr>
          <w:ilvl w:val="1"/>
          <w:numId w:val="4"/>
        </w:numPr>
        <w:tabs>
          <w:tab w:val="center" w:pos="720"/>
        </w:tabs>
        <w:adjustRightInd/>
        <w:spacing w:line="276" w:lineRule="auto"/>
        <w:ind w:left="720"/>
        <w:rPr>
          <w:rFonts w:ascii="Arial" w:eastAsiaTheme="minorHAnsi" w:hAnsi="Arial" w:cs="Arial"/>
          <w:color w:val="auto"/>
          <w:sz w:val="22"/>
          <w:szCs w:val="22"/>
        </w:rPr>
      </w:pPr>
      <w:bookmarkStart w:id="4" w:name="_Hlk75190390"/>
      <w:bookmarkEnd w:id="3"/>
      <w:proofErr w:type="spellStart"/>
      <w:r w:rsidRPr="00EC1DF6">
        <w:rPr>
          <w:rFonts w:ascii="Arial" w:hAnsi="Arial" w:cs="Arial"/>
          <w:color w:val="auto"/>
          <w:sz w:val="22"/>
          <w:szCs w:val="22"/>
        </w:rPr>
        <w:t>Cabenuva</w:t>
      </w:r>
      <w:bookmarkStart w:id="5" w:name="_Hlk75190487"/>
      <w:proofErr w:type="spellEnd"/>
      <w:r w:rsidRPr="00EC1DF6">
        <w:rPr>
          <w:rFonts w:ascii="Arial" w:hAnsi="Arial" w:cs="Arial"/>
          <w:color w:val="auto"/>
          <w:sz w:val="22"/>
          <w:szCs w:val="22"/>
        </w:rPr>
        <w:t xml:space="preserve"> (cabotegravir/</w:t>
      </w:r>
      <w:proofErr w:type="spellStart"/>
      <w:r w:rsidRPr="00EC1DF6">
        <w:rPr>
          <w:rFonts w:ascii="Arial" w:hAnsi="Arial" w:cs="Arial"/>
          <w:color w:val="auto"/>
          <w:sz w:val="22"/>
          <w:szCs w:val="22"/>
        </w:rPr>
        <w:t>rilpivirine</w:t>
      </w:r>
      <w:proofErr w:type="spellEnd"/>
      <w:r w:rsidRPr="00EC1DF6">
        <w:rPr>
          <w:rFonts w:ascii="Arial" w:hAnsi="Arial" w:cs="Arial"/>
          <w:color w:val="auto"/>
          <w:sz w:val="22"/>
          <w:szCs w:val="22"/>
        </w:rPr>
        <w:t xml:space="preserve">) </w:t>
      </w:r>
      <w:bookmarkEnd w:id="5"/>
      <w:r w:rsidRPr="00EC1DF6">
        <w:rPr>
          <w:rFonts w:ascii="Arial" w:hAnsi="Arial" w:cs="Arial"/>
          <w:color w:val="auto"/>
          <w:sz w:val="22"/>
          <w:szCs w:val="22"/>
          <w:vertAlign w:val="superscript"/>
        </w:rPr>
        <w:t>PD</w:t>
      </w:r>
      <w:bookmarkEnd w:id="4"/>
    </w:p>
    <w:p w14:paraId="161285CE" w14:textId="77777777" w:rsidR="00A24049" w:rsidRDefault="00A24049" w:rsidP="00A24049">
      <w:pPr>
        <w:pStyle w:val="Default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FA3EC4D" w14:textId="77777777" w:rsidR="00A24049" w:rsidRPr="005D4773" w:rsidRDefault="00A24049" w:rsidP="005D4773">
      <w:pPr>
        <w:rPr>
          <w:rFonts w:ascii="Arial Black" w:hAnsi="Arial Black"/>
        </w:rPr>
      </w:pPr>
      <w:r w:rsidRPr="005D4773">
        <w:rPr>
          <w:rFonts w:ascii="Arial Black" w:hAnsi="Arial Black"/>
        </w:rPr>
        <w:t>Updated MassHealth Brand Name Preferred Over Generic Drug List</w:t>
      </w:r>
    </w:p>
    <w:p w14:paraId="2EAD3637" w14:textId="77777777" w:rsidR="005D4773" w:rsidRDefault="005D4773" w:rsidP="00A24049">
      <w:pPr>
        <w:rPr>
          <w:sz w:val="21"/>
          <w:szCs w:val="21"/>
        </w:rPr>
      </w:pPr>
    </w:p>
    <w:p w14:paraId="4605B991" w14:textId="77777777" w:rsidR="00A24049" w:rsidRPr="005D4773" w:rsidRDefault="00A24049" w:rsidP="0094331C">
      <w:pPr>
        <w:rPr>
          <w:rFonts w:ascii="Arial" w:hAnsi="Arial" w:cs="Arial"/>
          <w:sz w:val="22"/>
          <w:szCs w:val="22"/>
        </w:rPr>
      </w:pPr>
      <w:r w:rsidRPr="005D4773">
        <w:rPr>
          <w:rFonts w:ascii="Arial" w:hAnsi="Arial" w:cs="Arial"/>
          <w:sz w:val="22"/>
          <w:szCs w:val="22"/>
        </w:rPr>
        <w:t>The MassHealth Brand Name Preferred Over Generic Drug List has been updated to reflect recent changes to the MassHealth Drug List.</w:t>
      </w:r>
    </w:p>
    <w:p w14:paraId="64ACC47E" w14:textId="77777777" w:rsidR="00A24049" w:rsidRPr="005D4773" w:rsidRDefault="00A24049" w:rsidP="00CD01BB">
      <w:pPr>
        <w:pStyle w:val="Default"/>
        <w:numPr>
          <w:ilvl w:val="0"/>
          <w:numId w:val="29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bookmarkStart w:id="6" w:name="_Hlk14249184"/>
      <w:bookmarkStart w:id="7" w:name="_Hlk536624120"/>
      <w:r w:rsidRPr="005D4773">
        <w:rPr>
          <w:rFonts w:ascii="Arial" w:hAnsi="Arial" w:cs="Arial"/>
          <w:sz w:val="22"/>
          <w:szCs w:val="22"/>
        </w:rPr>
        <w:t xml:space="preserve">Effective June 28, 2021, the following agents will be added to the MassHealth Brand Name Preferred Over Generic Drug List. </w:t>
      </w:r>
    </w:p>
    <w:p w14:paraId="52FB074A" w14:textId="77777777" w:rsidR="00A24049" w:rsidRPr="005D4773" w:rsidRDefault="00A24049" w:rsidP="00CD01BB">
      <w:pPr>
        <w:pStyle w:val="Default"/>
        <w:numPr>
          <w:ilvl w:val="0"/>
          <w:numId w:val="6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bookmarkStart w:id="8" w:name="_Hlk74140358"/>
      <w:proofErr w:type="spellStart"/>
      <w:r w:rsidRPr="005D4773">
        <w:rPr>
          <w:rFonts w:ascii="Arial" w:hAnsi="Arial" w:cs="Arial"/>
          <w:sz w:val="22"/>
          <w:szCs w:val="22"/>
        </w:rPr>
        <w:t>Bepreve</w:t>
      </w:r>
      <w:proofErr w:type="spellEnd"/>
      <w:r w:rsidRPr="005D477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D4773">
        <w:rPr>
          <w:rFonts w:ascii="Arial" w:hAnsi="Arial" w:cs="Arial"/>
          <w:sz w:val="22"/>
          <w:szCs w:val="22"/>
        </w:rPr>
        <w:t>bepotastine</w:t>
      </w:r>
      <w:proofErr w:type="spellEnd"/>
      <w:r w:rsidRPr="005D4773">
        <w:rPr>
          <w:rFonts w:ascii="Arial" w:hAnsi="Arial" w:cs="Arial"/>
          <w:sz w:val="22"/>
          <w:szCs w:val="22"/>
        </w:rPr>
        <w:t xml:space="preserve">) </w:t>
      </w:r>
      <w:r w:rsidRPr="005D4773">
        <w:rPr>
          <w:rFonts w:ascii="Arial" w:hAnsi="Arial" w:cs="Arial"/>
          <w:sz w:val="22"/>
          <w:szCs w:val="22"/>
          <w:vertAlign w:val="superscript"/>
        </w:rPr>
        <w:t>BP</w:t>
      </w:r>
    </w:p>
    <w:bookmarkEnd w:id="8"/>
    <w:p w14:paraId="035382D8" w14:textId="77777777" w:rsidR="00A24049" w:rsidRPr="005D4773" w:rsidRDefault="00A24049" w:rsidP="00CD01BB">
      <w:pPr>
        <w:pStyle w:val="Default"/>
        <w:numPr>
          <w:ilvl w:val="0"/>
          <w:numId w:val="6"/>
        </w:numPr>
        <w:spacing w:line="276" w:lineRule="auto"/>
        <w:ind w:left="360" w:firstLin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D4773">
        <w:rPr>
          <w:rFonts w:ascii="Arial" w:hAnsi="Arial" w:cs="Arial"/>
          <w:sz w:val="22"/>
          <w:szCs w:val="22"/>
        </w:rPr>
        <w:t>Combigan</w:t>
      </w:r>
      <w:proofErr w:type="spellEnd"/>
      <w:r w:rsidRPr="005D4773">
        <w:rPr>
          <w:rFonts w:ascii="Arial" w:hAnsi="Arial" w:cs="Arial"/>
          <w:sz w:val="22"/>
          <w:szCs w:val="22"/>
        </w:rPr>
        <w:t xml:space="preserve"> (brimonidine/timolol, </w:t>
      </w:r>
      <w:r w:rsidR="00CD01BB">
        <w:rPr>
          <w:rFonts w:ascii="Arial" w:hAnsi="Arial" w:cs="Arial"/>
          <w:sz w:val="22"/>
          <w:szCs w:val="22"/>
        </w:rPr>
        <w:tab/>
      </w:r>
      <w:r w:rsidRPr="005D4773">
        <w:rPr>
          <w:rFonts w:ascii="Arial" w:hAnsi="Arial" w:cs="Arial"/>
          <w:sz w:val="22"/>
          <w:szCs w:val="22"/>
        </w:rPr>
        <w:t xml:space="preserve">ophthalmic) </w:t>
      </w:r>
      <w:r w:rsidRPr="005D4773">
        <w:rPr>
          <w:rFonts w:ascii="Arial" w:hAnsi="Arial" w:cs="Arial"/>
          <w:sz w:val="22"/>
          <w:szCs w:val="22"/>
          <w:vertAlign w:val="superscript"/>
        </w:rPr>
        <w:t>BP</w:t>
      </w:r>
    </w:p>
    <w:p w14:paraId="35CF4D98" w14:textId="77777777" w:rsidR="00A24049" w:rsidRPr="005D4773" w:rsidRDefault="00A24049" w:rsidP="00CD01BB">
      <w:pPr>
        <w:pStyle w:val="Default"/>
        <w:numPr>
          <w:ilvl w:val="0"/>
          <w:numId w:val="6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proofErr w:type="spellStart"/>
      <w:r w:rsidRPr="005D4773">
        <w:rPr>
          <w:rFonts w:ascii="Arial" w:hAnsi="Arial" w:cs="Arial"/>
          <w:sz w:val="22"/>
          <w:szCs w:val="22"/>
        </w:rPr>
        <w:t>Prezista</w:t>
      </w:r>
      <w:proofErr w:type="spellEnd"/>
      <w:r w:rsidRPr="005D4773">
        <w:rPr>
          <w:rFonts w:ascii="Arial" w:hAnsi="Arial" w:cs="Arial"/>
          <w:sz w:val="22"/>
          <w:szCs w:val="22"/>
        </w:rPr>
        <w:t xml:space="preserve"> (darunavir) </w:t>
      </w:r>
      <w:r w:rsidRPr="005D4773">
        <w:rPr>
          <w:rFonts w:ascii="Arial" w:hAnsi="Arial" w:cs="Arial"/>
          <w:sz w:val="22"/>
          <w:szCs w:val="22"/>
          <w:vertAlign w:val="superscript"/>
        </w:rPr>
        <w:t>BP PD</w:t>
      </w:r>
    </w:p>
    <w:p w14:paraId="6CE091BE" w14:textId="77777777" w:rsidR="00A24049" w:rsidRPr="005D4773" w:rsidRDefault="00A24049" w:rsidP="00CD01BB">
      <w:pPr>
        <w:pStyle w:val="Default"/>
        <w:numPr>
          <w:ilvl w:val="0"/>
          <w:numId w:val="6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proofErr w:type="spellStart"/>
      <w:r w:rsidRPr="005D4773">
        <w:rPr>
          <w:rFonts w:ascii="Arial" w:hAnsi="Arial" w:cs="Arial"/>
          <w:sz w:val="22"/>
          <w:szCs w:val="22"/>
        </w:rPr>
        <w:t>Revlimid</w:t>
      </w:r>
      <w:proofErr w:type="spellEnd"/>
      <w:r w:rsidRPr="005D4773">
        <w:rPr>
          <w:rFonts w:ascii="Arial" w:hAnsi="Arial" w:cs="Arial"/>
          <w:sz w:val="22"/>
          <w:szCs w:val="22"/>
        </w:rPr>
        <w:t xml:space="preserve"> (lenalidomide)</w:t>
      </w:r>
      <w:r w:rsidRPr="005D4773">
        <w:rPr>
          <w:rFonts w:ascii="Arial" w:hAnsi="Arial" w:cs="Arial"/>
          <w:sz w:val="22"/>
          <w:szCs w:val="22"/>
          <w:vertAlign w:val="superscript"/>
        </w:rPr>
        <w:t xml:space="preserve"> BP</w:t>
      </w:r>
      <w:r w:rsidRPr="005D4773">
        <w:rPr>
          <w:rFonts w:ascii="Arial" w:hAnsi="Arial" w:cs="Arial"/>
          <w:sz w:val="22"/>
          <w:szCs w:val="22"/>
        </w:rPr>
        <w:t xml:space="preserve"> – </w:t>
      </w:r>
      <w:r w:rsidRPr="005D4773">
        <w:rPr>
          <w:rFonts w:ascii="Arial" w:hAnsi="Arial" w:cs="Arial"/>
          <w:b/>
          <w:bCs/>
          <w:sz w:val="22"/>
          <w:szCs w:val="22"/>
        </w:rPr>
        <w:t>PA</w:t>
      </w:r>
      <w:r w:rsidRPr="005D4773">
        <w:rPr>
          <w:rFonts w:ascii="Arial" w:hAnsi="Arial" w:cs="Arial"/>
          <w:sz w:val="22"/>
          <w:szCs w:val="22"/>
        </w:rPr>
        <w:t xml:space="preserve"> </w:t>
      </w:r>
    </w:p>
    <w:p w14:paraId="7E44087A" w14:textId="77777777" w:rsidR="00A24049" w:rsidRPr="005D4773" w:rsidRDefault="00A24049" w:rsidP="00CD01BB">
      <w:pPr>
        <w:pStyle w:val="Default"/>
        <w:numPr>
          <w:ilvl w:val="0"/>
          <w:numId w:val="6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proofErr w:type="spellStart"/>
      <w:r w:rsidRPr="005D4773">
        <w:rPr>
          <w:rFonts w:ascii="Arial" w:hAnsi="Arial" w:cs="Arial"/>
          <w:sz w:val="22"/>
          <w:szCs w:val="22"/>
        </w:rPr>
        <w:t>Teflaro</w:t>
      </w:r>
      <w:proofErr w:type="spellEnd"/>
      <w:r w:rsidRPr="005D477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D4773">
        <w:rPr>
          <w:rFonts w:ascii="Arial" w:hAnsi="Arial" w:cs="Arial"/>
          <w:sz w:val="22"/>
          <w:szCs w:val="22"/>
        </w:rPr>
        <w:t>ceftaroline</w:t>
      </w:r>
      <w:proofErr w:type="spellEnd"/>
      <w:r w:rsidRPr="005D4773">
        <w:rPr>
          <w:rFonts w:ascii="Arial" w:hAnsi="Arial" w:cs="Arial"/>
          <w:sz w:val="22"/>
          <w:szCs w:val="22"/>
        </w:rPr>
        <w:t>)</w:t>
      </w:r>
      <w:r w:rsidRPr="005D4773">
        <w:rPr>
          <w:rFonts w:ascii="Arial" w:hAnsi="Arial" w:cs="Arial"/>
          <w:sz w:val="22"/>
          <w:szCs w:val="22"/>
          <w:vertAlign w:val="superscript"/>
        </w:rPr>
        <w:t xml:space="preserve"> BP</w:t>
      </w:r>
      <w:r w:rsidRPr="005D4773">
        <w:rPr>
          <w:rFonts w:ascii="Arial" w:hAnsi="Arial" w:cs="Arial"/>
          <w:sz w:val="22"/>
          <w:szCs w:val="22"/>
        </w:rPr>
        <w:t xml:space="preserve"> – </w:t>
      </w:r>
      <w:r w:rsidRPr="005D4773">
        <w:rPr>
          <w:rFonts w:ascii="Arial" w:hAnsi="Arial" w:cs="Arial"/>
          <w:b/>
          <w:bCs/>
          <w:sz w:val="22"/>
          <w:szCs w:val="22"/>
        </w:rPr>
        <w:t>PA</w:t>
      </w:r>
      <w:r w:rsidRPr="005D4773">
        <w:rPr>
          <w:rFonts w:ascii="Arial" w:hAnsi="Arial" w:cs="Arial"/>
          <w:sz w:val="22"/>
          <w:szCs w:val="22"/>
        </w:rPr>
        <w:t xml:space="preserve"> </w:t>
      </w:r>
    </w:p>
    <w:p w14:paraId="1306243D" w14:textId="77777777" w:rsidR="00A24049" w:rsidRPr="005D4773" w:rsidRDefault="00A24049" w:rsidP="00CD01BB">
      <w:pPr>
        <w:pStyle w:val="Default"/>
        <w:numPr>
          <w:ilvl w:val="0"/>
          <w:numId w:val="28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proofErr w:type="spellStart"/>
      <w:r w:rsidRPr="005D4773">
        <w:rPr>
          <w:rFonts w:ascii="Arial" w:hAnsi="Arial" w:cs="Arial"/>
          <w:sz w:val="22"/>
          <w:szCs w:val="22"/>
        </w:rPr>
        <w:t>Thiola</w:t>
      </w:r>
      <w:proofErr w:type="spellEnd"/>
      <w:r w:rsidRPr="005D4773">
        <w:rPr>
          <w:rFonts w:ascii="Arial" w:hAnsi="Arial" w:cs="Arial"/>
          <w:sz w:val="22"/>
          <w:szCs w:val="22"/>
        </w:rPr>
        <w:t xml:space="preserve"> (tiopronin) </w:t>
      </w:r>
      <w:r w:rsidRPr="005D4773">
        <w:rPr>
          <w:rFonts w:ascii="Arial" w:hAnsi="Arial" w:cs="Arial"/>
          <w:sz w:val="22"/>
          <w:szCs w:val="22"/>
          <w:vertAlign w:val="superscript"/>
        </w:rPr>
        <w:t>BP</w:t>
      </w:r>
    </w:p>
    <w:p w14:paraId="6DA8EBA2" w14:textId="77777777" w:rsidR="00A24049" w:rsidRPr="005D4773" w:rsidRDefault="00A24049" w:rsidP="00CD01BB">
      <w:pPr>
        <w:pStyle w:val="Default"/>
        <w:numPr>
          <w:ilvl w:val="0"/>
          <w:numId w:val="28"/>
        </w:numPr>
        <w:spacing w:line="276" w:lineRule="auto"/>
        <w:ind w:left="360" w:firstLine="0"/>
        <w:rPr>
          <w:rFonts w:ascii="Arial" w:hAnsi="Arial" w:cs="Arial"/>
          <w:sz w:val="22"/>
          <w:szCs w:val="22"/>
        </w:rPr>
      </w:pPr>
      <w:proofErr w:type="spellStart"/>
      <w:r w:rsidRPr="005D4773">
        <w:rPr>
          <w:rFonts w:ascii="Arial" w:hAnsi="Arial" w:cs="Arial"/>
          <w:sz w:val="22"/>
          <w:szCs w:val="22"/>
        </w:rPr>
        <w:t>Zoladex</w:t>
      </w:r>
      <w:proofErr w:type="spellEnd"/>
      <w:r w:rsidRPr="005D477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D4773">
        <w:rPr>
          <w:rFonts w:ascii="Arial" w:hAnsi="Arial" w:cs="Arial"/>
          <w:sz w:val="22"/>
          <w:szCs w:val="22"/>
        </w:rPr>
        <w:t>goserelin</w:t>
      </w:r>
      <w:proofErr w:type="spellEnd"/>
      <w:r w:rsidRPr="005D4773">
        <w:rPr>
          <w:rFonts w:ascii="Arial" w:hAnsi="Arial" w:cs="Arial"/>
          <w:sz w:val="22"/>
          <w:szCs w:val="22"/>
        </w:rPr>
        <w:t>)</w:t>
      </w:r>
      <w:r w:rsidRPr="005D4773">
        <w:rPr>
          <w:rFonts w:ascii="Arial" w:hAnsi="Arial" w:cs="Arial"/>
          <w:sz w:val="22"/>
          <w:szCs w:val="22"/>
          <w:vertAlign w:val="superscript"/>
        </w:rPr>
        <w:t xml:space="preserve"> BP</w:t>
      </w:r>
      <w:r w:rsidRPr="005D4773">
        <w:rPr>
          <w:rFonts w:ascii="Arial" w:hAnsi="Arial" w:cs="Arial"/>
          <w:sz w:val="22"/>
          <w:szCs w:val="22"/>
        </w:rPr>
        <w:t xml:space="preserve"> – </w:t>
      </w:r>
      <w:r w:rsidRPr="005D4773">
        <w:rPr>
          <w:rFonts w:ascii="Arial" w:hAnsi="Arial" w:cs="Arial"/>
          <w:b/>
          <w:bCs/>
          <w:sz w:val="22"/>
          <w:szCs w:val="22"/>
        </w:rPr>
        <w:t>PA</w:t>
      </w:r>
      <w:r w:rsidRPr="005D4773">
        <w:rPr>
          <w:rFonts w:ascii="Arial" w:hAnsi="Arial" w:cs="Arial"/>
          <w:sz w:val="22"/>
          <w:szCs w:val="22"/>
        </w:rPr>
        <w:t xml:space="preserve"> </w:t>
      </w:r>
    </w:p>
    <w:p w14:paraId="04649DE4" w14:textId="77777777" w:rsidR="00A24049" w:rsidRPr="005D4773" w:rsidRDefault="00A24049" w:rsidP="00CD01BB">
      <w:pPr>
        <w:pStyle w:val="Default"/>
        <w:numPr>
          <w:ilvl w:val="0"/>
          <w:numId w:val="29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D4773">
        <w:rPr>
          <w:rFonts w:ascii="Arial" w:hAnsi="Arial" w:cs="Arial"/>
          <w:sz w:val="22"/>
          <w:szCs w:val="22"/>
        </w:rPr>
        <w:t xml:space="preserve">Effective </w:t>
      </w:r>
      <w:r w:rsidRPr="005D4773">
        <w:rPr>
          <w:rFonts w:ascii="Arial" w:hAnsi="Arial" w:cs="Arial"/>
          <w:color w:val="auto"/>
          <w:sz w:val="22"/>
          <w:szCs w:val="22"/>
        </w:rPr>
        <w:t>June 28, 2021</w:t>
      </w:r>
      <w:r w:rsidRPr="005D4773">
        <w:rPr>
          <w:rFonts w:ascii="Arial" w:hAnsi="Arial" w:cs="Arial"/>
          <w:sz w:val="22"/>
          <w:szCs w:val="22"/>
        </w:rPr>
        <w:t xml:space="preserve">, the following agents will be removed from the MassHealth Brand Name Preferred Over Generic Drug List. </w:t>
      </w:r>
    </w:p>
    <w:bookmarkEnd w:id="6"/>
    <w:p w14:paraId="2309E702" w14:textId="77777777" w:rsidR="00A24049" w:rsidRPr="005D4773" w:rsidRDefault="00A24049" w:rsidP="005F4096">
      <w:pPr>
        <w:pStyle w:val="Default"/>
        <w:numPr>
          <w:ilvl w:val="0"/>
          <w:numId w:val="1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5D4773">
        <w:rPr>
          <w:rFonts w:ascii="Arial" w:hAnsi="Arial" w:cs="Arial"/>
          <w:sz w:val="22"/>
          <w:szCs w:val="22"/>
        </w:rPr>
        <w:t>Atripla</w:t>
      </w:r>
      <w:proofErr w:type="spellEnd"/>
      <w:r w:rsidRPr="005D4773">
        <w:rPr>
          <w:rFonts w:ascii="Arial" w:hAnsi="Arial" w:cs="Arial"/>
          <w:sz w:val="22"/>
          <w:szCs w:val="22"/>
        </w:rPr>
        <w:t xml:space="preserve"> # (efavirenz/emtricitabine/tenofovir)</w:t>
      </w:r>
    </w:p>
    <w:p w14:paraId="4DEFED86" w14:textId="77777777" w:rsidR="00A24049" w:rsidRPr="005D4773" w:rsidRDefault="00A24049" w:rsidP="005F4096">
      <w:pPr>
        <w:pStyle w:val="ListParagraph"/>
        <w:numPr>
          <w:ilvl w:val="0"/>
          <w:numId w:val="16"/>
        </w:numPr>
        <w:spacing w:after="20"/>
        <w:ind w:left="720" w:right="-180"/>
        <w:contextualSpacing/>
        <w:rPr>
          <w:rFonts w:ascii="Arial" w:hAnsi="Arial" w:cs="Arial"/>
          <w:sz w:val="22"/>
          <w:szCs w:val="22"/>
        </w:rPr>
      </w:pPr>
      <w:proofErr w:type="spellStart"/>
      <w:r w:rsidRPr="005D4773">
        <w:rPr>
          <w:rFonts w:ascii="Arial" w:hAnsi="Arial" w:cs="Arial"/>
          <w:sz w:val="22"/>
          <w:szCs w:val="22"/>
        </w:rPr>
        <w:t>Kaletra</w:t>
      </w:r>
      <w:proofErr w:type="spellEnd"/>
      <w:r w:rsidRPr="005D4773">
        <w:rPr>
          <w:rFonts w:ascii="Arial" w:hAnsi="Arial" w:cs="Arial"/>
          <w:sz w:val="22"/>
          <w:szCs w:val="22"/>
        </w:rPr>
        <w:t xml:space="preserve"> # (lopinavir/ritonavir)</w:t>
      </w:r>
    </w:p>
    <w:p w14:paraId="0878178F" w14:textId="77777777" w:rsidR="00A24049" w:rsidRPr="005D4773" w:rsidRDefault="00A24049" w:rsidP="005F4096">
      <w:pPr>
        <w:pStyle w:val="ListParagraph"/>
        <w:numPr>
          <w:ilvl w:val="0"/>
          <w:numId w:val="16"/>
        </w:numPr>
        <w:spacing w:after="20"/>
        <w:ind w:left="720" w:right="-180"/>
        <w:contextualSpacing/>
        <w:rPr>
          <w:rFonts w:ascii="Arial" w:hAnsi="Arial" w:cs="Arial"/>
          <w:b/>
          <w:bCs/>
          <w:sz w:val="22"/>
          <w:szCs w:val="22"/>
        </w:rPr>
      </w:pPr>
      <w:proofErr w:type="spellStart"/>
      <w:r w:rsidRPr="005D4773">
        <w:rPr>
          <w:rFonts w:ascii="Arial" w:hAnsi="Arial" w:cs="Arial"/>
          <w:sz w:val="22"/>
          <w:szCs w:val="22"/>
        </w:rPr>
        <w:t>Purixan</w:t>
      </w:r>
      <w:proofErr w:type="spellEnd"/>
      <w:r w:rsidRPr="005D4773">
        <w:rPr>
          <w:rFonts w:ascii="Arial" w:hAnsi="Arial" w:cs="Arial"/>
          <w:sz w:val="22"/>
          <w:szCs w:val="22"/>
        </w:rPr>
        <w:t xml:space="preserve"> (mercaptopurine oral suspension) – </w:t>
      </w:r>
      <w:r w:rsidRPr="005D4773">
        <w:rPr>
          <w:rFonts w:ascii="Arial" w:hAnsi="Arial" w:cs="Arial"/>
          <w:b/>
          <w:bCs/>
          <w:sz w:val="22"/>
          <w:szCs w:val="22"/>
        </w:rPr>
        <w:t xml:space="preserve">PA </w:t>
      </w:r>
    </w:p>
    <w:p w14:paraId="022C6F51" w14:textId="77777777" w:rsidR="00A24049" w:rsidRPr="005D4773" w:rsidRDefault="00A24049" w:rsidP="005F4096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20"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5D4773">
        <w:rPr>
          <w:rFonts w:ascii="Arial" w:eastAsia="Calibri" w:hAnsi="Arial" w:cs="Arial"/>
          <w:color w:val="000000"/>
          <w:sz w:val="22"/>
          <w:szCs w:val="22"/>
        </w:rPr>
        <w:t>Rapaflo</w:t>
      </w:r>
      <w:proofErr w:type="spellEnd"/>
      <w:r w:rsidRPr="005D4773">
        <w:rPr>
          <w:rFonts w:ascii="Arial" w:eastAsia="Calibri" w:hAnsi="Arial" w:cs="Arial"/>
          <w:color w:val="000000"/>
          <w:sz w:val="22"/>
          <w:szCs w:val="22"/>
        </w:rPr>
        <w:t xml:space="preserve"> (silodosin) – </w:t>
      </w:r>
      <w:r w:rsidRPr="005D4773">
        <w:rPr>
          <w:rFonts w:ascii="Arial" w:eastAsia="Calibri" w:hAnsi="Arial" w:cs="Arial"/>
          <w:b/>
          <w:bCs/>
          <w:color w:val="000000"/>
          <w:sz w:val="22"/>
          <w:szCs w:val="22"/>
        </w:rPr>
        <w:t>PA</w:t>
      </w:r>
    </w:p>
    <w:p w14:paraId="7DB729E6" w14:textId="77777777" w:rsidR="00A24049" w:rsidRPr="005D4773" w:rsidRDefault="00A24049" w:rsidP="005F4096">
      <w:pPr>
        <w:pStyle w:val="Default"/>
        <w:numPr>
          <w:ilvl w:val="0"/>
          <w:numId w:val="1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 w:rsidRPr="005D4773">
        <w:rPr>
          <w:rFonts w:ascii="Arial" w:hAnsi="Arial" w:cs="Arial"/>
          <w:sz w:val="22"/>
          <w:szCs w:val="22"/>
        </w:rPr>
        <w:t>Silenor</w:t>
      </w:r>
      <w:proofErr w:type="spellEnd"/>
      <w:r w:rsidRPr="005D4773">
        <w:rPr>
          <w:rFonts w:ascii="Arial" w:hAnsi="Arial" w:cs="Arial"/>
          <w:sz w:val="22"/>
          <w:szCs w:val="22"/>
        </w:rPr>
        <w:t xml:space="preserve"> (doxepin tablet) – </w:t>
      </w:r>
      <w:r w:rsidRPr="005D4773">
        <w:rPr>
          <w:rFonts w:ascii="Arial" w:hAnsi="Arial" w:cs="Arial"/>
          <w:b/>
          <w:bCs/>
          <w:sz w:val="22"/>
          <w:szCs w:val="22"/>
        </w:rPr>
        <w:t>PA</w:t>
      </w:r>
    </w:p>
    <w:p w14:paraId="76CF5497" w14:textId="77777777" w:rsidR="00A24049" w:rsidRPr="005D4773" w:rsidRDefault="00A24049" w:rsidP="005F4096">
      <w:pPr>
        <w:pStyle w:val="Default"/>
        <w:numPr>
          <w:ilvl w:val="0"/>
          <w:numId w:val="16"/>
        </w:numPr>
        <w:spacing w:line="276" w:lineRule="auto"/>
        <w:ind w:left="720"/>
        <w:rPr>
          <w:rFonts w:ascii="Arial" w:hAnsi="Arial" w:cs="Arial"/>
          <w:sz w:val="22"/>
          <w:szCs w:val="22"/>
        </w:rPr>
      </w:pPr>
      <w:bookmarkStart w:id="9" w:name="_Hlk74140384"/>
      <w:r w:rsidRPr="005D4773">
        <w:rPr>
          <w:rFonts w:ascii="Arial" w:hAnsi="Arial" w:cs="Arial"/>
          <w:sz w:val="22"/>
          <w:szCs w:val="22"/>
        </w:rPr>
        <w:t>Truvada # (emtricitabine/tenofovir disoproxil fumarate)</w:t>
      </w:r>
    </w:p>
    <w:bookmarkEnd w:id="7"/>
    <w:bookmarkEnd w:id="9"/>
    <w:p w14:paraId="0AED1554" w14:textId="77777777" w:rsidR="00F512EE" w:rsidRDefault="00F512EE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14:paraId="4457DD5B" w14:textId="77777777" w:rsidR="00EF7C8A" w:rsidRDefault="00F512EE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L</w:t>
      </w:r>
      <w:r w:rsidR="00EF7C8A" w:rsidRPr="006E1C33">
        <w:rPr>
          <w:rFonts w:ascii="Arial" w:hAnsi="Arial"/>
          <w:b/>
          <w:bCs/>
          <w:sz w:val="18"/>
          <w:szCs w:val="18"/>
        </w:rPr>
        <w:t>egend</w:t>
      </w:r>
    </w:p>
    <w:p w14:paraId="79D3BB7B" w14:textId="77777777" w:rsidR="00A356AC" w:rsidRDefault="00A356AC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</w:p>
    <w:p w14:paraId="4ACC4C34" w14:textId="77777777" w:rsidR="00E50862" w:rsidRDefault="00E50862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bCs/>
          <w:sz w:val="18"/>
          <w:szCs w:val="18"/>
        </w:rPr>
        <w:t>PA</w:t>
      </w:r>
      <w:r w:rsidR="009F052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14:paraId="1A943DBC" w14:textId="77777777" w:rsidR="009D6D73" w:rsidRDefault="009D6D73" w:rsidP="009F0526">
      <w:pPr>
        <w:shd w:val="clear" w:color="auto" w:fill="FFFFFF"/>
        <w:tabs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14:paraId="44111CC7" w14:textId="77777777" w:rsidR="009D6D73" w:rsidRPr="009D6D73" w:rsidRDefault="009D6D73" w:rsidP="009D6D73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 xml:space="preserve">#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10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10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14:paraId="5F89E312" w14:textId="77777777" w:rsidR="009D6D73" w:rsidRPr="005B15B3" w:rsidRDefault="009D6D73" w:rsidP="00E50862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22"/>
          <w:szCs w:val="22"/>
        </w:rPr>
      </w:pPr>
    </w:p>
    <w:p w14:paraId="47D90F24" w14:textId="77777777" w:rsidR="00212622" w:rsidRDefault="00E5086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>BP</w:t>
      </w:r>
      <w:r w:rsidR="004D79B2" w:rsidRPr="005B15B3">
        <w:rPr>
          <w:rFonts w:ascii="Arial" w:hAnsi="Arial"/>
          <w:b/>
          <w:sz w:val="22"/>
          <w:szCs w:val="22"/>
          <w:vertAlign w:val="superscript"/>
        </w:rPr>
        <w:t xml:space="preserve"> </w:t>
      </w:r>
      <w:r w:rsidR="004D79B2">
        <w:rPr>
          <w:rFonts w:ascii="Arial" w:hAnsi="Arial"/>
          <w:b/>
          <w:sz w:val="18"/>
          <w:szCs w:val="18"/>
          <w:vertAlign w:val="superscript"/>
        </w:rPr>
        <w:t xml:space="preserve">  </w:t>
      </w:r>
      <w:r w:rsidR="004D79B2">
        <w:rPr>
          <w:rFonts w:ascii="Arial" w:hAnsi="Arial"/>
          <w:bCs/>
          <w:sz w:val="18"/>
          <w:szCs w:val="18"/>
        </w:rPr>
        <w:t xml:space="preserve">  </w:t>
      </w:r>
      <w:r w:rsidR="009F0526">
        <w:rPr>
          <w:rFonts w:ascii="Arial" w:hAnsi="Arial"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>Brand preferred over generic equivalents.</w:t>
      </w:r>
      <w:r w:rsidR="005B15B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In general, MassHealth requires a trial of the preferred drug or clinical rationale for prescribing the nonpreferred drug generic equivalent</w:t>
      </w:r>
      <w:r w:rsidR="00212622">
        <w:rPr>
          <w:rFonts w:ascii="Arial" w:hAnsi="Arial"/>
          <w:bCs/>
          <w:sz w:val="18"/>
          <w:szCs w:val="18"/>
        </w:rPr>
        <w:t>.</w:t>
      </w:r>
    </w:p>
    <w:p w14:paraId="6D26BD9B" w14:textId="77777777" w:rsidR="00212622" w:rsidRDefault="00212622" w:rsidP="00212622">
      <w:pPr>
        <w:shd w:val="clear" w:color="auto" w:fill="FFFFFF"/>
        <w:tabs>
          <w:tab w:val="left" w:pos="360"/>
        </w:tabs>
        <w:ind w:left="729" w:hanging="630"/>
        <w:rPr>
          <w:rFonts w:ascii="Arial" w:hAnsi="Arial"/>
          <w:bCs/>
          <w:sz w:val="18"/>
          <w:szCs w:val="18"/>
        </w:rPr>
      </w:pPr>
    </w:p>
    <w:p w14:paraId="0244C1DF" w14:textId="77777777" w:rsidR="00212622" w:rsidRDefault="0021262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sz w:val="22"/>
          <w:szCs w:val="22"/>
          <w:vertAlign w:val="superscript"/>
        </w:rPr>
        <w:lastRenderedPageBreak/>
        <w:t>PD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 w:rsidRPr="004D79B2">
        <w:rPr>
          <w:rFonts w:ascii="Arial" w:eastAsia="Calibri" w:hAnsi="Arial" w:cs="Arial"/>
          <w:sz w:val="18"/>
          <w:szCs w:val="18"/>
        </w:rPr>
        <w:t>In general, MassHealth requires a trial of the preferred drug (PD) or a clinical rationale for prescribing a nonpreferred drug within a therapeutic class.</w:t>
      </w:r>
      <w:r w:rsidRPr="00212622">
        <w:rPr>
          <w:rFonts w:ascii="Arial" w:hAnsi="Arial"/>
          <w:bCs/>
          <w:sz w:val="18"/>
          <w:szCs w:val="18"/>
        </w:rPr>
        <w:t xml:space="preserve"> </w:t>
      </w:r>
    </w:p>
    <w:p w14:paraId="22CE447B" w14:textId="77777777" w:rsidR="0094331C" w:rsidRDefault="0094331C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14:paraId="5E25EC90" w14:textId="77777777" w:rsidR="0094331C" w:rsidRDefault="0094331C" w:rsidP="00FF4AD4">
      <w:pPr>
        <w:shd w:val="clear" w:color="auto" w:fill="FFFFFF"/>
        <w:ind w:left="270" w:hanging="360"/>
        <w:rPr>
          <w:rFonts w:ascii="Arial" w:eastAsia="Calibri" w:hAnsi="Arial" w:cs="Arial"/>
          <w:sz w:val="16"/>
          <w:szCs w:val="16"/>
        </w:rPr>
      </w:pPr>
      <w:r>
        <w:rPr>
          <w:rFonts w:ascii="Arial" w:hAnsi="Arial"/>
          <w:b/>
          <w:sz w:val="22"/>
          <w:szCs w:val="22"/>
          <w:vertAlign w:val="superscript"/>
        </w:rPr>
        <w:t>^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</w:rPr>
        <w:t xml:space="preserve">This drug is available through the health care professional who administers the drug. MassHealth </w:t>
      </w:r>
      <w:r>
        <w:rPr>
          <w:rFonts w:ascii="Arial" w:eastAsia="Calibri" w:hAnsi="Arial" w:cs="Arial"/>
          <w:sz w:val="18"/>
          <w:szCs w:val="18"/>
        </w:rPr>
        <w:t xml:space="preserve">does not pay for this drug to be dispensed through a retail pharmacy. </w:t>
      </w:r>
    </w:p>
    <w:p w14:paraId="6FF144E6" w14:textId="77777777" w:rsidR="00212622" w:rsidRPr="0094331C" w:rsidRDefault="00212622" w:rsidP="00212622">
      <w:pPr>
        <w:shd w:val="clear" w:color="auto" w:fill="FFFFFF"/>
        <w:ind w:left="270" w:hanging="441"/>
        <w:rPr>
          <w:rFonts w:ascii="Arial" w:hAnsi="Arial" w:cs="Arial"/>
          <w:b/>
          <w:sz w:val="18"/>
          <w:szCs w:val="18"/>
          <w:vertAlign w:val="superscript"/>
        </w:rPr>
      </w:pPr>
    </w:p>
    <w:p w14:paraId="15ED1DAC" w14:textId="33A87B48" w:rsidR="00A356AC" w:rsidRPr="00733D4F" w:rsidRDefault="00A356AC" w:rsidP="00FF4AD4">
      <w:pPr>
        <w:spacing w:after="120"/>
        <w:ind w:left="270" w:right="547" w:hanging="360"/>
        <w:rPr>
          <w:rFonts w:cs="Arial"/>
          <w:sz w:val="22"/>
          <w:szCs w:val="22"/>
        </w:rPr>
      </w:pPr>
      <w:r w:rsidRPr="0094331C">
        <w:rPr>
          <w:rFonts w:ascii="Arial" w:hAnsi="Arial" w:cs="Arial"/>
          <w:b/>
          <w:sz w:val="18"/>
          <w:szCs w:val="18"/>
          <w:vertAlign w:val="superscript"/>
        </w:rPr>
        <w:t>CO</w:t>
      </w:r>
      <w:r w:rsidR="00FF4AD4">
        <w:rPr>
          <w:rFonts w:ascii="Arial" w:hAnsi="Arial" w:cs="Arial"/>
          <w:sz w:val="18"/>
          <w:szCs w:val="18"/>
        </w:rPr>
        <w:tab/>
      </w:r>
      <w:r w:rsidRPr="0094331C">
        <w:rPr>
          <w:rFonts w:ascii="Arial" w:hAnsi="Arial" w:cs="Arial"/>
          <w:sz w:val="18"/>
          <w:szCs w:val="18"/>
        </w:rPr>
        <w:t>Carve-Out. This agent is listed on the Acute Hospital Carve-Out Drugs List and is subject to additional monitoring and billing requirements</w:t>
      </w:r>
      <w:r w:rsidRPr="00733D4F">
        <w:rPr>
          <w:sz w:val="22"/>
          <w:szCs w:val="22"/>
        </w:rPr>
        <w:t>.</w:t>
      </w:r>
    </w:p>
    <w:p w14:paraId="44981B89" w14:textId="77777777" w:rsidR="0041065E" w:rsidRPr="0041065E" w:rsidRDefault="0041065E" w:rsidP="0041065E">
      <w:pPr>
        <w:shd w:val="clear" w:color="auto" w:fill="FFFFFF"/>
        <w:ind w:left="270" w:hanging="441"/>
        <w:rPr>
          <w:bCs/>
          <w:sz w:val="18"/>
          <w:szCs w:val="18"/>
        </w:rPr>
      </w:pPr>
    </w:p>
    <w:p w14:paraId="1A653E9F" w14:textId="77777777" w:rsidR="0041065E" w:rsidRDefault="0041065E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41065E" w:rsidSect="005F4096">
          <w:headerReference w:type="default" r:id="rId14"/>
          <w:footerReference w:type="default" r:id="rId15"/>
          <w:type w:val="continuous"/>
          <w:pgSz w:w="12240" w:h="15840" w:code="1"/>
          <w:pgMar w:top="360" w:right="907" w:bottom="432" w:left="907" w:header="720" w:footer="576" w:gutter="0"/>
          <w:cols w:num="2" w:sep="1" w:space="900"/>
          <w:docGrid w:linePitch="360"/>
        </w:sectPr>
      </w:pPr>
    </w:p>
    <w:p w14:paraId="39202A29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EBF5A" w14:textId="77777777" w:rsidR="00263883" w:rsidRDefault="00263883" w:rsidP="00492602">
      <w:r>
        <w:separator/>
      </w:r>
    </w:p>
  </w:endnote>
  <w:endnote w:type="continuationSeparator" w:id="0">
    <w:p w14:paraId="4999B190" w14:textId="77777777" w:rsidR="00263883" w:rsidRDefault="00263883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13BC9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2B932" w14:textId="77777777" w:rsidR="00637A67" w:rsidRDefault="00637A67">
    <w:pPr>
      <w:pStyle w:val="Footer"/>
    </w:pPr>
    <w:r>
      <w:t>[Type text]</w:t>
    </w:r>
  </w:p>
  <w:p w14:paraId="4C67758D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28105" w14:textId="77777777" w:rsidR="00E95805" w:rsidRDefault="00E95805" w:rsidP="00E95805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 w:rsidR="000A440A">
      <w:rPr>
        <w:rFonts w:ascii="Arial" w:hAnsi="Arial" w:cs="Arial"/>
        <w:iCs/>
        <w:sz w:val="18"/>
        <w:szCs w:val="18"/>
      </w:rPr>
      <w:t>to</w:t>
    </w:r>
  </w:p>
  <w:p w14:paraId="376C6D5D" w14:textId="77777777" w:rsidR="003C1739" w:rsidRPr="00E95805" w:rsidRDefault="00A54759" w:rsidP="00E95805">
    <w:pPr>
      <w:pStyle w:val="Footer"/>
      <w:jc w:val="center"/>
    </w:pPr>
    <w:hyperlink r:id="rId1" w:history="1">
      <w:r w:rsidR="00E95805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03D00" w14:textId="77777777" w:rsidR="00263883" w:rsidRDefault="00263883" w:rsidP="00492602">
      <w:r>
        <w:separator/>
      </w:r>
    </w:p>
  </w:footnote>
  <w:footnote w:type="continuationSeparator" w:id="0">
    <w:p w14:paraId="6A412F8B" w14:textId="77777777" w:rsidR="00263883" w:rsidRDefault="00263883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387E2" w14:textId="77777777" w:rsidR="005F4096" w:rsidRDefault="005F4096" w:rsidP="005D4773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Pr="005F4096">
      <w:rPr>
        <w:color w:val="auto"/>
        <w:sz w:val="18"/>
        <w:szCs w:val="18"/>
      </w:rPr>
      <w:t>168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 w:rsidR="00C72A40" w:rsidRPr="00C72A40">
      <w:rPr>
        <w:noProof/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770E0"/>
    <w:multiLevelType w:val="hybridMultilevel"/>
    <w:tmpl w:val="8746E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B72BA"/>
    <w:multiLevelType w:val="hybridMultilevel"/>
    <w:tmpl w:val="2D547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4712C"/>
    <w:multiLevelType w:val="hybridMultilevel"/>
    <w:tmpl w:val="D2A6E2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2"/>
  </w:num>
  <w:num w:numId="4">
    <w:abstractNumId w:val="9"/>
  </w:num>
  <w:num w:numId="5">
    <w:abstractNumId w:val="11"/>
  </w:num>
  <w:num w:numId="6">
    <w:abstractNumId w:val="17"/>
  </w:num>
  <w:num w:numId="7">
    <w:abstractNumId w:val="23"/>
  </w:num>
  <w:num w:numId="8">
    <w:abstractNumId w:val="3"/>
  </w:num>
  <w:num w:numId="9">
    <w:abstractNumId w:val="0"/>
  </w:num>
  <w:num w:numId="10">
    <w:abstractNumId w:val="20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2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9"/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  <w:num w:numId="21">
    <w:abstractNumId w:val="10"/>
  </w:num>
  <w:num w:numId="22">
    <w:abstractNumId w:val="24"/>
  </w:num>
  <w:num w:numId="23">
    <w:abstractNumId w:val="25"/>
  </w:num>
  <w:num w:numId="24">
    <w:abstractNumId w:val="16"/>
  </w:num>
  <w:num w:numId="25">
    <w:abstractNumId w:val="21"/>
  </w:num>
  <w:num w:numId="26">
    <w:abstractNumId w:val="15"/>
  </w:num>
  <w:num w:numId="27">
    <w:abstractNumId w:val="5"/>
  </w:num>
  <w:num w:numId="28">
    <w:abstractNumId w:val="8"/>
  </w:num>
  <w:num w:numId="29">
    <w:abstractNumId w:val="1"/>
  </w:num>
  <w:num w:numId="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111F1"/>
    <w:rsid w:val="0003148F"/>
    <w:rsid w:val="00054839"/>
    <w:rsid w:val="00063DDE"/>
    <w:rsid w:val="000713D3"/>
    <w:rsid w:val="000735C4"/>
    <w:rsid w:val="00074014"/>
    <w:rsid w:val="00081E8E"/>
    <w:rsid w:val="000A440A"/>
    <w:rsid w:val="000A6318"/>
    <w:rsid w:val="000D1502"/>
    <w:rsid w:val="000F5C22"/>
    <w:rsid w:val="00123D58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203C96"/>
    <w:rsid w:val="0021214A"/>
    <w:rsid w:val="00212622"/>
    <w:rsid w:val="002275AE"/>
    <w:rsid w:val="00230996"/>
    <w:rsid w:val="002509E9"/>
    <w:rsid w:val="00263883"/>
    <w:rsid w:val="002727AB"/>
    <w:rsid w:val="00276F3A"/>
    <w:rsid w:val="00286CBE"/>
    <w:rsid w:val="00291397"/>
    <w:rsid w:val="002C7C67"/>
    <w:rsid w:val="002D390F"/>
    <w:rsid w:val="002D3C44"/>
    <w:rsid w:val="002D738C"/>
    <w:rsid w:val="002E2F9E"/>
    <w:rsid w:val="002F4E7B"/>
    <w:rsid w:val="003152DA"/>
    <w:rsid w:val="0033053B"/>
    <w:rsid w:val="00334D14"/>
    <w:rsid w:val="00360067"/>
    <w:rsid w:val="0036343A"/>
    <w:rsid w:val="0037373E"/>
    <w:rsid w:val="00375713"/>
    <w:rsid w:val="00382054"/>
    <w:rsid w:val="00387C1F"/>
    <w:rsid w:val="003911FC"/>
    <w:rsid w:val="003A018A"/>
    <w:rsid w:val="003B6839"/>
    <w:rsid w:val="003C1739"/>
    <w:rsid w:val="003D2B74"/>
    <w:rsid w:val="003F533B"/>
    <w:rsid w:val="0041065E"/>
    <w:rsid w:val="00447A5F"/>
    <w:rsid w:val="00453E30"/>
    <w:rsid w:val="00453F3E"/>
    <w:rsid w:val="00456B5A"/>
    <w:rsid w:val="004664D3"/>
    <w:rsid w:val="00477916"/>
    <w:rsid w:val="004910B8"/>
    <w:rsid w:val="00492602"/>
    <w:rsid w:val="004A3BAA"/>
    <w:rsid w:val="004A7395"/>
    <w:rsid w:val="004B1CA9"/>
    <w:rsid w:val="004D1BC7"/>
    <w:rsid w:val="004D79B2"/>
    <w:rsid w:val="004F5612"/>
    <w:rsid w:val="005052D9"/>
    <w:rsid w:val="00516394"/>
    <w:rsid w:val="0052118E"/>
    <w:rsid w:val="00527F95"/>
    <w:rsid w:val="005314A6"/>
    <w:rsid w:val="005502E1"/>
    <w:rsid w:val="0056481B"/>
    <w:rsid w:val="005662E2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1432"/>
    <w:rsid w:val="005A57BA"/>
    <w:rsid w:val="005B15B3"/>
    <w:rsid w:val="005C7622"/>
    <w:rsid w:val="005D4773"/>
    <w:rsid w:val="005D723D"/>
    <w:rsid w:val="005F4096"/>
    <w:rsid w:val="00607CFA"/>
    <w:rsid w:val="00623469"/>
    <w:rsid w:val="00634C49"/>
    <w:rsid w:val="00637A67"/>
    <w:rsid w:val="00650095"/>
    <w:rsid w:val="00651CA7"/>
    <w:rsid w:val="006615EC"/>
    <w:rsid w:val="00673F96"/>
    <w:rsid w:val="00674418"/>
    <w:rsid w:val="00674428"/>
    <w:rsid w:val="00683872"/>
    <w:rsid w:val="00686C26"/>
    <w:rsid w:val="00690023"/>
    <w:rsid w:val="00696F48"/>
    <w:rsid w:val="0069772F"/>
    <w:rsid w:val="006D3B5F"/>
    <w:rsid w:val="006E0C20"/>
    <w:rsid w:val="006E22A3"/>
    <w:rsid w:val="006E6AFF"/>
    <w:rsid w:val="006F35F9"/>
    <w:rsid w:val="007319D7"/>
    <w:rsid w:val="00731FAF"/>
    <w:rsid w:val="007400F4"/>
    <w:rsid w:val="007426BF"/>
    <w:rsid w:val="0075587C"/>
    <w:rsid w:val="00760FDF"/>
    <w:rsid w:val="007757E7"/>
    <w:rsid w:val="00781D3B"/>
    <w:rsid w:val="00787103"/>
    <w:rsid w:val="007A41F5"/>
    <w:rsid w:val="007B2F2D"/>
    <w:rsid w:val="007B4429"/>
    <w:rsid w:val="007B7425"/>
    <w:rsid w:val="007E4380"/>
    <w:rsid w:val="007F5417"/>
    <w:rsid w:val="00804116"/>
    <w:rsid w:val="00812480"/>
    <w:rsid w:val="00821937"/>
    <w:rsid w:val="008340D0"/>
    <w:rsid w:val="008403CA"/>
    <w:rsid w:val="0085395A"/>
    <w:rsid w:val="00853F8E"/>
    <w:rsid w:val="0086142C"/>
    <w:rsid w:val="00872E7F"/>
    <w:rsid w:val="00880FA9"/>
    <w:rsid w:val="008916D3"/>
    <w:rsid w:val="008930F1"/>
    <w:rsid w:val="00893F45"/>
    <w:rsid w:val="008A3733"/>
    <w:rsid w:val="008C5414"/>
    <w:rsid w:val="008F0130"/>
    <w:rsid w:val="008F2E4C"/>
    <w:rsid w:val="00905C46"/>
    <w:rsid w:val="00906EEC"/>
    <w:rsid w:val="009166DF"/>
    <w:rsid w:val="009204C7"/>
    <w:rsid w:val="00922030"/>
    <w:rsid w:val="009315FB"/>
    <w:rsid w:val="0093532E"/>
    <w:rsid w:val="00941258"/>
    <w:rsid w:val="00942245"/>
    <w:rsid w:val="0094331C"/>
    <w:rsid w:val="00956812"/>
    <w:rsid w:val="00963957"/>
    <w:rsid w:val="009725E5"/>
    <w:rsid w:val="00974CFD"/>
    <w:rsid w:val="00981567"/>
    <w:rsid w:val="009C2DEA"/>
    <w:rsid w:val="009C3981"/>
    <w:rsid w:val="009C3CFF"/>
    <w:rsid w:val="009D1341"/>
    <w:rsid w:val="009D6D73"/>
    <w:rsid w:val="009D79C6"/>
    <w:rsid w:val="009F0440"/>
    <w:rsid w:val="009F0526"/>
    <w:rsid w:val="00A01DE3"/>
    <w:rsid w:val="00A11371"/>
    <w:rsid w:val="00A120E1"/>
    <w:rsid w:val="00A24049"/>
    <w:rsid w:val="00A31FAA"/>
    <w:rsid w:val="00A343A9"/>
    <w:rsid w:val="00A356AC"/>
    <w:rsid w:val="00A5239C"/>
    <w:rsid w:val="00A54759"/>
    <w:rsid w:val="00A650DC"/>
    <w:rsid w:val="00A6764A"/>
    <w:rsid w:val="00A84255"/>
    <w:rsid w:val="00A93734"/>
    <w:rsid w:val="00AC1AC7"/>
    <w:rsid w:val="00AD18B8"/>
    <w:rsid w:val="00AD33D5"/>
    <w:rsid w:val="00AE21FC"/>
    <w:rsid w:val="00AE7072"/>
    <w:rsid w:val="00B01BAA"/>
    <w:rsid w:val="00B07BD7"/>
    <w:rsid w:val="00B13AA5"/>
    <w:rsid w:val="00B3099B"/>
    <w:rsid w:val="00B40A71"/>
    <w:rsid w:val="00B41B0C"/>
    <w:rsid w:val="00B503C7"/>
    <w:rsid w:val="00B54AB5"/>
    <w:rsid w:val="00B645C9"/>
    <w:rsid w:val="00B92C96"/>
    <w:rsid w:val="00BA68F0"/>
    <w:rsid w:val="00BD08CA"/>
    <w:rsid w:val="00BE1214"/>
    <w:rsid w:val="00BE3015"/>
    <w:rsid w:val="00C15672"/>
    <w:rsid w:val="00C15FAD"/>
    <w:rsid w:val="00C31421"/>
    <w:rsid w:val="00C33753"/>
    <w:rsid w:val="00C35B94"/>
    <w:rsid w:val="00C72A40"/>
    <w:rsid w:val="00C77AE9"/>
    <w:rsid w:val="00C82FA4"/>
    <w:rsid w:val="00CA0669"/>
    <w:rsid w:val="00CA1E7C"/>
    <w:rsid w:val="00CB0030"/>
    <w:rsid w:val="00CB7200"/>
    <w:rsid w:val="00CB7521"/>
    <w:rsid w:val="00CC19D4"/>
    <w:rsid w:val="00CC57AC"/>
    <w:rsid w:val="00CC776C"/>
    <w:rsid w:val="00CD01BB"/>
    <w:rsid w:val="00CD6D68"/>
    <w:rsid w:val="00CE3864"/>
    <w:rsid w:val="00CF383E"/>
    <w:rsid w:val="00D0584B"/>
    <w:rsid w:val="00D2467C"/>
    <w:rsid w:val="00D2695E"/>
    <w:rsid w:val="00D335C5"/>
    <w:rsid w:val="00D521FA"/>
    <w:rsid w:val="00D5685A"/>
    <w:rsid w:val="00D81121"/>
    <w:rsid w:val="00D83FDF"/>
    <w:rsid w:val="00DB5DBC"/>
    <w:rsid w:val="00DB6A12"/>
    <w:rsid w:val="00DF34B5"/>
    <w:rsid w:val="00E02354"/>
    <w:rsid w:val="00E10EA0"/>
    <w:rsid w:val="00E12A7D"/>
    <w:rsid w:val="00E24139"/>
    <w:rsid w:val="00E34C02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95805"/>
    <w:rsid w:val="00EC08AC"/>
    <w:rsid w:val="00EC1948"/>
    <w:rsid w:val="00EC1DF6"/>
    <w:rsid w:val="00ED4639"/>
    <w:rsid w:val="00EE54D2"/>
    <w:rsid w:val="00EF7C8A"/>
    <w:rsid w:val="00F25E7F"/>
    <w:rsid w:val="00F307D6"/>
    <w:rsid w:val="00F45E31"/>
    <w:rsid w:val="00F512EE"/>
    <w:rsid w:val="00F643E6"/>
    <w:rsid w:val="00F76D69"/>
    <w:rsid w:val="00F80E73"/>
    <w:rsid w:val="00F9012C"/>
    <w:rsid w:val="00F9097E"/>
    <w:rsid w:val="00F93C6C"/>
    <w:rsid w:val="00FA5147"/>
    <w:rsid w:val="00FB0C11"/>
    <w:rsid w:val="00FD4894"/>
    <w:rsid w:val="00FE6B9E"/>
    <w:rsid w:val="00FF40A0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B67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62E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E9580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662E2"/>
    <w:rPr>
      <w:rFonts w:ascii="Tahoma" w:hAnsi="Tahoma" w:cs="Tahoma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ass.gov/drugl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drugli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ruglis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D1DC-5F33-4D9E-ADF5-22A429A1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5273</Characters>
  <Application>Microsoft Office Word</Application>
  <DocSecurity>0</DocSecurity>
  <Lines>194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2021-06-24T20:05:00Z</dcterms:created>
  <dcterms:modified xsi:type="dcterms:W3CDTF">2021-06-24T20:06:00Z</dcterms:modified>
</cp:coreProperties>
</file>