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C9" w:rsidRPr="00B47D37" w:rsidRDefault="00C559C9" w:rsidP="00C559C9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bookmarkStart w:id="0" w:name="_GoBack"/>
      <w:bookmarkEnd w:id="0"/>
      <w:r w:rsidRPr="00B47D37">
        <w:rPr>
          <w:rFonts w:ascii="Arial Narrow" w:hAnsi="Arial Narrow"/>
          <w:b/>
          <w:color w:val="auto"/>
          <w:sz w:val="20"/>
          <w:szCs w:val="20"/>
        </w:rPr>
        <w:t xml:space="preserve">Number </w:t>
      </w:r>
      <w:r w:rsidR="00BE15A5" w:rsidRPr="00B47D37">
        <w:rPr>
          <w:rFonts w:ascii="Arial Narrow" w:hAnsi="Arial Narrow"/>
          <w:b/>
          <w:color w:val="auto"/>
          <w:sz w:val="20"/>
          <w:szCs w:val="20"/>
        </w:rPr>
        <w:t>173, October 29, 2021</w:t>
      </w:r>
    </w:p>
    <w:p w:rsidR="006F35F9" w:rsidRDefault="00FB3B0A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28CBB79" wp14:editId="7C0102D8">
            <wp:extent cx="6620510" cy="1619157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16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A5" w:rsidRPr="00BE15A5" w:rsidRDefault="00BE15A5" w:rsidP="00BE15A5">
      <w:pPr>
        <w:rPr>
          <w:rFonts w:ascii="Arial Black" w:hAnsi="Arial Black" w:cs="Arial"/>
          <w:b/>
          <w:szCs w:val="32"/>
        </w:rPr>
      </w:pPr>
      <w:r w:rsidRPr="00BE15A5">
        <w:rPr>
          <w:rFonts w:ascii="Arial Black" w:hAnsi="Arial Black" w:cs="Arial"/>
          <w:b/>
          <w:szCs w:val="32"/>
        </w:rPr>
        <w:lastRenderedPageBreak/>
        <w:t>MHDL Update</w:t>
      </w:r>
    </w:p>
    <w:p w:rsidR="00CD6D68" w:rsidRPr="00BA6356" w:rsidRDefault="00CD6D68" w:rsidP="00CD6D68">
      <w:pPr>
        <w:rPr>
          <w:sz w:val="16"/>
          <w:szCs w:val="22"/>
        </w:rPr>
      </w:pPr>
    </w:p>
    <w:p w:rsidR="00BE15A5" w:rsidRPr="00BE15A5" w:rsidRDefault="00BE15A5" w:rsidP="00BE15A5">
      <w:pPr>
        <w:rPr>
          <w:rFonts w:ascii="Arial" w:hAnsi="Arial" w:cs="Arial"/>
          <w:sz w:val="22"/>
          <w:szCs w:val="22"/>
        </w:rPr>
      </w:pPr>
      <w:r w:rsidRPr="00BE15A5">
        <w:rPr>
          <w:rFonts w:ascii="Arial" w:hAnsi="Arial" w:cs="Arial"/>
          <w:sz w:val="22"/>
          <w:szCs w:val="22"/>
        </w:rPr>
        <w:t>Below are certain updates to the MassHealth Drug List (MHDL).  See the MHDL for a complete listing of updates.</w:t>
      </w:r>
    </w:p>
    <w:p w:rsidR="00BD2089" w:rsidRPr="00BD2089" w:rsidRDefault="00BD2089" w:rsidP="00BD2089">
      <w:pPr>
        <w:numPr>
          <w:ilvl w:val="0"/>
          <w:numId w:val="1"/>
        </w:numPr>
        <w:autoSpaceDE w:val="0"/>
        <w:autoSpaceDN w:val="0"/>
        <w:adjustRightInd w:val="0"/>
        <w:spacing w:before="200" w:after="80" w:line="288" w:lineRule="auto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Additions</w:t>
      </w:r>
    </w:p>
    <w:p w:rsidR="00BD2089" w:rsidRPr="006B70A4" w:rsidRDefault="00BD2089" w:rsidP="00BD2089">
      <w:pPr>
        <w:pStyle w:val="Default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Effective November 1, 2021, the following newly marketed drugs have been added to the MassHealth Drug List. </w:t>
      </w:r>
    </w:p>
    <w:p w:rsidR="00BD2089" w:rsidRPr="00BA6356" w:rsidRDefault="00BD2089" w:rsidP="00BD2089">
      <w:pPr>
        <w:pStyle w:val="Default"/>
        <w:rPr>
          <w:rFonts w:ascii="Arial" w:hAnsi="Arial" w:cs="Arial"/>
          <w:sz w:val="16"/>
          <w:szCs w:val="22"/>
        </w:rPr>
      </w:pPr>
    </w:p>
    <w:p w:rsidR="00BD2089" w:rsidRPr="006B70A4" w:rsidRDefault="00BD2089" w:rsidP="00473E8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Azstarys (serdexmethylphenidate/dexmethylphenidate)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</w:p>
    <w:p w:rsidR="00BD2089" w:rsidRPr="006B70A4" w:rsidRDefault="00BD2089" w:rsidP="00473E8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Kloxxado (naloxone 8 mg nasal spray)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 xml:space="preserve"> </w:t>
      </w:r>
    </w:p>
    <w:p w:rsidR="00BD2089" w:rsidRPr="006B70A4" w:rsidRDefault="00BD2089" w:rsidP="00473E8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Lumakras (sotorasib)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 xml:space="preserve"> </w:t>
      </w:r>
    </w:p>
    <w:p w:rsidR="00BD2089" w:rsidRPr="006B70A4" w:rsidRDefault="00BD2089" w:rsidP="00473E8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Rylaze (asparaginase erwinia chrysanthemi-rywn) ^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</w:p>
    <w:p w:rsidR="00BD2089" w:rsidRPr="006B70A4" w:rsidRDefault="00BD2089" w:rsidP="00473E89">
      <w:pPr>
        <w:pStyle w:val="Default"/>
        <w:numPr>
          <w:ilvl w:val="0"/>
          <w:numId w:val="26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Rybrevant (amivantamab-vmjw)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 xml:space="preserve"> </w:t>
      </w:r>
    </w:p>
    <w:p w:rsidR="00BD2089" w:rsidRPr="006B70A4" w:rsidRDefault="00BD2089" w:rsidP="00473E89">
      <w:pPr>
        <w:pStyle w:val="ListParagraph"/>
        <w:numPr>
          <w:ilvl w:val="0"/>
          <w:numId w:val="26"/>
        </w:numPr>
        <w:spacing w:line="276" w:lineRule="auto"/>
        <w:ind w:left="360"/>
        <w:contextualSpacing/>
        <w:rPr>
          <w:rFonts w:ascii="Arial" w:hAnsi="Arial" w:cs="Arial"/>
          <w:color w:val="000000"/>
          <w:sz w:val="22"/>
          <w:szCs w:val="22"/>
        </w:rPr>
      </w:pPr>
      <w:r w:rsidRPr="006B70A4">
        <w:rPr>
          <w:rFonts w:ascii="Arial" w:hAnsi="Arial" w:cs="Arial"/>
          <w:color w:val="000000"/>
          <w:sz w:val="22"/>
          <w:szCs w:val="22"/>
        </w:rPr>
        <w:t xml:space="preserve">Vaxneuvance (pneumococcal 15-valent conjugate vaccine) </w:t>
      </w:r>
    </w:p>
    <w:p w:rsidR="00473E89" w:rsidRPr="00BD2089" w:rsidRDefault="00473E89" w:rsidP="00473E89">
      <w:pPr>
        <w:numPr>
          <w:ilvl w:val="0"/>
          <w:numId w:val="2"/>
        </w:numPr>
        <w:autoSpaceDE w:val="0"/>
        <w:autoSpaceDN w:val="0"/>
        <w:adjustRightInd w:val="0"/>
        <w:spacing w:before="200" w:after="80" w:line="288" w:lineRule="auto"/>
        <w:ind w:left="360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Change in Prior-Authorization (PA) Status</w:t>
      </w:r>
    </w:p>
    <w:p w:rsidR="00BA6356" w:rsidRPr="00BA6356" w:rsidRDefault="00BA6356" w:rsidP="00BA635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Effective November 1, 2021, the following oncology agent will no longer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BA6356">
        <w:rPr>
          <w:rFonts w:ascii="Arial" w:hAnsi="Arial" w:cs="Arial"/>
          <w:color w:val="000000"/>
          <w:sz w:val="22"/>
          <w:szCs w:val="22"/>
        </w:rPr>
        <w:t>.</w:t>
      </w:r>
    </w:p>
    <w:p w:rsidR="00BA6356" w:rsidRPr="00BA6356" w:rsidRDefault="00BA6356" w:rsidP="00BA6356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bCs/>
          <w:color w:val="000000"/>
          <w:sz w:val="22"/>
          <w:szCs w:val="22"/>
        </w:rPr>
        <w:t xml:space="preserve">Soltamox (tamoxifen solution) </w:t>
      </w:r>
    </w:p>
    <w:p w:rsidR="00BA6356" w:rsidRPr="00BA6356" w:rsidRDefault="00BA6356" w:rsidP="00BA635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Effective November 1, 2021, the following antimalarial agent will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BA6356">
        <w:rPr>
          <w:rFonts w:ascii="Arial" w:hAnsi="Arial" w:cs="Arial"/>
          <w:color w:val="000000"/>
          <w:sz w:val="22"/>
          <w:szCs w:val="22"/>
        </w:rPr>
        <w:t xml:space="preserve"> when exceeding newly established quantity limits.</w:t>
      </w:r>
    </w:p>
    <w:p w:rsidR="00BA6356" w:rsidRPr="00BA6356" w:rsidRDefault="00BA6356" w:rsidP="00BA6356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b/>
          <w:bCs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Krintafel (tafenoquine) – </w:t>
      </w:r>
      <w:r w:rsidRPr="00BA6356">
        <w:rPr>
          <w:rFonts w:ascii="Arial" w:hAnsi="Arial" w:cs="Arial"/>
          <w:b/>
          <w:bCs/>
          <w:color w:val="000000"/>
          <w:sz w:val="22"/>
          <w:szCs w:val="22"/>
        </w:rPr>
        <w:t>PA &gt; 2 units/365 days</w:t>
      </w:r>
    </w:p>
    <w:p w:rsidR="00BA6356" w:rsidRPr="00BA6356" w:rsidRDefault="00BA6356" w:rsidP="00BA635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Effective November 1, 2021, the following cerebral stimulant and ADHD agent will no longer require </w:t>
      </w:r>
      <w:r w:rsidRPr="00BA6356">
        <w:rPr>
          <w:rFonts w:ascii="Arial" w:hAnsi="Arial" w:cs="Arial"/>
          <w:sz w:val="22"/>
          <w:szCs w:val="22"/>
        </w:rPr>
        <w:t xml:space="preserve">PA within newly established </w:t>
      </w:r>
      <w:r w:rsidRPr="00BA6356">
        <w:rPr>
          <w:rFonts w:ascii="Arial" w:hAnsi="Arial" w:cs="Arial"/>
          <w:color w:val="000000"/>
          <w:sz w:val="22"/>
          <w:szCs w:val="22"/>
        </w:rPr>
        <w:t>quantity limits</w:t>
      </w:r>
      <w:r w:rsidRPr="00BA6356">
        <w:rPr>
          <w:rFonts w:ascii="Arial" w:hAnsi="Arial" w:cs="Arial"/>
          <w:sz w:val="22"/>
          <w:szCs w:val="22"/>
        </w:rPr>
        <w:t xml:space="preserve">. </w:t>
      </w:r>
      <w:r w:rsidRPr="00BA6356">
        <w:rPr>
          <w:rFonts w:ascii="Arial" w:hAnsi="Arial" w:cs="Arial"/>
          <w:color w:val="000000"/>
          <w:sz w:val="22"/>
          <w:szCs w:val="22"/>
        </w:rPr>
        <w:t xml:space="preserve">Pediatric Behavioral Health Medication Initiative criteria will still apply. For additional information, please see the Pediatric Behavioral Health Medication Initiative documents at </w:t>
      </w:r>
      <w:hyperlink r:id="rId13" w:history="1">
        <w:r w:rsidRPr="00BA6356">
          <w:rPr>
            <w:rFonts w:ascii="Arial" w:hAnsi="Arial" w:cs="Arial"/>
            <w:color w:val="0000FF"/>
            <w:sz w:val="22"/>
            <w:szCs w:val="22"/>
            <w:u w:val="single"/>
          </w:rPr>
          <w:t>mass.gov/druglist</w:t>
        </w:r>
      </w:hyperlink>
      <w:r w:rsidRPr="00BA635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A6356">
        <w:rPr>
          <w:rFonts w:ascii="Arial" w:hAnsi="Arial" w:cs="Arial"/>
          <w:sz w:val="22"/>
          <w:szCs w:val="22"/>
        </w:rPr>
        <w:t xml:space="preserve"> </w:t>
      </w:r>
    </w:p>
    <w:p w:rsidR="00BA6356" w:rsidRPr="00BA6356" w:rsidRDefault="00BA6356" w:rsidP="00BA635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lastRenderedPageBreak/>
        <w:t xml:space="preserve">Daytrana (methylphenidate transdermal) – </w:t>
      </w:r>
      <w:r w:rsidRPr="00BA6356">
        <w:rPr>
          <w:rFonts w:ascii="Arial" w:hAnsi="Arial" w:cs="Arial"/>
          <w:b/>
          <w:bCs/>
          <w:color w:val="000000"/>
          <w:sz w:val="22"/>
          <w:szCs w:val="22"/>
        </w:rPr>
        <w:t>PA &lt;3 years and PA &gt; 1 unit/day</w:t>
      </w:r>
    </w:p>
    <w:p w:rsidR="00BA6356" w:rsidRPr="00BA6356" w:rsidRDefault="00BA6356" w:rsidP="00BA6356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Effective November 1, 2021, the following cerebral stimulant and ADHD agent will no longer require </w:t>
      </w:r>
      <w:r w:rsidRPr="00BA6356">
        <w:rPr>
          <w:rFonts w:ascii="Arial" w:hAnsi="Arial" w:cs="Arial"/>
          <w:sz w:val="22"/>
          <w:szCs w:val="22"/>
        </w:rPr>
        <w:t xml:space="preserve">prior authorization within updated quantity limits. </w:t>
      </w:r>
      <w:r w:rsidRPr="00BA6356">
        <w:rPr>
          <w:rFonts w:ascii="Arial" w:hAnsi="Arial" w:cs="Arial"/>
          <w:color w:val="000000"/>
          <w:sz w:val="22"/>
          <w:szCs w:val="22"/>
        </w:rPr>
        <w:t xml:space="preserve">Pediatric Behavioral Health Medication Initiative criteria will still apply. For additional information, please see the Pediatric Behavioral Health Medication Initiative documents at </w:t>
      </w:r>
      <w:hyperlink r:id="rId14" w:history="1">
        <w:r w:rsidRPr="00BA6356">
          <w:rPr>
            <w:rStyle w:val="Hyperlink"/>
            <w:rFonts w:ascii="Arial" w:hAnsi="Arial" w:cs="Arial"/>
            <w:sz w:val="22"/>
            <w:szCs w:val="22"/>
          </w:rPr>
          <w:t>mass.gov/druglist.</w:t>
        </w:r>
      </w:hyperlink>
    </w:p>
    <w:p w:rsidR="00BA6356" w:rsidRPr="00BA6356" w:rsidRDefault="00BA6356" w:rsidP="00BA6356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sz w:val="22"/>
          <w:szCs w:val="22"/>
        </w:rPr>
      </w:pPr>
      <w:r w:rsidRPr="00BA6356">
        <w:rPr>
          <w:rFonts w:ascii="Arial" w:hAnsi="Arial" w:cs="Arial"/>
          <w:color w:val="000000"/>
          <w:sz w:val="22"/>
          <w:szCs w:val="22"/>
        </w:rPr>
        <w:t xml:space="preserve">dextroamphetamine solution – </w:t>
      </w:r>
      <w:r w:rsidRPr="00BA6356">
        <w:rPr>
          <w:rFonts w:ascii="Arial" w:hAnsi="Arial" w:cs="Arial"/>
          <w:b/>
          <w:bCs/>
          <w:color w:val="000000"/>
          <w:sz w:val="22"/>
          <w:szCs w:val="22"/>
        </w:rPr>
        <w:t>PA &lt; 3 years and PA &gt; 40 mL/day</w:t>
      </w:r>
    </w:p>
    <w:p w:rsidR="0049630E" w:rsidRPr="0049630E" w:rsidRDefault="0049630E" w:rsidP="004963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9630E">
        <w:rPr>
          <w:rFonts w:ascii="Arial" w:hAnsi="Arial" w:cs="Arial"/>
          <w:color w:val="000000"/>
          <w:sz w:val="22"/>
          <w:szCs w:val="22"/>
        </w:rPr>
        <w:t xml:space="preserve">Effective November 1, 2021, the following antidiabetic agent will require </w:t>
      </w:r>
      <w:r>
        <w:rPr>
          <w:rFonts w:ascii="Arial" w:hAnsi="Arial" w:cs="Arial"/>
          <w:sz w:val="22"/>
          <w:szCs w:val="22"/>
        </w:rPr>
        <w:t>PA</w:t>
      </w:r>
      <w:r w:rsidRPr="0049630E">
        <w:rPr>
          <w:rFonts w:ascii="Arial" w:hAnsi="Arial" w:cs="Arial"/>
          <w:sz w:val="22"/>
          <w:szCs w:val="22"/>
        </w:rPr>
        <w:t xml:space="preserve">. </w:t>
      </w:r>
    </w:p>
    <w:p w:rsidR="0049630E" w:rsidRPr="0049630E" w:rsidRDefault="0049630E" w:rsidP="0049630E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49630E">
        <w:rPr>
          <w:rFonts w:ascii="Arial" w:hAnsi="Arial" w:cs="Arial"/>
          <w:color w:val="000000"/>
          <w:sz w:val="22"/>
          <w:szCs w:val="22"/>
        </w:rPr>
        <w:t xml:space="preserve">miglitol – </w:t>
      </w:r>
      <w:r w:rsidRPr="0049630E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49630E" w:rsidRPr="0049630E" w:rsidRDefault="0049630E" w:rsidP="004963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9630E">
        <w:rPr>
          <w:rFonts w:ascii="Arial" w:hAnsi="Arial" w:cs="Arial"/>
          <w:color w:val="000000"/>
          <w:sz w:val="22"/>
          <w:szCs w:val="22"/>
        </w:rPr>
        <w:t xml:space="preserve">Effective November 1, 2021, the following inhaled respiratory agent will require </w:t>
      </w:r>
      <w:r>
        <w:rPr>
          <w:rFonts w:ascii="Arial" w:hAnsi="Arial" w:cs="Arial"/>
          <w:sz w:val="22"/>
          <w:szCs w:val="22"/>
        </w:rPr>
        <w:t>PA</w:t>
      </w:r>
      <w:r w:rsidRPr="0049630E">
        <w:rPr>
          <w:rFonts w:ascii="Arial" w:hAnsi="Arial" w:cs="Arial"/>
          <w:sz w:val="22"/>
          <w:szCs w:val="22"/>
        </w:rPr>
        <w:t xml:space="preserve">. </w:t>
      </w:r>
    </w:p>
    <w:p w:rsidR="0049630E" w:rsidRPr="0049630E" w:rsidRDefault="0049630E" w:rsidP="00FE3C2D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49630E">
        <w:rPr>
          <w:rFonts w:ascii="Arial" w:hAnsi="Arial" w:cs="Arial"/>
          <w:color w:val="000000"/>
          <w:sz w:val="22"/>
          <w:szCs w:val="22"/>
        </w:rPr>
        <w:t xml:space="preserve">Proair Respiclick (albuterol inhalation powder) – </w:t>
      </w:r>
      <w:r w:rsidRPr="0049630E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49630E" w:rsidRPr="0049630E" w:rsidRDefault="0049630E" w:rsidP="0049630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49630E">
        <w:rPr>
          <w:rFonts w:ascii="Arial" w:hAnsi="Arial" w:cs="Arial"/>
          <w:color w:val="000000"/>
          <w:sz w:val="22"/>
          <w:szCs w:val="22"/>
        </w:rPr>
        <w:t xml:space="preserve">Effective November 1, 2021, the following topical corticosteroid agents will require </w:t>
      </w:r>
      <w:r>
        <w:rPr>
          <w:rFonts w:ascii="Arial" w:hAnsi="Arial" w:cs="Arial"/>
          <w:sz w:val="22"/>
          <w:szCs w:val="22"/>
        </w:rPr>
        <w:t>PA</w:t>
      </w:r>
      <w:r w:rsidRPr="0049630E">
        <w:rPr>
          <w:rFonts w:ascii="Arial" w:hAnsi="Arial" w:cs="Arial"/>
          <w:sz w:val="22"/>
          <w:szCs w:val="22"/>
        </w:rPr>
        <w:t>.</w:t>
      </w:r>
    </w:p>
    <w:p w:rsidR="0049630E" w:rsidRPr="0049630E" w:rsidRDefault="0049630E" w:rsidP="00FE3C2D">
      <w:pPr>
        <w:numPr>
          <w:ilvl w:val="1"/>
          <w:numId w:val="4"/>
        </w:numPr>
        <w:spacing w:line="276" w:lineRule="auto"/>
        <w:ind w:left="540" w:hanging="180"/>
        <w:rPr>
          <w:rFonts w:ascii="Arial" w:hAnsi="Arial" w:cs="Arial"/>
          <w:sz w:val="22"/>
          <w:szCs w:val="22"/>
        </w:rPr>
      </w:pPr>
      <w:r w:rsidRPr="0049630E">
        <w:rPr>
          <w:rFonts w:ascii="Arial" w:hAnsi="Arial" w:cs="Arial"/>
          <w:sz w:val="22"/>
          <w:szCs w:val="22"/>
        </w:rPr>
        <w:t xml:space="preserve">desonide lotion – </w:t>
      </w:r>
      <w:r w:rsidRPr="0049630E">
        <w:rPr>
          <w:rFonts w:ascii="Arial" w:hAnsi="Arial" w:cs="Arial"/>
          <w:b/>
          <w:bCs/>
          <w:sz w:val="22"/>
          <w:szCs w:val="22"/>
        </w:rPr>
        <w:t>PA</w:t>
      </w:r>
    </w:p>
    <w:p w:rsidR="0049630E" w:rsidRPr="0049630E" w:rsidRDefault="0049630E" w:rsidP="00FE3C2D">
      <w:pPr>
        <w:numPr>
          <w:ilvl w:val="1"/>
          <w:numId w:val="4"/>
        </w:numPr>
        <w:spacing w:line="276" w:lineRule="auto"/>
        <w:ind w:left="540" w:hanging="180"/>
        <w:rPr>
          <w:rFonts w:ascii="Arial" w:hAnsi="Arial" w:cs="Arial"/>
          <w:sz w:val="22"/>
          <w:szCs w:val="22"/>
        </w:rPr>
      </w:pPr>
      <w:r w:rsidRPr="0049630E">
        <w:rPr>
          <w:rFonts w:ascii="Arial" w:hAnsi="Arial" w:cs="Arial"/>
          <w:sz w:val="22"/>
          <w:szCs w:val="22"/>
        </w:rPr>
        <w:t xml:space="preserve">hydrocortisone valerate ointment – </w:t>
      </w:r>
      <w:r w:rsidRPr="0049630E">
        <w:rPr>
          <w:rFonts w:ascii="Arial" w:hAnsi="Arial" w:cs="Arial"/>
          <w:b/>
          <w:bCs/>
          <w:sz w:val="22"/>
          <w:szCs w:val="22"/>
        </w:rPr>
        <w:t>PA</w:t>
      </w:r>
    </w:p>
    <w:p w:rsidR="00F621C4" w:rsidRPr="006B70A4" w:rsidRDefault="00F621C4" w:rsidP="00F621C4">
      <w:pPr>
        <w:pStyle w:val="NoSpacing"/>
        <w:numPr>
          <w:ilvl w:val="0"/>
          <w:numId w:val="4"/>
        </w:numPr>
        <w:spacing w:line="276" w:lineRule="auto"/>
        <w:ind w:left="360"/>
        <w:rPr>
          <w:rFonts w:ascii="Arial" w:hAnsi="Arial" w:cs="Arial"/>
        </w:rPr>
      </w:pPr>
      <w:r w:rsidRPr="006B70A4">
        <w:rPr>
          <w:rFonts w:ascii="Arial" w:hAnsi="Arial" w:cs="Arial"/>
        </w:rPr>
        <w:t>Effective November 1, 2021, the following topical corticosteroid agents will no longer require prior authorization.</w:t>
      </w:r>
    </w:p>
    <w:p w:rsidR="00F621C4" w:rsidRPr="006B70A4" w:rsidRDefault="00F621C4" w:rsidP="007A5111">
      <w:pPr>
        <w:pStyle w:val="NoSpacing"/>
        <w:numPr>
          <w:ilvl w:val="1"/>
          <w:numId w:val="4"/>
        </w:numPr>
        <w:spacing w:line="276" w:lineRule="auto"/>
        <w:ind w:left="540" w:hanging="180"/>
        <w:rPr>
          <w:rFonts w:ascii="Arial" w:hAnsi="Arial" w:cs="Arial"/>
        </w:rPr>
      </w:pPr>
      <w:r w:rsidRPr="006B70A4">
        <w:rPr>
          <w:rFonts w:ascii="Arial" w:hAnsi="Arial" w:cs="Arial"/>
        </w:rPr>
        <w:t>desoximetasone 0.25% cream</w:t>
      </w:r>
    </w:p>
    <w:p w:rsidR="00F621C4" w:rsidRPr="006B70A4" w:rsidRDefault="00F621C4" w:rsidP="007A5111">
      <w:pPr>
        <w:pStyle w:val="NoSpacing"/>
        <w:numPr>
          <w:ilvl w:val="1"/>
          <w:numId w:val="4"/>
        </w:numPr>
        <w:spacing w:line="276" w:lineRule="auto"/>
        <w:ind w:left="540" w:hanging="180"/>
        <w:rPr>
          <w:rFonts w:ascii="Arial" w:hAnsi="Arial" w:cs="Arial"/>
        </w:rPr>
      </w:pPr>
      <w:r w:rsidRPr="006B70A4">
        <w:rPr>
          <w:rFonts w:ascii="Arial" w:hAnsi="Arial" w:cs="Arial"/>
        </w:rPr>
        <w:t>Luxiq # (betamethasone valerate foam)</w:t>
      </w:r>
    </w:p>
    <w:p w:rsidR="00F621C4" w:rsidRPr="006B70A4" w:rsidRDefault="00F621C4" w:rsidP="007A5111">
      <w:pPr>
        <w:pStyle w:val="ListParagraph"/>
        <w:numPr>
          <w:ilvl w:val="1"/>
          <w:numId w:val="4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color w:val="000000"/>
          <w:sz w:val="22"/>
          <w:szCs w:val="22"/>
        </w:rPr>
        <w:t xml:space="preserve">Pandel </w:t>
      </w:r>
      <w:bookmarkStart w:id="1" w:name="_Hlk83201547"/>
      <w:r w:rsidRPr="006B70A4">
        <w:rPr>
          <w:rFonts w:ascii="Arial" w:hAnsi="Arial" w:cs="Arial"/>
          <w:color w:val="000000"/>
          <w:sz w:val="22"/>
          <w:szCs w:val="22"/>
        </w:rPr>
        <w:t>(hydrocortisone probutate cream)</w:t>
      </w:r>
    </w:p>
    <w:bookmarkEnd w:id="1"/>
    <w:p w:rsidR="007A5111" w:rsidRPr="006B70A4" w:rsidRDefault="007A5111" w:rsidP="007A5111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Effective November 1, 2021, the following ophthalmic anti-inflammatory agents will no longer require prior authorization.</w:t>
      </w:r>
    </w:p>
    <w:p w:rsidR="007A5111" w:rsidRPr="006B70A4" w:rsidRDefault="007A5111" w:rsidP="007A5111">
      <w:pPr>
        <w:pStyle w:val="ListParagraph"/>
        <w:numPr>
          <w:ilvl w:val="1"/>
          <w:numId w:val="4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Durezol (difluprednate) </w:t>
      </w:r>
      <w:r w:rsidRPr="006B70A4">
        <w:rPr>
          <w:rFonts w:ascii="Arial" w:hAnsi="Arial" w:cs="Arial"/>
          <w:sz w:val="22"/>
          <w:szCs w:val="22"/>
          <w:vertAlign w:val="superscript"/>
        </w:rPr>
        <w:t>BP</w:t>
      </w:r>
    </w:p>
    <w:p w:rsidR="007A5111" w:rsidRPr="006B70A4" w:rsidRDefault="007A5111" w:rsidP="007A5111">
      <w:pPr>
        <w:pStyle w:val="ListParagraph"/>
        <w:numPr>
          <w:ilvl w:val="1"/>
          <w:numId w:val="4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Lacrisert (hydroxypropyl cellulose ophthalmic insert)</w:t>
      </w:r>
    </w:p>
    <w:p w:rsidR="00E95534" w:rsidRDefault="007A5111" w:rsidP="007A5111">
      <w:pPr>
        <w:pStyle w:val="ListParagraph"/>
        <w:numPr>
          <w:ilvl w:val="1"/>
          <w:numId w:val="4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Prolensa (bromfenac 0.07%)</w:t>
      </w:r>
    </w:p>
    <w:p w:rsidR="00E95534" w:rsidRDefault="00E955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95534" w:rsidRPr="006B70A4" w:rsidRDefault="00E95534" w:rsidP="00E95534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lastRenderedPageBreak/>
        <w:t xml:space="preserve">Effective November 1, 2021, the following vaginal antibiotic agents will no longer require </w:t>
      </w:r>
      <w:r>
        <w:rPr>
          <w:rFonts w:ascii="Arial" w:hAnsi="Arial" w:cs="Arial"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>.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Cleocin Vaginal Ovule (clindamycin vaginal suppository)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Nuvessa (metronidazole 1.3% vaginal gel) </w:t>
      </w:r>
    </w:p>
    <w:p w:rsidR="00E95534" w:rsidRPr="006B70A4" w:rsidRDefault="00E95534" w:rsidP="00E95534">
      <w:pPr>
        <w:pStyle w:val="ListParagraph"/>
        <w:numPr>
          <w:ilvl w:val="0"/>
          <w:numId w:val="4"/>
        </w:numPr>
        <w:spacing w:after="160" w:line="259" w:lineRule="auto"/>
        <w:ind w:left="36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Effective November 1, 2021, the following ophthalmic antibiotic agents will no longer require </w:t>
      </w:r>
      <w:r>
        <w:rPr>
          <w:rFonts w:ascii="Arial" w:hAnsi="Arial" w:cs="Arial"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>.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Besivance (besifloxacin ophthalmic suspension)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Blephamide (sulfacetamide/prednisolone sodium acetate ophthalmic suspension) 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Ciloxan (ciprofloxacin ophthalmic ointment) 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Pred-G (gentamicin/prednisolone ophthalmic suspension)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>Tobradex (tobramycin 0.3%/dexamethasone 0.1%, ophthalmic ointment)</w:t>
      </w:r>
    </w:p>
    <w:p w:rsidR="00E95534" w:rsidRPr="006B70A4" w:rsidRDefault="00E95534" w:rsidP="00E95534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Tobrex (tobramycin ophthalmic ointment) </w:t>
      </w:r>
    </w:p>
    <w:p w:rsidR="00E95534" w:rsidRPr="00E95534" w:rsidRDefault="00E95534" w:rsidP="00E9553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r w:rsidRPr="00E95534">
        <w:rPr>
          <w:rFonts w:ascii="Arial" w:hAnsi="Arial" w:cs="Arial"/>
          <w:color w:val="000000"/>
          <w:sz w:val="22"/>
          <w:szCs w:val="22"/>
        </w:rPr>
        <w:t>Effective November 1, 2021, the following ophthalmic antibiotic agents will require prior authorization.</w:t>
      </w:r>
    </w:p>
    <w:p w:rsidR="00E95534" w:rsidRPr="006B70A4" w:rsidRDefault="00E95534" w:rsidP="000B276F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bacitracin ophthalmic ointment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</w:p>
    <w:p w:rsidR="00E95534" w:rsidRPr="006B70A4" w:rsidRDefault="00E95534" w:rsidP="000B276F">
      <w:pPr>
        <w:pStyle w:val="ListParagraph"/>
        <w:numPr>
          <w:ilvl w:val="1"/>
          <w:numId w:val="29"/>
        </w:numPr>
        <w:spacing w:after="160"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levofloxacin ophthalmic solution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 xml:space="preserve"> </w:t>
      </w:r>
    </w:p>
    <w:p w:rsidR="00E95534" w:rsidRPr="006B70A4" w:rsidRDefault="00E95534" w:rsidP="000B276F">
      <w:pPr>
        <w:pStyle w:val="ListParagraph"/>
        <w:numPr>
          <w:ilvl w:val="1"/>
          <w:numId w:val="29"/>
        </w:numPr>
        <w:spacing w:line="276" w:lineRule="auto"/>
        <w:ind w:left="540" w:hanging="180"/>
        <w:contextualSpacing/>
        <w:rPr>
          <w:rFonts w:ascii="Arial" w:hAnsi="Arial" w:cs="Arial"/>
          <w:sz w:val="22"/>
          <w:szCs w:val="22"/>
        </w:rPr>
      </w:pPr>
      <w:r w:rsidRPr="006B70A4">
        <w:rPr>
          <w:rFonts w:ascii="Arial" w:hAnsi="Arial" w:cs="Arial"/>
          <w:sz w:val="22"/>
          <w:szCs w:val="22"/>
        </w:rPr>
        <w:t xml:space="preserve">neomycin/polymyxin B/hydrocortisone ophthalmic suspension – </w:t>
      </w:r>
      <w:r w:rsidRPr="006B70A4">
        <w:rPr>
          <w:rFonts w:ascii="Arial" w:hAnsi="Arial" w:cs="Arial"/>
          <w:b/>
          <w:bCs/>
          <w:sz w:val="22"/>
          <w:szCs w:val="22"/>
        </w:rPr>
        <w:t>PA</w:t>
      </w:r>
      <w:r w:rsidRPr="006B70A4">
        <w:rPr>
          <w:rFonts w:ascii="Arial" w:hAnsi="Arial" w:cs="Arial"/>
          <w:sz w:val="22"/>
          <w:szCs w:val="22"/>
        </w:rPr>
        <w:t xml:space="preserve"> </w:t>
      </w:r>
    </w:p>
    <w:p w:rsidR="000A6318" w:rsidRPr="0057528C" w:rsidRDefault="00DB65D4" w:rsidP="00B8453D">
      <w:pPr>
        <w:pStyle w:val="Subtitle"/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Updated MassHealth Brand Name Preferred Over Generic Drug List</w:t>
      </w:r>
    </w:p>
    <w:p w:rsidR="000C0B08" w:rsidRPr="000C0B08" w:rsidRDefault="000C0B08" w:rsidP="000C0B08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1"/>
        </w:rPr>
      </w:pPr>
      <w:r w:rsidRPr="000C0B08">
        <w:rPr>
          <w:rFonts w:ascii="Arial" w:hAnsi="Arial" w:cs="Arial"/>
          <w:color w:val="000000"/>
          <w:sz w:val="22"/>
          <w:szCs w:val="21"/>
        </w:rPr>
        <w:t xml:space="preserve">Effective </w:t>
      </w:r>
      <w:r w:rsidRPr="000C0B08">
        <w:rPr>
          <w:rFonts w:ascii="Arial" w:hAnsi="Arial" w:cs="Arial"/>
          <w:color w:val="000000"/>
          <w:sz w:val="22"/>
          <w:szCs w:val="22"/>
        </w:rPr>
        <w:t>November 1, 2021,</w:t>
      </w:r>
      <w:r w:rsidRPr="000C0B08">
        <w:rPr>
          <w:rFonts w:ascii="Arial" w:hAnsi="Arial" w:cs="Arial"/>
          <w:color w:val="000000"/>
          <w:sz w:val="22"/>
          <w:szCs w:val="21"/>
        </w:rPr>
        <w:t xml:space="preserve"> the following agents will be added to the MassHealth Brand Name Preferred Over Generic Drug List. 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bookmarkStart w:id="2" w:name="_Hlk527542710"/>
      <w:r w:rsidRPr="000C0B08">
        <w:rPr>
          <w:rFonts w:ascii="Arial" w:hAnsi="Arial" w:cs="Arial"/>
          <w:color w:val="000000"/>
          <w:sz w:val="21"/>
          <w:szCs w:val="21"/>
        </w:rPr>
        <w:t xml:space="preserve">Absorica (isotretinoin)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0C0B08">
        <w:rPr>
          <w:rFonts w:ascii="Arial" w:hAnsi="Arial" w:cs="Arial"/>
          <w:b/>
          <w:bCs/>
          <w:color w:val="000000"/>
          <w:sz w:val="21"/>
          <w:szCs w:val="21"/>
        </w:rPr>
        <w:t>PA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 xml:space="preserve">Androgel (testosterone 1.62% gel packet)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0C0B08">
        <w:rPr>
          <w:rFonts w:ascii="Arial" w:hAnsi="Arial" w:cs="Arial"/>
          <w:b/>
          <w:bCs/>
          <w:color w:val="000000"/>
          <w:sz w:val="21"/>
          <w:szCs w:val="21"/>
        </w:rPr>
        <w:t>PA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 xml:space="preserve">Depo-Testosterone (testosterone cypionate)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0C0B08">
        <w:rPr>
          <w:rFonts w:ascii="Arial" w:hAnsi="Arial" w:cs="Arial"/>
          <w:b/>
          <w:bCs/>
          <w:color w:val="000000"/>
          <w:sz w:val="21"/>
          <w:szCs w:val="21"/>
        </w:rPr>
        <w:t>PA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 xml:space="preserve">Exelon (rivastigmine patch)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 xml:space="preserve">BP 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– </w:t>
      </w:r>
      <w:r w:rsidRPr="000C0B08">
        <w:rPr>
          <w:rFonts w:ascii="Arial" w:hAnsi="Arial" w:cs="Arial"/>
          <w:b/>
          <w:color w:val="000000"/>
          <w:sz w:val="21"/>
          <w:szCs w:val="21"/>
        </w:rPr>
        <w:t>PA &gt; 1 unit/day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>Fortesta (testosterone 2% gel pump)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 xml:space="preserve"> 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0C0B08">
        <w:rPr>
          <w:rFonts w:ascii="Arial" w:hAnsi="Arial" w:cs="Arial"/>
          <w:b/>
          <w:bCs/>
          <w:color w:val="000000"/>
          <w:sz w:val="21"/>
          <w:szCs w:val="21"/>
        </w:rPr>
        <w:t>PA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 xml:space="preserve">Prometrium (progesterone capsule)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C0B08" w:rsidRPr="000C0B08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1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>Testim (testosterone 1% gel tube)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 xml:space="preserve"> 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– </w:t>
      </w:r>
      <w:r w:rsidRPr="000C0B08">
        <w:rPr>
          <w:rFonts w:ascii="Arial" w:hAnsi="Arial" w:cs="Arial"/>
          <w:b/>
          <w:bCs/>
          <w:color w:val="000000"/>
          <w:sz w:val="21"/>
          <w:szCs w:val="21"/>
        </w:rPr>
        <w:t>PA</w:t>
      </w:r>
    </w:p>
    <w:p w:rsidR="000C0B08" w:rsidRPr="00F62181" w:rsidRDefault="000C0B08" w:rsidP="000C0B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1"/>
        </w:rPr>
      </w:pPr>
      <w:r w:rsidRPr="000C0B08">
        <w:rPr>
          <w:rFonts w:ascii="Arial" w:hAnsi="Arial" w:cs="Arial"/>
          <w:color w:val="000000"/>
          <w:sz w:val="21"/>
          <w:szCs w:val="21"/>
        </w:rPr>
        <w:t xml:space="preserve">Zovirax (acyclovir suspension) </w:t>
      </w:r>
      <w:r w:rsidRPr="000C0B08">
        <w:rPr>
          <w:rFonts w:ascii="Arial" w:hAnsi="Arial" w:cs="Arial"/>
          <w:color w:val="000000"/>
          <w:sz w:val="21"/>
          <w:szCs w:val="21"/>
          <w:vertAlign w:val="superscript"/>
        </w:rPr>
        <w:t>BP</w:t>
      </w:r>
      <w:r w:rsidRPr="000C0B0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9368D" w:rsidRPr="0069368D" w:rsidRDefault="0069368D" w:rsidP="0069368D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1"/>
        </w:rPr>
      </w:pPr>
      <w:bookmarkStart w:id="3" w:name="_Hlk14249184"/>
      <w:bookmarkStart w:id="4" w:name="_Hlk536624120"/>
      <w:r w:rsidRPr="0069368D">
        <w:rPr>
          <w:rFonts w:ascii="Arial" w:hAnsi="Arial" w:cs="Arial"/>
          <w:color w:val="000000"/>
          <w:sz w:val="22"/>
          <w:szCs w:val="21"/>
        </w:rPr>
        <w:lastRenderedPageBreak/>
        <w:t xml:space="preserve">Effective </w:t>
      </w:r>
      <w:r w:rsidRPr="0069368D">
        <w:rPr>
          <w:rFonts w:ascii="Arial" w:hAnsi="Arial" w:cs="Arial"/>
          <w:color w:val="000000"/>
          <w:sz w:val="22"/>
          <w:szCs w:val="22"/>
        </w:rPr>
        <w:t>November 1</w:t>
      </w:r>
      <w:r w:rsidRPr="0069368D">
        <w:rPr>
          <w:rFonts w:ascii="Arial" w:hAnsi="Arial" w:cs="Arial"/>
          <w:color w:val="000000"/>
          <w:sz w:val="22"/>
          <w:szCs w:val="21"/>
        </w:rPr>
        <w:t xml:space="preserve">, 2021, the following agents will be removed from the MassHealth Brand Name Preferred Over Generic Drug List. </w:t>
      </w:r>
    </w:p>
    <w:bookmarkEnd w:id="3"/>
    <w:p w:rsidR="0069368D" w:rsidRPr="0069368D" w:rsidRDefault="0069368D" w:rsidP="0069368D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69368D">
        <w:rPr>
          <w:rFonts w:ascii="Arial" w:hAnsi="Arial" w:cs="Arial"/>
          <w:color w:val="000000"/>
          <w:sz w:val="22"/>
          <w:szCs w:val="22"/>
        </w:rPr>
        <w:t xml:space="preserve">Belbuca (buprenorphine buccal film) – </w:t>
      </w:r>
      <w:r w:rsidRPr="0069368D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69368D" w:rsidRPr="0069368D" w:rsidRDefault="0069368D" w:rsidP="0069368D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40" w:hanging="180"/>
        <w:rPr>
          <w:rFonts w:ascii="Arial" w:hAnsi="Arial" w:cs="Arial"/>
          <w:color w:val="000000"/>
          <w:sz w:val="22"/>
          <w:szCs w:val="22"/>
        </w:rPr>
      </w:pPr>
      <w:r w:rsidRPr="0069368D">
        <w:rPr>
          <w:rFonts w:ascii="Arial" w:hAnsi="Arial" w:cs="Arial"/>
          <w:color w:val="000000"/>
          <w:sz w:val="22"/>
          <w:szCs w:val="22"/>
        </w:rPr>
        <w:t xml:space="preserve">Chantix # (varenicline) </w:t>
      </w:r>
    </w:p>
    <w:bookmarkEnd w:id="4"/>
    <w:p w:rsidR="0069368D" w:rsidRDefault="0069368D" w:rsidP="0069368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4"/>
          <w:szCs w:val="21"/>
        </w:rPr>
      </w:pPr>
    </w:p>
    <w:p w:rsidR="0069368D" w:rsidRDefault="0069368D" w:rsidP="0069368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14"/>
          <w:szCs w:val="21"/>
          <w:u w:val="single"/>
        </w:rPr>
      </w:pPr>
      <w:r>
        <w:rPr>
          <w:rFonts w:ascii="Arial" w:hAnsi="Arial" w:cs="Arial"/>
          <w:color w:val="000000"/>
          <w:sz w:val="14"/>
          <w:szCs w:val="21"/>
          <w:u w:val="single"/>
        </w:rPr>
        <w:t>_____________________________________________</w:t>
      </w:r>
    </w:p>
    <w:p w:rsidR="0069368D" w:rsidRPr="0069368D" w:rsidRDefault="0069368D" w:rsidP="0069368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0"/>
          <w:szCs w:val="21"/>
          <w:u w:val="single"/>
        </w:rPr>
      </w:pPr>
    </w:p>
    <w:p w:rsidR="00B8453D" w:rsidRPr="00B8453D" w:rsidRDefault="00B8453D" w:rsidP="00B8453D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B8453D">
        <w:rPr>
          <w:rFonts w:ascii="Arial" w:hAnsi="Arial"/>
          <w:b/>
          <w:bCs/>
          <w:sz w:val="18"/>
          <w:szCs w:val="18"/>
        </w:rPr>
        <w:t>Legend</w:t>
      </w:r>
    </w:p>
    <w:p w:rsidR="00B8453D" w:rsidRPr="00B8453D" w:rsidRDefault="00B8453D" w:rsidP="00B8453D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sz w:val="18"/>
          <w:szCs w:val="18"/>
        </w:rPr>
      </w:pPr>
    </w:p>
    <w:p w:rsidR="00B8453D" w:rsidRDefault="00B8453D" w:rsidP="00B8453D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8453D">
        <w:rPr>
          <w:rFonts w:ascii="Arial" w:hAnsi="Arial"/>
          <w:b/>
          <w:sz w:val="22"/>
          <w:szCs w:val="22"/>
          <w:vertAlign w:val="superscript"/>
        </w:rPr>
        <w:t>PA</w:t>
      </w:r>
      <w:r>
        <w:rPr>
          <w:rFonts w:ascii="Arial" w:hAnsi="Arial"/>
          <w:b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B8453D" w:rsidRDefault="00B8453D" w:rsidP="00B8453D">
      <w:p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1"/>
          <w:szCs w:val="21"/>
        </w:rPr>
      </w:pPr>
    </w:p>
    <w:p w:rsidR="00B8453D" w:rsidRDefault="00B8453D" w:rsidP="00B8453D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 xml:space="preserve">BP </w:t>
      </w:r>
      <w:r>
        <w:rPr>
          <w:rFonts w:ascii="Arial" w:hAnsi="Arial"/>
          <w:b/>
          <w:sz w:val="18"/>
          <w:szCs w:val="18"/>
          <w:vertAlign w:val="superscript"/>
        </w:rPr>
        <w:t xml:space="preserve">  </w:t>
      </w:r>
      <w:r>
        <w:rPr>
          <w:rFonts w:ascii="Arial" w:hAnsi="Arial"/>
          <w:bCs/>
          <w:sz w:val="18"/>
          <w:szCs w:val="18"/>
        </w:rPr>
        <w:t xml:space="preserve">  </w:t>
      </w:r>
      <w:r>
        <w:rPr>
          <w:rFonts w:ascii="Arial" w:hAnsi="Arial"/>
          <w:bCs/>
          <w:sz w:val="18"/>
          <w:szCs w:val="18"/>
        </w:rPr>
        <w:tab/>
        <w:t>Brand preferred over generic equivalents. In general, MassHealth requires a trial of the preferred drug or clinical rationale for prescribing the nonpreferred drug generic equivalent.</w:t>
      </w:r>
    </w:p>
    <w:p w:rsidR="00B8453D" w:rsidRDefault="00B8453D" w:rsidP="00B8453D">
      <w:p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1"/>
          <w:szCs w:val="21"/>
        </w:rPr>
      </w:pPr>
    </w:p>
    <w:p w:rsidR="00B8453D" w:rsidRDefault="00B8453D" w:rsidP="00B8453D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5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5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:rsidR="00F62181" w:rsidRPr="009D6D73" w:rsidRDefault="00F62181" w:rsidP="00B8453D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:rsidR="00F62181" w:rsidRDefault="00F62181" w:rsidP="00F62181">
      <w:pPr>
        <w:shd w:val="clear" w:color="auto" w:fill="FFFFFF"/>
        <w:ind w:left="270" w:hanging="441"/>
        <w:rPr>
          <w:rFonts w:ascii="Arial" w:eastAsia="Calibri" w:hAnsi="Arial" w:cs="Arial"/>
          <w:sz w:val="18"/>
          <w:szCs w:val="18"/>
        </w:rPr>
      </w:pPr>
      <w:r>
        <w:rPr>
          <w:rFonts w:ascii="Arial" w:hAnsi="Arial"/>
          <w:b/>
          <w:sz w:val="22"/>
          <w:szCs w:val="22"/>
          <w:vertAlign w:val="superscript"/>
        </w:rPr>
        <w:t>^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>
        <w:rPr>
          <w:rFonts w:ascii="Arial" w:eastAsia="Calibri" w:hAnsi="Arial" w:cs="Arial"/>
          <w:sz w:val="18"/>
          <w:szCs w:val="18"/>
        </w:rPr>
        <w:t>A</w:t>
      </w:r>
      <w:r w:rsidRPr="00061F50">
        <w:rPr>
          <w:rFonts w:ascii="Arial" w:eastAsia="Calibri" w:hAnsi="Arial" w:cs="Arial"/>
          <w:sz w:val="18"/>
          <w:szCs w:val="18"/>
        </w:rPr>
        <w:t>vailable</w:t>
      </w:r>
      <w:r w:rsidRPr="00061F50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through the health care professional who administers the drug. MassHealth does not pay for this drug to be dispensed through a retail pharmacy. </w:t>
      </w:r>
    </w:p>
    <w:p w:rsidR="00F62181" w:rsidRDefault="00F62181" w:rsidP="00B8453D">
      <w:p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1"/>
          <w:szCs w:val="21"/>
        </w:rPr>
      </w:pPr>
    </w:p>
    <w:p w:rsidR="00B8453D" w:rsidRDefault="00B8453D" w:rsidP="00B8453D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:rsidR="00B8453D" w:rsidRDefault="00B8453D" w:rsidP="00B8453D">
      <w:pPr>
        <w:autoSpaceDE w:val="0"/>
        <w:autoSpaceDN w:val="0"/>
        <w:adjustRightInd w:val="0"/>
        <w:spacing w:line="276" w:lineRule="auto"/>
        <w:ind w:left="540"/>
        <w:rPr>
          <w:rFonts w:ascii="Arial" w:hAnsi="Arial" w:cs="Arial"/>
          <w:color w:val="000000"/>
          <w:sz w:val="21"/>
          <w:szCs w:val="21"/>
        </w:rPr>
      </w:pPr>
    </w:p>
    <w:p w:rsidR="00B8453D" w:rsidRPr="00B8453D" w:rsidRDefault="00B8453D" w:rsidP="00F62181">
      <w:pPr>
        <w:spacing w:after="120"/>
        <w:ind w:left="270" w:right="547" w:hanging="450"/>
        <w:rPr>
          <w:rFonts w:ascii="Arial" w:hAnsi="Arial" w:cs="Arial"/>
          <w:sz w:val="20"/>
        </w:rPr>
      </w:pPr>
      <w:r w:rsidRPr="00B8453D">
        <w:rPr>
          <w:rFonts w:ascii="Arial" w:hAnsi="Arial" w:cs="Arial"/>
          <w:b/>
          <w:sz w:val="22"/>
          <w:vertAlign w:val="superscript"/>
        </w:rPr>
        <w:t>CO</w:t>
      </w:r>
      <w:r w:rsidRPr="00B8453D">
        <w:rPr>
          <w:rFonts w:ascii="Arial" w:hAnsi="Arial" w:cs="Arial"/>
        </w:rPr>
        <w:t xml:space="preserve"> </w:t>
      </w:r>
      <w:r w:rsidR="00F62181">
        <w:rPr>
          <w:rFonts w:ascii="Arial" w:hAnsi="Arial" w:cs="Arial"/>
        </w:rPr>
        <w:tab/>
      </w:r>
      <w:r w:rsidRPr="00B8453D">
        <w:rPr>
          <w:rFonts w:ascii="Arial" w:hAnsi="Arial" w:cs="Arial"/>
          <w:sz w:val="20"/>
        </w:rPr>
        <w:t>Carve-Out. This agent is listed on the Acute Hospital Carve-Out Drugs List and is</w:t>
      </w:r>
      <w:r w:rsidRPr="00B8453D">
        <w:rPr>
          <w:rFonts w:ascii="Arial" w:hAnsi="Arial"/>
          <w:sz w:val="20"/>
        </w:rPr>
        <w:t xml:space="preserve"> subject to additional monitoring and billing requirements.</w:t>
      </w:r>
    </w:p>
    <w:p w:rsidR="00B8453D" w:rsidRDefault="00B8453D" w:rsidP="0069368D">
      <w:pPr>
        <w:autoSpaceDE w:val="0"/>
        <w:autoSpaceDN w:val="0"/>
        <w:adjustRightInd w:val="0"/>
        <w:spacing w:after="2880" w:line="276" w:lineRule="auto"/>
        <w:ind w:left="547"/>
        <w:rPr>
          <w:rFonts w:ascii="Arial" w:hAnsi="Arial" w:cs="Arial"/>
          <w:color w:val="000000"/>
          <w:sz w:val="22"/>
          <w:szCs w:val="21"/>
        </w:rPr>
      </w:pPr>
    </w:p>
    <w:p w:rsidR="00F62181" w:rsidRPr="000C0B08" w:rsidRDefault="00F62181" w:rsidP="00B47D37">
      <w:pPr>
        <w:autoSpaceDE w:val="0"/>
        <w:autoSpaceDN w:val="0"/>
        <w:adjustRightInd w:val="0"/>
        <w:spacing w:after="1320" w:line="276" w:lineRule="auto"/>
        <w:ind w:left="547"/>
        <w:rPr>
          <w:rFonts w:ascii="Arial" w:hAnsi="Arial" w:cs="Arial"/>
          <w:color w:val="000000"/>
          <w:sz w:val="22"/>
          <w:szCs w:val="21"/>
        </w:rPr>
      </w:pPr>
    </w:p>
    <w:bookmarkEnd w:id="2"/>
    <w:p w:rsidR="00D66801" w:rsidRDefault="00D66801" w:rsidP="00B8453D">
      <w:pPr>
        <w:shd w:val="clear" w:color="auto" w:fill="FFFFFF"/>
        <w:rPr>
          <w:bCs/>
          <w:sz w:val="18"/>
          <w:szCs w:val="18"/>
        </w:rPr>
        <w:sectPr w:rsidR="00D66801" w:rsidSect="00137D3D">
          <w:headerReference w:type="default" r:id="rId15"/>
          <w:footerReference w:type="default" r:id="rId16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</w:p>
    <w:p w:rsidR="00A650DC" w:rsidRPr="00B8453D" w:rsidRDefault="00A650DC" w:rsidP="00B8453D">
      <w:pPr>
        <w:tabs>
          <w:tab w:val="left" w:pos="1606"/>
        </w:tabs>
        <w:rPr>
          <w:sz w:val="2"/>
        </w:rPr>
      </w:pPr>
    </w:p>
    <w:sectPr w:rsidR="00A650DC" w:rsidRPr="00B8453D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2E" w:rsidRDefault="00AF4F2E" w:rsidP="00492602">
      <w:r>
        <w:separator/>
      </w:r>
    </w:p>
  </w:endnote>
  <w:endnote w:type="continuationSeparator" w:id="0">
    <w:p w:rsidR="00AF4F2E" w:rsidRDefault="00AF4F2E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62" w:rsidRDefault="00487862" w:rsidP="0048786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385E65">
      <w:rPr>
        <w:rFonts w:ascii="Arial" w:hAnsi="Arial" w:cs="Arial"/>
        <w:iCs/>
        <w:sz w:val="18"/>
        <w:szCs w:val="18"/>
      </w:rPr>
      <w:t xml:space="preserve"> to</w:t>
    </w:r>
    <w:r w:rsidRPr="002D3600">
      <w:rPr>
        <w:rFonts w:ascii="Arial" w:hAnsi="Arial" w:cs="Arial"/>
        <w:iCs/>
        <w:sz w:val="18"/>
        <w:szCs w:val="18"/>
      </w:rPr>
      <w:t xml:space="preserve"> </w:t>
    </w:r>
  </w:p>
  <w:p w:rsidR="00637A67" w:rsidRPr="00E24139" w:rsidRDefault="004D194A" w:rsidP="0048786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487862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2E" w:rsidRDefault="00AF4F2E" w:rsidP="00492602">
      <w:r>
        <w:separator/>
      </w:r>
    </w:p>
  </w:footnote>
  <w:footnote w:type="continuationSeparator" w:id="0">
    <w:p w:rsidR="00AF4F2E" w:rsidRDefault="00AF4F2E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Pr="00687459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auto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687459" w:rsidRPr="00687459">
      <w:rPr>
        <w:color w:val="auto"/>
        <w:sz w:val="18"/>
        <w:szCs w:val="18"/>
      </w:rPr>
      <w:t>173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4D194A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20A46"/>
    <w:multiLevelType w:val="hybridMultilevel"/>
    <w:tmpl w:val="C08A2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4409D"/>
    <w:multiLevelType w:val="hybridMultilevel"/>
    <w:tmpl w:val="275A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8255C"/>
    <w:multiLevelType w:val="hybridMultilevel"/>
    <w:tmpl w:val="DB607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1374B5"/>
    <w:multiLevelType w:val="hybridMultilevel"/>
    <w:tmpl w:val="FB1E65E2"/>
    <w:lvl w:ilvl="0" w:tplc="F94EB276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27707"/>
    <w:multiLevelType w:val="hybridMultilevel"/>
    <w:tmpl w:val="A7365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10"/>
  </w:num>
  <w:num w:numId="5">
    <w:abstractNumId w:val="12"/>
  </w:num>
  <w:num w:numId="6">
    <w:abstractNumId w:val="17"/>
  </w:num>
  <w:num w:numId="7">
    <w:abstractNumId w:val="23"/>
  </w:num>
  <w:num w:numId="8">
    <w:abstractNumId w:val="3"/>
  </w:num>
  <w:num w:numId="9">
    <w:abstractNumId w:val="0"/>
  </w:num>
  <w:num w:numId="10">
    <w:abstractNumId w:val="20"/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11"/>
  </w:num>
  <w:num w:numId="22">
    <w:abstractNumId w:val="24"/>
  </w:num>
  <w:num w:numId="23">
    <w:abstractNumId w:val="25"/>
  </w:num>
  <w:num w:numId="24">
    <w:abstractNumId w:val="16"/>
  </w:num>
  <w:num w:numId="25">
    <w:abstractNumId w:val="21"/>
  </w:num>
  <w:num w:numId="26">
    <w:abstractNumId w:val="8"/>
  </w:num>
  <w:num w:numId="27">
    <w:abstractNumId w:val="26"/>
  </w:num>
  <w:num w:numId="28">
    <w:abstractNumId w:val="9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B276F"/>
    <w:rsid w:val="000C0B08"/>
    <w:rsid w:val="000D1502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07DE3"/>
    <w:rsid w:val="0021214A"/>
    <w:rsid w:val="00212622"/>
    <w:rsid w:val="0022066D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36F8F"/>
    <w:rsid w:val="00360067"/>
    <w:rsid w:val="00361733"/>
    <w:rsid w:val="0036343A"/>
    <w:rsid w:val="00372195"/>
    <w:rsid w:val="0037373E"/>
    <w:rsid w:val="00375713"/>
    <w:rsid w:val="00382054"/>
    <w:rsid w:val="00385E65"/>
    <w:rsid w:val="003911FC"/>
    <w:rsid w:val="003B6839"/>
    <w:rsid w:val="003C45A1"/>
    <w:rsid w:val="003D3B27"/>
    <w:rsid w:val="003F533B"/>
    <w:rsid w:val="00425F28"/>
    <w:rsid w:val="00447A5F"/>
    <w:rsid w:val="00456B5A"/>
    <w:rsid w:val="004664D3"/>
    <w:rsid w:val="00473E89"/>
    <w:rsid w:val="00487862"/>
    <w:rsid w:val="00492602"/>
    <w:rsid w:val="0049423D"/>
    <w:rsid w:val="0049630E"/>
    <w:rsid w:val="004A3BAA"/>
    <w:rsid w:val="004A7395"/>
    <w:rsid w:val="004C1DAD"/>
    <w:rsid w:val="004D194A"/>
    <w:rsid w:val="004D1BC7"/>
    <w:rsid w:val="004D79B2"/>
    <w:rsid w:val="004E333E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B5BD8"/>
    <w:rsid w:val="005C759C"/>
    <w:rsid w:val="005D723D"/>
    <w:rsid w:val="005E5762"/>
    <w:rsid w:val="005F2371"/>
    <w:rsid w:val="00623469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87459"/>
    <w:rsid w:val="00690023"/>
    <w:rsid w:val="0069368D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A5111"/>
    <w:rsid w:val="007B2F2D"/>
    <w:rsid w:val="007B4429"/>
    <w:rsid w:val="007B7425"/>
    <w:rsid w:val="007F5417"/>
    <w:rsid w:val="00804116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C5414"/>
    <w:rsid w:val="008E4B33"/>
    <w:rsid w:val="008F0130"/>
    <w:rsid w:val="008F2E4C"/>
    <w:rsid w:val="00905C46"/>
    <w:rsid w:val="00906EEC"/>
    <w:rsid w:val="009166DF"/>
    <w:rsid w:val="009204C7"/>
    <w:rsid w:val="00920A1C"/>
    <w:rsid w:val="00922030"/>
    <w:rsid w:val="00927BE4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9F5614"/>
    <w:rsid w:val="00A01DE3"/>
    <w:rsid w:val="00A06542"/>
    <w:rsid w:val="00A11371"/>
    <w:rsid w:val="00A120E1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AF4F2E"/>
    <w:rsid w:val="00B01BAA"/>
    <w:rsid w:val="00B07BD7"/>
    <w:rsid w:val="00B13AA5"/>
    <w:rsid w:val="00B3099B"/>
    <w:rsid w:val="00B40A71"/>
    <w:rsid w:val="00B47D37"/>
    <w:rsid w:val="00B503C7"/>
    <w:rsid w:val="00B54AB5"/>
    <w:rsid w:val="00B645C9"/>
    <w:rsid w:val="00B8453D"/>
    <w:rsid w:val="00B86F04"/>
    <w:rsid w:val="00B92C96"/>
    <w:rsid w:val="00BA6356"/>
    <w:rsid w:val="00BA64D7"/>
    <w:rsid w:val="00BA68F0"/>
    <w:rsid w:val="00BD08CA"/>
    <w:rsid w:val="00BD2089"/>
    <w:rsid w:val="00BE15A5"/>
    <w:rsid w:val="00BF0DF4"/>
    <w:rsid w:val="00C00CF2"/>
    <w:rsid w:val="00C15672"/>
    <w:rsid w:val="00C21680"/>
    <w:rsid w:val="00C31421"/>
    <w:rsid w:val="00C33753"/>
    <w:rsid w:val="00C35B94"/>
    <w:rsid w:val="00C559C9"/>
    <w:rsid w:val="00C82FA4"/>
    <w:rsid w:val="00CA0669"/>
    <w:rsid w:val="00CA1E7C"/>
    <w:rsid w:val="00CB0030"/>
    <w:rsid w:val="00CB7521"/>
    <w:rsid w:val="00CC57AC"/>
    <w:rsid w:val="00CC776C"/>
    <w:rsid w:val="00CD02D6"/>
    <w:rsid w:val="00CD6D68"/>
    <w:rsid w:val="00CF2057"/>
    <w:rsid w:val="00D0584B"/>
    <w:rsid w:val="00D2695E"/>
    <w:rsid w:val="00D450C8"/>
    <w:rsid w:val="00D521FA"/>
    <w:rsid w:val="00D66801"/>
    <w:rsid w:val="00D81121"/>
    <w:rsid w:val="00D939D0"/>
    <w:rsid w:val="00DA6A55"/>
    <w:rsid w:val="00DB65D4"/>
    <w:rsid w:val="00E06F7D"/>
    <w:rsid w:val="00E228F5"/>
    <w:rsid w:val="00E24139"/>
    <w:rsid w:val="00E31D7F"/>
    <w:rsid w:val="00E3616D"/>
    <w:rsid w:val="00E50862"/>
    <w:rsid w:val="00E60ABB"/>
    <w:rsid w:val="00E62D91"/>
    <w:rsid w:val="00E67611"/>
    <w:rsid w:val="00E67713"/>
    <w:rsid w:val="00E72DFF"/>
    <w:rsid w:val="00E92E47"/>
    <w:rsid w:val="00E95534"/>
    <w:rsid w:val="00E9576D"/>
    <w:rsid w:val="00EC08AC"/>
    <w:rsid w:val="00EC1948"/>
    <w:rsid w:val="00EC1AC1"/>
    <w:rsid w:val="00ED4639"/>
    <w:rsid w:val="00EE000C"/>
    <w:rsid w:val="00EE54D2"/>
    <w:rsid w:val="00EF7C8A"/>
    <w:rsid w:val="00F2514F"/>
    <w:rsid w:val="00F25E7F"/>
    <w:rsid w:val="00F274DE"/>
    <w:rsid w:val="00F6038A"/>
    <w:rsid w:val="00F62181"/>
    <w:rsid w:val="00F621C4"/>
    <w:rsid w:val="00F643E6"/>
    <w:rsid w:val="00F76D69"/>
    <w:rsid w:val="00F76DC0"/>
    <w:rsid w:val="00F9012C"/>
    <w:rsid w:val="00F9097E"/>
    <w:rsid w:val="00F93C6C"/>
    <w:rsid w:val="00FA5147"/>
    <w:rsid w:val="00FB0C11"/>
    <w:rsid w:val="00FB3B0A"/>
    <w:rsid w:val="00FD4894"/>
    <w:rsid w:val="00FE3C2D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F621C4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F621C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48786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F621C4"/>
    <w:rPr>
      <w:sz w:val="22"/>
      <w:szCs w:val="22"/>
    </w:rPr>
  </w:style>
  <w:style w:type="paragraph" w:styleId="NoSpacing">
    <w:name w:val="No Spacing"/>
    <w:basedOn w:val="Normal"/>
    <w:link w:val="NoSpacingChar"/>
    <w:uiPriority w:val="1"/>
    <w:qFormat/>
    <w:rsid w:val="00F621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druglis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ass.gov/druglis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8E73-6C80-43A8-8416-EC3E71E2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4740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2021-10-29T15:01:00Z</dcterms:created>
  <dcterms:modified xsi:type="dcterms:W3CDTF">2021-10-29T15:01:00Z</dcterms:modified>
</cp:coreProperties>
</file>