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C42" w:rsidRPr="00A767E3" w:rsidRDefault="00A767E3" w:rsidP="00A767E3">
      <w:pPr>
        <w:pStyle w:val="Heading1"/>
      </w:pPr>
      <w:r w:rsidRPr="00A767E3">
        <w:rPr>
          <w:color w:val="FFFFFF" w:themeColor="background1"/>
        </w:rPr>
        <w:t>Pharmacy Facts</w:t>
      </w:r>
      <w:r>
        <w:br/>
      </w:r>
      <w:r w:rsidR="007E4380" w:rsidRPr="00A767E3">
        <w:t xml:space="preserve">Number </w:t>
      </w:r>
      <w:r w:rsidR="00D15A4A" w:rsidRPr="00A767E3">
        <w:t>174</w:t>
      </w:r>
      <w:r w:rsidR="00801C42" w:rsidRPr="00A767E3">
        <w:t xml:space="preserve">, </w:t>
      </w:r>
      <w:r w:rsidR="00D15A4A" w:rsidRPr="00A767E3">
        <w:t>December 14, 2021</w:t>
      </w:r>
    </w:p>
    <w:p w:rsidR="006F35F9" w:rsidRPr="00801C42" w:rsidRDefault="000C710E" w:rsidP="00801C42">
      <w:pPr>
        <w:pStyle w:val="Noparagraphstyle"/>
        <w:rPr>
          <w:rFonts w:ascii="Arial Narrow" w:hAnsi="Arial Narrow"/>
          <w:b/>
          <w:sz w:val="20"/>
          <w:szCs w:val="20"/>
        </w:rPr>
        <w:sectPr w:rsidR="006F35F9" w:rsidRPr="00801C42" w:rsidSect="00E45649">
          <w:footerReference w:type="default" r:id="rId9"/>
          <w:footerReference w:type="first" r:id="rId10"/>
          <w:pgSz w:w="12240" w:h="15840" w:code="1"/>
          <w:pgMar w:top="626" w:right="907" w:bottom="446" w:left="907" w:header="0" w:footer="288" w:gutter="0"/>
          <w:cols w:space="720"/>
          <w:docGrid w:linePitch="360"/>
        </w:sectPr>
      </w:pPr>
      <w:r>
        <w:rPr>
          <w:rFonts w:ascii="Arial" w:hAnsi="Arial" w:cs="Arial"/>
          <w:noProof/>
          <w:sz w:val="21"/>
          <w:szCs w:val="21"/>
        </w:rPr>
        <w:drawing>
          <wp:inline distT="0" distB="0" distL="0" distR="0" wp14:anchorId="18484586" wp14:editId="279FF076">
            <wp:extent cx="6808206" cy="1665157"/>
            <wp:effectExtent l="0" t="0" r="0" b="0"/>
            <wp:docPr id="1" name="Picture 1" descr="Pharmacy Facts Logo and Masthead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08206" cy="1665157"/>
                    </a:xfrm>
                    <a:prstGeom prst="rect">
                      <a:avLst/>
                    </a:prstGeom>
                  </pic:spPr>
                </pic:pic>
              </a:graphicData>
            </a:graphic>
          </wp:inline>
        </w:drawing>
      </w:r>
      <w:r w:rsidRPr="002F5D90">
        <w:rPr>
          <w:rFonts w:ascii="Arial Narrow" w:hAnsi="Arial Narrow"/>
          <w:b/>
          <w:color w:val="FF0000"/>
          <w:sz w:val="20"/>
          <w:szCs w:val="20"/>
        </w:rPr>
        <w:t xml:space="preserve"> </w:t>
      </w:r>
    </w:p>
    <w:p w:rsidR="00CD6D68" w:rsidRPr="00140D3B" w:rsidRDefault="000C710E" w:rsidP="00A767E3">
      <w:pPr>
        <w:pStyle w:val="Heading2"/>
      </w:pPr>
      <w:r>
        <w:lastRenderedPageBreak/>
        <w:t xml:space="preserve">MHDL </w:t>
      </w:r>
      <w:r w:rsidRPr="00A767E3">
        <w:t>U</w:t>
      </w:r>
      <w:bookmarkStart w:id="0" w:name="_GoBack"/>
      <w:bookmarkEnd w:id="0"/>
      <w:r w:rsidRPr="00A767E3">
        <w:t>pdate</w:t>
      </w:r>
    </w:p>
    <w:p w:rsidR="00CD6D68" w:rsidRPr="00C60193" w:rsidRDefault="00CD6D68" w:rsidP="00CD6D68">
      <w:pPr>
        <w:rPr>
          <w:sz w:val="22"/>
          <w:szCs w:val="22"/>
        </w:rPr>
      </w:pPr>
    </w:p>
    <w:p w:rsidR="000C710E" w:rsidRPr="000C710E" w:rsidRDefault="000C710E" w:rsidP="000C710E">
      <w:pPr>
        <w:rPr>
          <w:rFonts w:ascii="Arial" w:hAnsi="Arial" w:cs="Arial"/>
          <w:sz w:val="22"/>
          <w:szCs w:val="22"/>
        </w:rPr>
      </w:pPr>
      <w:r w:rsidRPr="000C710E">
        <w:rPr>
          <w:rFonts w:ascii="Arial" w:hAnsi="Arial" w:cs="Arial"/>
          <w:sz w:val="22"/>
          <w:szCs w:val="22"/>
        </w:rPr>
        <w:t>Below are certain updates to the MassHealth Drug List (MHDL).  See the MHDL for a complete listing of updates.</w:t>
      </w:r>
    </w:p>
    <w:p w:rsidR="00CD6D68" w:rsidRDefault="00CD6D68" w:rsidP="00CD6D68">
      <w:pPr>
        <w:rPr>
          <w:rFonts w:ascii="Arial" w:hAnsi="Arial" w:cs="Arial"/>
          <w:sz w:val="22"/>
          <w:szCs w:val="22"/>
        </w:rPr>
      </w:pPr>
    </w:p>
    <w:p w:rsidR="00CD6D68" w:rsidRPr="00140D3B" w:rsidRDefault="000C710E" w:rsidP="00A767E3">
      <w:pPr>
        <w:pStyle w:val="Heading2"/>
        <w:rPr>
          <w:rFonts w:ascii="Arial" w:hAnsi="Arial"/>
          <w:sz w:val="22"/>
          <w:szCs w:val="22"/>
        </w:rPr>
      </w:pPr>
      <w:r>
        <w:t>Additions</w:t>
      </w:r>
    </w:p>
    <w:p w:rsidR="00CD6D68" w:rsidRPr="00BE1214" w:rsidRDefault="000C710E" w:rsidP="00E5205D">
      <w:pPr>
        <w:numPr>
          <w:ilvl w:val="0"/>
          <w:numId w:val="11"/>
        </w:numPr>
        <w:autoSpaceDE w:val="0"/>
        <w:autoSpaceDN w:val="0"/>
        <w:adjustRightInd w:val="0"/>
        <w:spacing w:before="120"/>
        <w:ind w:left="360" w:hanging="274"/>
        <w:rPr>
          <w:rFonts w:ascii="Arial" w:hAnsi="Arial" w:cs="Arial"/>
          <w:color w:val="000000"/>
          <w:sz w:val="22"/>
          <w:szCs w:val="22"/>
          <w:lang w:val="fr-FR"/>
        </w:rPr>
      </w:pPr>
      <w:r>
        <w:rPr>
          <w:rFonts w:ascii="Arial" w:hAnsi="Arial" w:cs="Arial"/>
          <w:sz w:val="22"/>
          <w:szCs w:val="22"/>
          <w:lang w:val="fr-FR"/>
        </w:rPr>
        <w:t xml:space="preserve">Effective </w:t>
      </w:r>
      <w:proofErr w:type="spellStart"/>
      <w:r>
        <w:rPr>
          <w:rFonts w:ascii="Arial" w:hAnsi="Arial" w:cs="Arial"/>
          <w:sz w:val="22"/>
          <w:szCs w:val="22"/>
          <w:lang w:val="fr-FR"/>
        </w:rPr>
        <w:t>December</w:t>
      </w:r>
      <w:proofErr w:type="spellEnd"/>
      <w:r>
        <w:rPr>
          <w:rFonts w:ascii="Arial" w:hAnsi="Arial" w:cs="Arial"/>
          <w:sz w:val="22"/>
          <w:szCs w:val="22"/>
          <w:lang w:val="fr-FR"/>
        </w:rPr>
        <w:t xml:space="preserve"> 20, 2021, the </w:t>
      </w:r>
      <w:proofErr w:type="spellStart"/>
      <w:r>
        <w:rPr>
          <w:rFonts w:ascii="Arial" w:hAnsi="Arial" w:cs="Arial"/>
          <w:sz w:val="22"/>
          <w:szCs w:val="22"/>
          <w:lang w:val="fr-FR"/>
        </w:rPr>
        <w:t>following</w:t>
      </w:r>
      <w:proofErr w:type="spellEnd"/>
      <w:r>
        <w:rPr>
          <w:rFonts w:ascii="Arial" w:hAnsi="Arial" w:cs="Arial"/>
          <w:sz w:val="22"/>
          <w:szCs w:val="22"/>
          <w:lang w:val="fr-FR"/>
        </w:rPr>
        <w:t xml:space="preserve"> </w:t>
      </w:r>
      <w:proofErr w:type="spellStart"/>
      <w:r>
        <w:rPr>
          <w:rFonts w:ascii="Arial" w:hAnsi="Arial" w:cs="Arial"/>
          <w:sz w:val="22"/>
          <w:szCs w:val="22"/>
          <w:lang w:val="fr-FR"/>
        </w:rPr>
        <w:t>newly</w:t>
      </w:r>
      <w:proofErr w:type="spellEnd"/>
      <w:r>
        <w:rPr>
          <w:rFonts w:ascii="Arial" w:hAnsi="Arial" w:cs="Arial"/>
          <w:sz w:val="22"/>
          <w:szCs w:val="22"/>
          <w:lang w:val="fr-FR"/>
        </w:rPr>
        <w:t xml:space="preserve"> </w:t>
      </w:r>
      <w:proofErr w:type="spellStart"/>
      <w:r>
        <w:rPr>
          <w:rFonts w:ascii="Arial" w:hAnsi="Arial" w:cs="Arial"/>
          <w:sz w:val="22"/>
          <w:szCs w:val="22"/>
          <w:lang w:val="fr-FR"/>
        </w:rPr>
        <w:t>marketed</w:t>
      </w:r>
      <w:proofErr w:type="spellEnd"/>
      <w:r>
        <w:rPr>
          <w:rFonts w:ascii="Arial" w:hAnsi="Arial" w:cs="Arial"/>
          <w:sz w:val="22"/>
          <w:szCs w:val="22"/>
          <w:lang w:val="fr-FR"/>
        </w:rPr>
        <w:t xml:space="preserve"> </w:t>
      </w:r>
      <w:proofErr w:type="spellStart"/>
      <w:r>
        <w:rPr>
          <w:rFonts w:ascii="Arial" w:hAnsi="Arial" w:cs="Arial"/>
          <w:sz w:val="22"/>
          <w:szCs w:val="22"/>
          <w:lang w:val="fr-FR"/>
        </w:rPr>
        <w:t>drugs</w:t>
      </w:r>
      <w:proofErr w:type="spellEnd"/>
      <w:r>
        <w:rPr>
          <w:rFonts w:ascii="Arial" w:hAnsi="Arial" w:cs="Arial"/>
          <w:sz w:val="22"/>
          <w:szCs w:val="22"/>
          <w:lang w:val="fr-FR"/>
        </w:rPr>
        <w:t xml:space="preserve"> have been </w:t>
      </w:r>
      <w:proofErr w:type="spellStart"/>
      <w:r>
        <w:rPr>
          <w:rFonts w:ascii="Arial" w:hAnsi="Arial" w:cs="Arial"/>
          <w:sz w:val="22"/>
          <w:szCs w:val="22"/>
          <w:lang w:val="fr-FR"/>
        </w:rPr>
        <w:t>added</w:t>
      </w:r>
      <w:proofErr w:type="spellEnd"/>
      <w:r>
        <w:rPr>
          <w:rFonts w:ascii="Arial" w:hAnsi="Arial" w:cs="Arial"/>
          <w:sz w:val="22"/>
          <w:szCs w:val="22"/>
          <w:lang w:val="fr-FR"/>
        </w:rPr>
        <w:t xml:space="preserve"> to the MassHealth Drug List</w:t>
      </w:r>
      <w:r w:rsidR="00CD6D68" w:rsidRPr="00BE1214">
        <w:rPr>
          <w:rFonts w:ascii="Arial" w:hAnsi="Arial" w:cs="Arial"/>
          <w:color w:val="000000"/>
          <w:sz w:val="22"/>
          <w:szCs w:val="22"/>
          <w:lang w:val="fr-FR"/>
        </w:rPr>
        <w:t xml:space="preserve">. </w:t>
      </w:r>
    </w:p>
    <w:p w:rsidR="00D15A4A" w:rsidRPr="00D15A4A" w:rsidRDefault="00D15A4A" w:rsidP="00531A82">
      <w:pPr>
        <w:numPr>
          <w:ilvl w:val="0"/>
          <w:numId w:val="12"/>
        </w:numPr>
        <w:autoSpaceDE w:val="0"/>
        <w:autoSpaceDN w:val="0"/>
        <w:adjustRightInd w:val="0"/>
        <w:spacing w:before="120"/>
        <w:ind w:left="634" w:hanging="274"/>
        <w:rPr>
          <w:rFonts w:ascii="Arial" w:hAnsi="Arial" w:cs="Arial"/>
          <w:color w:val="000000"/>
          <w:sz w:val="22"/>
          <w:szCs w:val="22"/>
        </w:rPr>
      </w:pPr>
      <w:proofErr w:type="spellStart"/>
      <w:r w:rsidRPr="00D15A4A">
        <w:rPr>
          <w:rFonts w:ascii="Arial" w:hAnsi="Arial" w:cs="Arial"/>
          <w:sz w:val="22"/>
          <w:szCs w:val="21"/>
        </w:rPr>
        <w:t>Brexafemme</w:t>
      </w:r>
      <w:proofErr w:type="spellEnd"/>
      <w:r w:rsidRPr="00D15A4A">
        <w:rPr>
          <w:rFonts w:ascii="Arial" w:hAnsi="Arial" w:cs="Arial"/>
          <w:sz w:val="22"/>
          <w:szCs w:val="21"/>
        </w:rPr>
        <w:t xml:space="preserve"> (</w:t>
      </w:r>
      <w:proofErr w:type="spellStart"/>
      <w:r w:rsidRPr="00D15A4A">
        <w:rPr>
          <w:rFonts w:ascii="Arial" w:hAnsi="Arial" w:cs="Arial"/>
          <w:sz w:val="22"/>
          <w:szCs w:val="21"/>
        </w:rPr>
        <w:t>ibrexafungerp</w:t>
      </w:r>
      <w:proofErr w:type="spellEnd"/>
      <w:r w:rsidRPr="00D15A4A">
        <w:rPr>
          <w:rFonts w:ascii="Arial" w:hAnsi="Arial" w:cs="Arial"/>
          <w:sz w:val="22"/>
          <w:szCs w:val="21"/>
        </w:rPr>
        <w:t xml:space="preserve">) – </w:t>
      </w:r>
      <w:r w:rsidRPr="00D15A4A">
        <w:rPr>
          <w:rFonts w:ascii="Arial" w:hAnsi="Arial" w:cs="Arial"/>
          <w:b/>
          <w:sz w:val="22"/>
          <w:szCs w:val="21"/>
        </w:rPr>
        <w:t>PA</w:t>
      </w:r>
      <w:r w:rsidRPr="00D15A4A">
        <w:rPr>
          <w:rFonts w:ascii="Arial" w:hAnsi="Arial" w:cs="Arial"/>
          <w:sz w:val="22"/>
          <w:szCs w:val="21"/>
        </w:rPr>
        <w:t xml:space="preserve"> </w:t>
      </w:r>
    </w:p>
    <w:p w:rsidR="00D15A4A" w:rsidRPr="00D15A4A" w:rsidRDefault="00D15A4A" w:rsidP="00531A82">
      <w:pPr>
        <w:numPr>
          <w:ilvl w:val="0"/>
          <w:numId w:val="12"/>
        </w:numPr>
        <w:autoSpaceDE w:val="0"/>
        <w:autoSpaceDN w:val="0"/>
        <w:adjustRightInd w:val="0"/>
        <w:ind w:left="634" w:hanging="274"/>
        <w:rPr>
          <w:rFonts w:ascii="Arial" w:hAnsi="Arial" w:cs="Arial"/>
          <w:sz w:val="22"/>
          <w:szCs w:val="21"/>
        </w:rPr>
      </w:pPr>
      <w:proofErr w:type="spellStart"/>
      <w:r w:rsidRPr="00D15A4A">
        <w:rPr>
          <w:rFonts w:ascii="Arial" w:hAnsi="Arial" w:cs="Arial"/>
          <w:sz w:val="22"/>
          <w:szCs w:val="21"/>
        </w:rPr>
        <w:t>Bylvay</w:t>
      </w:r>
      <w:proofErr w:type="spellEnd"/>
      <w:r w:rsidRPr="00D15A4A">
        <w:rPr>
          <w:rFonts w:ascii="Arial" w:hAnsi="Arial" w:cs="Arial"/>
          <w:sz w:val="22"/>
          <w:szCs w:val="21"/>
        </w:rPr>
        <w:t xml:space="preserve"> (</w:t>
      </w:r>
      <w:proofErr w:type="spellStart"/>
      <w:r w:rsidRPr="00D15A4A">
        <w:rPr>
          <w:rFonts w:ascii="Arial" w:hAnsi="Arial" w:cs="Arial"/>
          <w:sz w:val="22"/>
          <w:szCs w:val="21"/>
        </w:rPr>
        <w:t>odevixibat</w:t>
      </w:r>
      <w:proofErr w:type="spellEnd"/>
      <w:r w:rsidRPr="00D15A4A">
        <w:rPr>
          <w:rFonts w:ascii="Arial" w:hAnsi="Arial" w:cs="Arial"/>
          <w:sz w:val="22"/>
          <w:szCs w:val="21"/>
        </w:rPr>
        <w:t xml:space="preserve">) – </w:t>
      </w:r>
      <w:r w:rsidRPr="00D15A4A">
        <w:rPr>
          <w:rFonts w:ascii="Arial" w:hAnsi="Arial" w:cs="Arial"/>
          <w:b/>
          <w:sz w:val="22"/>
          <w:szCs w:val="21"/>
        </w:rPr>
        <w:t>PA</w:t>
      </w:r>
      <w:r w:rsidRPr="00D15A4A">
        <w:rPr>
          <w:rFonts w:ascii="Arial" w:hAnsi="Arial" w:cs="Arial"/>
          <w:sz w:val="22"/>
          <w:szCs w:val="21"/>
        </w:rPr>
        <w:t xml:space="preserve"> </w:t>
      </w:r>
    </w:p>
    <w:p w:rsidR="00D15A4A" w:rsidRPr="00D15A4A" w:rsidRDefault="00D15A4A" w:rsidP="00531A82">
      <w:pPr>
        <w:numPr>
          <w:ilvl w:val="0"/>
          <w:numId w:val="12"/>
        </w:numPr>
        <w:autoSpaceDE w:val="0"/>
        <w:autoSpaceDN w:val="0"/>
        <w:adjustRightInd w:val="0"/>
        <w:ind w:left="634" w:hanging="274"/>
        <w:rPr>
          <w:rFonts w:ascii="Arial" w:hAnsi="Arial" w:cs="Arial"/>
          <w:sz w:val="22"/>
          <w:szCs w:val="21"/>
        </w:rPr>
      </w:pPr>
      <w:proofErr w:type="spellStart"/>
      <w:r w:rsidRPr="00D15A4A">
        <w:rPr>
          <w:rFonts w:ascii="Arial" w:hAnsi="Arial" w:cs="Arial"/>
          <w:sz w:val="22"/>
          <w:szCs w:val="21"/>
        </w:rPr>
        <w:t>Dengvaxia</w:t>
      </w:r>
      <w:proofErr w:type="spellEnd"/>
      <w:r w:rsidRPr="00D15A4A">
        <w:rPr>
          <w:rFonts w:ascii="Arial" w:hAnsi="Arial" w:cs="Arial"/>
          <w:sz w:val="22"/>
          <w:szCs w:val="21"/>
        </w:rPr>
        <w:t xml:space="preserve"> (dengue tetravalent vaccine, live)</w:t>
      </w:r>
    </w:p>
    <w:p w:rsidR="00D15A4A" w:rsidRPr="00D15A4A" w:rsidRDefault="00D15A4A" w:rsidP="00531A82">
      <w:pPr>
        <w:numPr>
          <w:ilvl w:val="0"/>
          <w:numId w:val="12"/>
        </w:numPr>
        <w:autoSpaceDE w:val="0"/>
        <w:autoSpaceDN w:val="0"/>
        <w:adjustRightInd w:val="0"/>
        <w:ind w:left="634" w:hanging="274"/>
        <w:rPr>
          <w:rFonts w:ascii="Arial" w:hAnsi="Arial" w:cs="Arial"/>
          <w:sz w:val="22"/>
          <w:szCs w:val="21"/>
        </w:rPr>
      </w:pPr>
      <w:r w:rsidRPr="00D15A4A">
        <w:rPr>
          <w:rFonts w:ascii="Arial" w:hAnsi="Arial" w:cs="Arial"/>
          <w:sz w:val="22"/>
          <w:szCs w:val="21"/>
        </w:rPr>
        <w:t>erythromycin stearate tablet</w:t>
      </w:r>
    </w:p>
    <w:p w:rsidR="00D15A4A" w:rsidRPr="00D15A4A" w:rsidRDefault="00D15A4A" w:rsidP="00531A82">
      <w:pPr>
        <w:numPr>
          <w:ilvl w:val="0"/>
          <w:numId w:val="12"/>
        </w:numPr>
        <w:autoSpaceDE w:val="0"/>
        <w:autoSpaceDN w:val="0"/>
        <w:adjustRightInd w:val="0"/>
        <w:ind w:left="634" w:hanging="274"/>
        <w:rPr>
          <w:rFonts w:ascii="Arial" w:hAnsi="Arial" w:cs="Arial"/>
          <w:sz w:val="22"/>
          <w:szCs w:val="21"/>
        </w:rPr>
      </w:pPr>
      <w:proofErr w:type="spellStart"/>
      <w:r w:rsidRPr="00D15A4A">
        <w:rPr>
          <w:rFonts w:ascii="Arial" w:hAnsi="Arial" w:cs="Arial"/>
          <w:sz w:val="22"/>
          <w:szCs w:val="22"/>
        </w:rPr>
        <w:t>Hemady</w:t>
      </w:r>
      <w:proofErr w:type="spellEnd"/>
      <w:r w:rsidRPr="00D15A4A">
        <w:rPr>
          <w:rFonts w:ascii="Arial" w:hAnsi="Arial" w:cs="Arial"/>
          <w:sz w:val="21"/>
          <w:szCs w:val="21"/>
        </w:rPr>
        <w:t xml:space="preserve"> (dexamethasone 20 mg tablet) –</w:t>
      </w:r>
      <w:r w:rsidRPr="00D15A4A">
        <w:rPr>
          <w:rFonts w:ascii="Arial" w:hAnsi="Arial" w:cs="Arial"/>
          <w:sz w:val="22"/>
          <w:szCs w:val="21"/>
        </w:rPr>
        <w:t xml:space="preserve"> </w:t>
      </w:r>
      <w:r w:rsidRPr="00D15A4A">
        <w:rPr>
          <w:rFonts w:ascii="Arial" w:hAnsi="Arial" w:cs="Arial"/>
          <w:b/>
          <w:sz w:val="22"/>
          <w:szCs w:val="21"/>
        </w:rPr>
        <w:t>PA</w:t>
      </w:r>
      <w:r w:rsidRPr="00D15A4A">
        <w:rPr>
          <w:rFonts w:ascii="Arial" w:hAnsi="Arial" w:cs="Arial"/>
          <w:sz w:val="22"/>
          <w:szCs w:val="21"/>
        </w:rPr>
        <w:t xml:space="preserve"> </w:t>
      </w:r>
    </w:p>
    <w:p w:rsidR="00D15A4A" w:rsidRPr="00D15A4A" w:rsidRDefault="00D15A4A" w:rsidP="00531A82">
      <w:pPr>
        <w:numPr>
          <w:ilvl w:val="0"/>
          <w:numId w:val="12"/>
        </w:numPr>
        <w:autoSpaceDE w:val="0"/>
        <w:autoSpaceDN w:val="0"/>
        <w:adjustRightInd w:val="0"/>
        <w:ind w:left="634" w:hanging="274"/>
        <w:rPr>
          <w:rFonts w:ascii="Arial" w:hAnsi="Arial" w:cs="Arial"/>
          <w:sz w:val="22"/>
          <w:szCs w:val="21"/>
        </w:rPr>
      </w:pPr>
      <w:proofErr w:type="spellStart"/>
      <w:r w:rsidRPr="00D15A4A">
        <w:rPr>
          <w:rFonts w:ascii="Arial" w:hAnsi="Arial" w:cs="Arial"/>
          <w:sz w:val="22"/>
          <w:szCs w:val="21"/>
        </w:rPr>
        <w:t>Rezurock</w:t>
      </w:r>
      <w:proofErr w:type="spellEnd"/>
      <w:r w:rsidRPr="00D15A4A">
        <w:rPr>
          <w:rFonts w:ascii="Arial" w:hAnsi="Arial" w:cs="Arial"/>
          <w:sz w:val="22"/>
          <w:szCs w:val="21"/>
        </w:rPr>
        <w:t xml:space="preserve"> (</w:t>
      </w:r>
      <w:proofErr w:type="spellStart"/>
      <w:r w:rsidRPr="00D15A4A">
        <w:rPr>
          <w:rFonts w:ascii="Arial" w:hAnsi="Arial" w:cs="Arial"/>
          <w:sz w:val="22"/>
          <w:szCs w:val="21"/>
        </w:rPr>
        <w:t>belumosudil</w:t>
      </w:r>
      <w:proofErr w:type="spellEnd"/>
      <w:r w:rsidRPr="00D15A4A">
        <w:rPr>
          <w:rFonts w:ascii="Arial" w:hAnsi="Arial" w:cs="Arial"/>
          <w:sz w:val="22"/>
          <w:szCs w:val="21"/>
        </w:rPr>
        <w:t xml:space="preserve">) – </w:t>
      </w:r>
      <w:r w:rsidRPr="00D15A4A">
        <w:rPr>
          <w:rFonts w:ascii="Arial" w:hAnsi="Arial" w:cs="Arial"/>
          <w:b/>
          <w:sz w:val="22"/>
          <w:szCs w:val="21"/>
        </w:rPr>
        <w:t>PA</w:t>
      </w:r>
      <w:r w:rsidRPr="00D15A4A">
        <w:rPr>
          <w:rFonts w:ascii="Arial" w:hAnsi="Arial" w:cs="Arial"/>
          <w:sz w:val="22"/>
          <w:szCs w:val="21"/>
        </w:rPr>
        <w:t xml:space="preserve"> </w:t>
      </w:r>
    </w:p>
    <w:p w:rsidR="00D15A4A" w:rsidRPr="00D15A4A" w:rsidRDefault="00D15A4A" w:rsidP="00531A82">
      <w:pPr>
        <w:numPr>
          <w:ilvl w:val="0"/>
          <w:numId w:val="12"/>
        </w:numPr>
        <w:autoSpaceDE w:val="0"/>
        <w:autoSpaceDN w:val="0"/>
        <w:adjustRightInd w:val="0"/>
        <w:ind w:left="634" w:hanging="274"/>
        <w:rPr>
          <w:rFonts w:ascii="Arial" w:hAnsi="Arial" w:cs="Arial"/>
          <w:sz w:val="22"/>
          <w:szCs w:val="21"/>
        </w:rPr>
      </w:pPr>
      <w:proofErr w:type="spellStart"/>
      <w:r w:rsidRPr="00D15A4A">
        <w:rPr>
          <w:rFonts w:ascii="Arial" w:hAnsi="Arial" w:cs="Arial"/>
          <w:sz w:val="22"/>
          <w:szCs w:val="21"/>
        </w:rPr>
        <w:t>Ticovac</w:t>
      </w:r>
      <w:proofErr w:type="spellEnd"/>
      <w:r w:rsidRPr="00D15A4A">
        <w:rPr>
          <w:rFonts w:ascii="Arial" w:hAnsi="Arial" w:cs="Arial"/>
          <w:sz w:val="22"/>
          <w:szCs w:val="21"/>
        </w:rPr>
        <w:t xml:space="preserve"> (tick-borne encephalitis vaccine)</w:t>
      </w:r>
    </w:p>
    <w:p w:rsidR="00D15A4A" w:rsidRPr="00D15A4A" w:rsidRDefault="00D15A4A" w:rsidP="00531A82">
      <w:pPr>
        <w:numPr>
          <w:ilvl w:val="0"/>
          <w:numId w:val="12"/>
        </w:numPr>
        <w:autoSpaceDE w:val="0"/>
        <w:autoSpaceDN w:val="0"/>
        <w:adjustRightInd w:val="0"/>
        <w:ind w:left="634" w:hanging="274"/>
        <w:rPr>
          <w:rFonts w:ascii="Arial" w:hAnsi="Arial" w:cs="Arial"/>
          <w:sz w:val="22"/>
          <w:szCs w:val="21"/>
        </w:rPr>
      </w:pPr>
      <w:proofErr w:type="spellStart"/>
      <w:r w:rsidRPr="00D15A4A">
        <w:rPr>
          <w:rFonts w:ascii="Arial" w:hAnsi="Arial" w:cs="Arial"/>
          <w:sz w:val="22"/>
          <w:szCs w:val="21"/>
        </w:rPr>
        <w:t>Truseltiq</w:t>
      </w:r>
      <w:proofErr w:type="spellEnd"/>
      <w:r w:rsidRPr="00D15A4A">
        <w:rPr>
          <w:rFonts w:ascii="Arial" w:hAnsi="Arial" w:cs="Arial"/>
          <w:sz w:val="22"/>
          <w:szCs w:val="21"/>
        </w:rPr>
        <w:t xml:space="preserve"> (</w:t>
      </w:r>
      <w:proofErr w:type="spellStart"/>
      <w:r w:rsidRPr="00D15A4A">
        <w:rPr>
          <w:rFonts w:ascii="Arial" w:hAnsi="Arial" w:cs="Arial"/>
          <w:sz w:val="22"/>
          <w:szCs w:val="21"/>
        </w:rPr>
        <w:t>infigratinib</w:t>
      </w:r>
      <w:proofErr w:type="spellEnd"/>
      <w:r w:rsidRPr="00D15A4A">
        <w:rPr>
          <w:rFonts w:ascii="Arial" w:hAnsi="Arial" w:cs="Arial"/>
          <w:sz w:val="22"/>
          <w:szCs w:val="21"/>
        </w:rPr>
        <w:t xml:space="preserve">) – </w:t>
      </w:r>
      <w:r w:rsidRPr="00D15A4A">
        <w:rPr>
          <w:rFonts w:ascii="Arial" w:hAnsi="Arial" w:cs="Arial"/>
          <w:b/>
          <w:sz w:val="22"/>
          <w:szCs w:val="21"/>
        </w:rPr>
        <w:t>PA</w:t>
      </w:r>
      <w:r w:rsidRPr="00D15A4A">
        <w:rPr>
          <w:rFonts w:ascii="Arial" w:hAnsi="Arial" w:cs="Arial"/>
          <w:sz w:val="22"/>
          <w:szCs w:val="21"/>
        </w:rPr>
        <w:t xml:space="preserve"> </w:t>
      </w:r>
    </w:p>
    <w:p w:rsidR="00D15A4A" w:rsidRPr="00D15A4A" w:rsidRDefault="00D15A4A" w:rsidP="00531A82">
      <w:pPr>
        <w:numPr>
          <w:ilvl w:val="0"/>
          <w:numId w:val="12"/>
        </w:numPr>
        <w:autoSpaceDE w:val="0"/>
        <w:autoSpaceDN w:val="0"/>
        <w:adjustRightInd w:val="0"/>
        <w:ind w:left="634" w:hanging="274"/>
        <w:rPr>
          <w:rFonts w:ascii="Arial" w:hAnsi="Arial" w:cs="Arial"/>
          <w:sz w:val="22"/>
          <w:szCs w:val="21"/>
        </w:rPr>
      </w:pPr>
      <w:proofErr w:type="spellStart"/>
      <w:r w:rsidRPr="00D15A4A">
        <w:rPr>
          <w:rFonts w:ascii="Arial" w:hAnsi="Arial" w:cs="Arial"/>
          <w:sz w:val="22"/>
          <w:szCs w:val="21"/>
        </w:rPr>
        <w:t>Zynlonta</w:t>
      </w:r>
      <w:proofErr w:type="spellEnd"/>
      <w:r w:rsidRPr="00D15A4A">
        <w:rPr>
          <w:rFonts w:ascii="Arial" w:hAnsi="Arial" w:cs="Arial"/>
          <w:sz w:val="22"/>
          <w:szCs w:val="21"/>
        </w:rPr>
        <w:t xml:space="preserve"> (</w:t>
      </w:r>
      <w:proofErr w:type="spellStart"/>
      <w:r w:rsidRPr="00D15A4A">
        <w:rPr>
          <w:rFonts w:ascii="Arial" w:hAnsi="Arial" w:cs="Arial"/>
          <w:sz w:val="22"/>
          <w:szCs w:val="21"/>
        </w:rPr>
        <w:t>loncastuximab</w:t>
      </w:r>
      <w:proofErr w:type="spellEnd"/>
      <w:r w:rsidRPr="00D15A4A">
        <w:rPr>
          <w:rFonts w:ascii="Arial" w:hAnsi="Arial" w:cs="Arial"/>
          <w:sz w:val="22"/>
          <w:szCs w:val="21"/>
        </w:rPr>
        <w:t xml:space="preserve"> </w:t>
      </w:r>
      <w:proofErr w:type="spellStart"/>
      <w:r w:rsidRPr="00D15A4A">
        <w:rPr>
          <w:rFonts w:ascii="Arial" w:hAnsi="Arial" w:cs="Arial"/>
          <w:sz w:val="22"/>
          <w:szCs w:val="21"/>
        </w:rPr>
        <w:t>tesirine-lpyl</w:t>
      </w:r>
      <w:proofErr w:type="spellEnd"/>
      <w:r w:rsidRPr="00D15A4A">
        <w:rPr>
          <w:rFonts w:ascii="Arial" w:hAnsi="Arial" w:cs="Arial"/>
          <w:sz w:val="22"/>
          <w:szCs w:val="21"/>
        </w:rPr>
        <w:t xml:space="preserve">) – </w:t>
      </w:r>
      <w:r w:rsidRPr="00D15A4A">
        <w:rPr>
          <w:rFonts w:ascii="Arial" w:hAnsi="Arial" w:cs="Arial"/>
          <w:b/>
          <w:sz w:val="22"/>
          <w:szCs w:val="21"/>
        </w:rPr>
        <w:t>PA</w:t>
      </w:r>
    </w:p>
    <w:p w:rsidR="00106F55" w:rsidRPr="00106F55" w:rsidRDefault="00106F55" w:rsidP="00045F82">
      <w:pPr>
        <w:numPr>
          <w:ilvl w:val="0"/>
          <w:numId w:val="11"/>
        </w:numPr>
        <w:autoSpaceDE w:val="0"/>
        <w:autoSpaceDN w:val="0"/>
        <w:adjustRightInd w:val="0"/>
        <w:spacing w:before="120"/>
        <w:ind w:left="360" w:hanging="274"/>
        <w:rPr>
          <w:rFonts w:ascii="Arial" w:hAnsi="Arial" w:cs="Arial"/>
          <w:sz w:val="22"/>
          <w:szCs w:val="22"/>
          <w:lang w:val="fr-FR"/>
        </w:rPr>
      </w:pPr>
      <w:r w:rsidRPr="00106F55">
        <w:rPr>
          <w:rFonts w:ascii="Arial" w:hAnsi="Arial" w:cs="Arial"/>
          <w:sz w:val="22"/>
          <w:szCs w:val="22"/>
          <w:lang w:val="fr-FR"/>
        </w:rPr>
        <w:t>Effective</w:t>
      </w:r>
      <w:r w:rsidR="00E157C9">
        <w:rPr>
          <w:rFonts w:ascii="Arial" w:hAnsi="Arial" w:cs="Arial"/>
          <w:sz w:val="22"/>
          <w:szCs w:val="22"/>
          <w:lang w:val="fr-FR"/>
        </w:rPr>
        <w:t xml:space="preserve"> for the date </w:t>
      </w:r>
      <w:proofErr w:type="spellStart"/>
      <w:r w:rsidR="00E157C9">
        <w:rPr>
          <w:rFonts w:ascii="Arial" w:hAnsi="Arial" w:cs="Arial"/>
          <w:sz w:val="22"/>
          <w:szCs w:val="22"/>
          <w:lang w:val="fr-FR"/>
        </w:rPr>
        <w:t>listed</w:t>
      </w:r>
      <w:proofErr w:type="spellEnd"/>
      <w:r w:rsidR="00E157C9">
        <w:rPr>
          <w:rFonts w:ascii="Arial" w:hAnsi="Arial" w:cs="Arial"/>
          <w:sz w:val="22"/>
          <w:szCs w:val="22"/>
          <w:lang w:val="fr-FR"/>
        </w:rPr>
        <w:t xml:space="preserve"> </w:t>
      </w:r>
      <w:proofErr w:type="spellStart"/>
      <w:r w:rsidR="00E157C9">
        <w:rPr>
          <w:rFonts w:ascii="Arial" w:hAnsi="Arial" w:cs="Arial"/>
          <w:sz w:val="22"/>
          <w:szCs w:val="22"/>
          <w:lang w:val="fr-FR"/>
        </w:rPr>
        <w:t>below</w:t>
      </w:r>
      <w:proofErr w:type="spellEnd"/>
      <w:r w:rsidR="00E157C9">
        <w:rPr>
          <w:rFonts w:ascii="Arial" w:hAnsi="Arial" w:cs="Arial"/>
          <w:sz w:val="22"/>
          <w:szCs w:val="22"/>
          <w:lang w:val="fr-FR"/>
        </w:rPr>
        <w:t xml:space="preserve">, the </w:t>
      </w:r>
      <w:proofErr w:type="spellStart"/>
      <w:r w:rsidRPr="00106F55">
        <w:rPr>
          <w:rFonts w:ascii="Arial" w:hAnsi="Arial" w:cs="Arial"/>
          <w:sz w:val="22"/>
          <w:szCs w:val="22"/>
          <w:lang w:val="fr-FR"/>
        </w:rPr>
        <w:t>following</w:t>
      </w:r>
      <w:proofErr w:type="spellEnd"/>
      <w:r w:rsidRPr="00106F55">
        <w:rPr>
          <w:rFonts w:ascii="Arial" w:hAnsi="Arial" w:cs="Arial"/>
          <w:sz w:val="22"/>
          <w:szCs w:val="22"/>
          <w:lang w:val="fr-FR"/>
        </w:rPr>
        <w:t xml:space="preserve"> COVID-19 </w:t>
      </w:r>
      <w:proofErr w:type="spellStart"/>
      <w:r w:rsidRPr="00106F55">
        <w:rPr>
          <w:rFonts w:ascii="Arial" w:hAnsi="Arial" w:cs="Arial"/>
          <w:sz w:val="22"/>
          <w:szCs w:val="22"/>
          <w:lang w:val="fr-FR"/>
        </w:rPr>
        <w:t>preventative</w:t>
      </w:r>
      <w:proofErr w:type="spellEnd"/>
      <w:r w:rsidRPr="00106F55">
        <w:rPr>
          <w:rFonts w:ascii="Arial" w:hAnsi="Arial" w:cs="Arial"/>
          <w:sz w:val="22"/>
          <w:szCs w:val="22"/>
          <w:lang w:val="fr-FR"/>
        </w:rPr>
        <w:t xml:space="preserve"> </w:t>
      </w:r>
      <w:proofErr w:type="spellStart"/>
      <w:r w:rsidRPr="00106F55">
        <w:rPr>
          <w:rFonts w:ascii="Arial" w:hAnsi="Arial" w:cs="Arial"/>
          <w:sz w:val="22"/>
          <w:szCs w:val="22"/>
          <w:lang w:val="fr-FR"/>
        </w:rPr>
        <w:t>therapy</w:t>
      </w:r>
      <w:proofErr w:type="spellEnd"/>
      <w:r w:rsidRPr="00106F55">
        <w:rPr>
          <w:rFonts w:ascii="Arial" w:hAnsi="Arial" w:cs="Arial"/>
          <w:sz w:val="22"/>
          <w:szCs w:val="22"/>
          <w:lang w:val="fr-FR"/>
        </w:rPr>
        <w:t xml:space="preserve"> has been added to the MassHealth Drug List on </w:t>
      </w:r>
      <w:proofErr w:type="spellStart"/>
      <w:r w:rsidRPr="00106F55">
        <w:rPr>
          <w:rFonts w:ascii="Arial" w:hAnsi="Arial" w:cs="Arial"/>
          <w:sz w:val="22"/>
          <w:szCs w:val="22"/>
          <w:lang w:val="fr-FR"/>
        </w:rPr>
        <w:t>November</w:t>
      </w:r>
      <w:proofErr w:type="spellEnd"/>
      <w:r w:rsidRPr="00106F55">
        <w:rPr>
          <w:rFonts w:ascii="Arial" w:hAnsi="Arial" w:cs="Arial"/>
          <w:sz w:val="22"/>
          <w:szCs w:val="22"/>
          <w:lang w:val="fr-FR"/>
        </w:rPr>
        <w:t xml:space="preserve"> 8, 2021. </w:t>
      </w:r>
    </w:p>
    <w:p w:rsidR="00106F55" w:rsidRDefault="00106F55" w:rsidP="00E157C9">
      <w:pPr>
        <w:numPr>
          <w:ilvl w:val="0"/>
          <w:numId w:val="12"/>
        </w:numPr>
        <w:autoSpaceDE w:val="0"/>
        <w:autoSpaceDN w:val="0"/>
        <w:adjustRightInd w:val="0"/>
        <w:spacing w:before="120"/>
        <w:ind w:left="634" w:hanging="274"/>
        <w:rPr>
          <w:rFonts w:ascii="Arial" w:hAnsi="Arial" w:cs="Arial"/>
          <w:sz w:val="22"/>
          <w:szCs w:val="21"/>
        </w:rPr>
      </w:pPr>
      <w:proofErr w:type="spellStart"/>
      <w:r w:rsidRPr="00106F55">
        <w:rPr>
          <w:rFonts w:ascii="Arial" w:hAnsi="Arial" w:cs="Arial"/>
          <w:sz w:val="22"/>
          <w:szCs w:val="21"/>
        </w:rPr>
        <w:t>Comirnaty</w:t>
      </w:r>
      <w:proofErr w:type="spellEnd"/>
      <w:r w:rsidRPr="00106F55">
        <w:rPr>
          <w:rFonts w:ascii="Arial" w:hAnsi="Arial" w:cs="Arial"/>
          <w:sz w:val="22"/>
          <w:szCs w:val="21"/>
        </w:rPr>
        <w:t xml:space="preserve"> (COVID-19 Pfizer vaccine COVID EUA – October 29, 2021 for members 5 to 11 years of age)</w:t>
      </w:r>
    </w:p>
    <w:p w:rsidR="00106F55" w:rsidRPr="00106F55" w:rsidRDefault="00106F55" w:rsidP="00106F55">
      <w:pPr>
        <w:numPr>
          <w:ilvl w:val="0"/>
          <w:numId w:val="12"/>
        </w:numPr>
        <w:autoSpaceDE w:val="0"/>
        <w:autoSpaceDN w:val="0"/>
        <w:adjustRightInd w:val="0"/>
        <w:spacing w:line="276" w:lineRule="auto"/>
        <w:ind w:left="630" w:hanging="270"/>
        <w:rPr>
          <w:rFonts w:ascii="Arial" w:hAnsi="Arial" w:cs="Arial"/>
          <w:sz w:val="22"/>
          <w:szCs w:val="21"/>
        </w:rPr>
      </w:pPr>
      <w:proofErr w:type="spellStart"/>
      <w:r w:rsidRPr="00106F55">
        <w:rPr>
          <w:rFonts w:ascii="Arial" w:hAnsi="Arial" w:cs="Arial"/>
          <w:sz w:val="22"/>
          <w:szCs w:val="21"/>
        </w:rPr>
        <w:t>Comirnaty</w:t>
      </w:r>
      <w:proofErr w:type="spellEnd"/>
      <w:r w:rsidRPr="00106F55">
        <w:rPr>
          <w:rFonts w:ascii="Arial" w:hAnsi="Arial" w:cs="Arial"/>
          <w:sz w:val="22"/>
          <w:szCs w:val="21"/>
        </w:rPr>
        <w:t xml:space="preserve"> (</w:t>
      </w:r>
      <w:r>
        <w:rPr>
          <w:rFonts w:ascii="Arial" w:hAnsi="Arial" w:cs="Arial"/>
          <w:sz w:val="22"/>
          <w:szCs w:val="21"/>
        </w:rPr>
        <w:t xml:space="preserve">Pfizer </w:t>
      </w:r>
      <w:r w:rsidRPr="00106F55">
        <w:rPr>
          <w:rFonts w:ascii="Arial" w:hAnsi="Arial" w:cs="Arial"/>
          <w:sz w:val="22"/>
          <w:szCs w:val="21"/>
        </w:rPr>
        <w:t>COVID-19 vaccine COVID EUA – October 29, 2021 for members 5 to 11 years of age)</w:t>
      </w:r>
    </w:p>
    <w:p w:rsidR="00106F55" w:rsidRPr="00E5205D" w:rsidRDefault="00E5205D" w:rsidP="00A767E3">
      <w:pPr>
        <w:pStyle w:val="Heading2"/>
      </w:pPr>
      <w:r>
        <w:t>Change in Prior-Authorization Status</w:t>
      </w:r>
    </w:p>
    <w:p w:rsidR="00E5205D" w:rsidRPr="00BE1214" w:rsidRDefault="00E5205D" w:rsidP="00013571">
      <w:pPr>
        <w:numPr>
          <w:ilvl w:val="0"/>
          <w:numId w:val="26"/>
        </w:numPr>
        <w:autoSpaceDE w:val="0"/>
        <w:autoSpaceDN w:val="0"/>
        <w:adjustRightInd w:val="0"/>
        <w:spacing w:before="120"/>
        <w:ind w:left="360" w:hanging="270"/>
        <w:rPr>
          <w:rFonts w:ascii="Arial" w:hAnsi="Arial" w:cs="Arial"/>
          <w:color w:val="000000"/>
          <w:sz w:val="22"/>
          <w:szCs w:val="22"/>
          <w:lang w:val="fr-FR"/>
        </w:rPr>
      </w:pPr>
      <w:r>
        <w:rPr>
          <w:rFonts w:ascii="Arial" w:hAnsi="Arial" w:cs="Arial"/>
          <w:sz w:val="22"/>
          <w:szCs w:val="22"/>
          <w:lang w:val="fr-FR"/>
        </w:rPr>
        <w:t xml:space="preserve">Effective </w:t>
      </w:r>
      <w:proofErr w:type="spellStart"/>
      <w:r>
        <w:rPr>
          <w:rFonts w:ascii="Arial" w:hAnsi="Arial" w:cs="Arial"/>
          <w:sz w:val="22"/>
          <w:szCs w:val="22"/>
          <w:lang w:val="fr-FR"/>
        </w:rPr>
        <w:t>December</w:t>
      </w:r>
      <w:proofErr w:type="spellEnd"/>
      <w:r>
        <w:rPr>
          <w:rFonts w:ascii="Arial" w:hAnsi="Arial" w:cs="Arial"/>
          <w:sz w:val="22"/>
          <w:szCs w:val="22"/>
          <w:lang w:val="fr-FR"/>
        </w:rPr>
        <w:t xml:space="preserve"> 20, 2021, the </w:t>
      </w:r>
      <w:proofErr w:type="spellStart"/>
      <w:r>
        <w:rPr>
          <w:rFonts w:ascii="Arial" w:hAnsi="Arial" w:cs="Arial"/>
          <w:sz w:val="22"/>
          <w:szCs w:val="22"/>
          <w:lang w:val="fr-FR"/>
        </w:rPr>
        <w:t>following</w:t>
      </w:r>
      <w:proofErr w:type="spellEnd"/>
      <w:r>
        <w:rPr>
          <w:rFonts w:ascii="Arial" w:hAnsi="Arial" w:cs="Arial"/>
          <w:sz w:val="22"/>
          <w:szCs w:val="22"/>
          <w:lang w:val="fr-FR"/>
        </w:rPr>
        <w:t xml:space="preserve"> </w:t>
      </w:r>
      <w:r w:rsidR="00E157C9">
        <w:rPr>
          <w:rFonts w:ascii="Arial" w:hAnsi="Arial" w:cs="Arial"/>
          <w:sz w:val="22"/>
          <w:szCs w:val="22"/>
          <w:lang w:val="fr-FR"/>
        </w:rPr>
        <w:t xml:space="preserve">oral </w:t>
      </w:r>
      <w:proofErr w:type="spellStart"/>
      <w:r w:rsidR="00E157C9">
        <w:rPr>
          <w:rFonts w:ascii="Arial" w:hAnsi="Arial" w:cs="Arial"/>
          <w:sz w:val="22"/>
          <w:szCs w:val="22"/>
          <w:lang w:val="fr-FR"/>
        </w:rPr>
        <w:t>antibiotic</w:t>
      </w:r>
      <w:proofErr w:type="spellEnd"/>
      <w:r w:rsidR="00E157C9">
        <w:rPr>
          <w:rFonts w:ascii="Arial" w:hAnsi="Arial" w:cs="Arial"/>
          <w:sz w:val="22"/>
          <w:szCs w:val="22"/>
          <w:lang w:val="fr-FR"/>
        </w:rPr>
        <w:t xml:space="preserve"> agents</w:t>
      </w:r>
      <w:r>
        <w:rPr>
          <w:rFonts w:ascii="Arial" w:hAnsi="Arial" w:cs="Arial"/>
          <w:sz w:val="22"/>
          <w:szCs w:val="22"/>
          <w:lang w:val="fr-FR"/>
        </w:rPr>
        <w:t xml:space="preserve"> </w:t>
      </w:r>
      <w:proofErr w:type="spellStart"/>
      <w:r w:rsidR="00E157C9">
        <w:rPr>
          <w:rFonts w:ascii="Arial" w:hAnsi="Arial" w:cs="Arial"/>
          <w:sz w:val="22"/>
          <w:szCs w:val="22"/>
          <w:lang w:val="fr-FR"/>
        </w:rPr>
        <w:t>will</w:t>
      </w:r>
      <w:proofErr w:type="spellEnd"/>
      <w:r w:rsidR="00E157C9">
        <w:rPr>
          <w:rFonts w:ascii="Arial" w:hAnsi="Arial" w:cs="Arial"/>
          <w:sz w:val="22"/>
          <w:szCs w:val="22"/>
          <w:lang w:val="fr-FR"/>
        </w:rPr>
        <w:t xml:space="preserve"> no longer </w:t>
      </w:r>
      <w:proofErr w:type="spellStart"/>
      <w:r w:rsidR="00E157C9">
        <w:rPr>
          <w:rFonts w:ascii="Arial" w:hAnsi="Arial" w:cs="Arial"/>
          <w:sz w:val="22"/>
          <w:szCs w:val="22"/>
          <w:lang w:val="fr-FR"/>
        </w:rPr>
        <w:t>require</w:t>
      </w:r>
      <w:proofErr w:type="spellEnd"/>
      <w:r w:rsidR="00E157C9">
        <w:rPr>
          <w:rFonts w:ascii="Arial" w:hAnsi="Arial" w:cs="Arial"/>
          <w:sz w:val="22"/>
          <w:szCs w:val="22"/>
          <w:lang w:val="fr-FR"/>
        </w:rPr>
        <w:t xml:space="preserve"> </w:t>
      </w:r>
      <w:proofErr w:type="spellStart"/>
      <w:r w:rsidR="00E157C9">
        <w:rPr>
          <w:rFonts w:ascii="Arial" w:hAnsi="Arial" w:cs="Arial"/>
          <w:sz w:val="22"/>
          <w:szCs w:val="22"/>
          <w:lang w:val="fr-FR"/>
        </w:rPr>
        <w:t>prior</w:t>
      </w:r>
      <w:proofErr w:type="spellEnd"/>
      <w:r w:rsidR="00E157C9">
        <w:rPr>
          <w:rFonts w:ascii="Arial" w:hAnsi="Arial" w:cs="Arial"/>
          <w:sz w:val="22"/>
          <w:szCs w:val="22"/>
          <w:lang w:val="fr-FR"/>
        </w:rPr>
        <w:t xml:space="preserve"> </w:t>
      </w:r>
      <w:proofErr w:type="spellStart"/>
      <w:r w:rsidR="00E157C9">
        <w:rPr>
          <w:rFonts w:ascii="Arial" w:hAnsi="Arial" w:cs="Arial"/>
          <w:sz w:val="22"/>
          <w:szCs w:val="22"/>
          <w:lang w:val="fr-FR"/>
        </w:rPr>
        <w:t>authorization</w:t>
      </w:r>
      <w:proofErr w:type="spellEnd"/>
      <w:r w:rsidR="00E157C9">
        <w:rPr>
          <w:rFonts w:ascii="Arial" w:hAnsi="Arial" w:cs="Arial"/>
          <w:sz w:val="22"/>
          <w:szCs w:val="22"/>
          <w:lang w:val="fr-FR"/>
        </w:rPr>
        <w:t xml:space="preserve"> (PA).</w:t>
      </w:r>
    </w:p>
    <w:p w:rsidR="00E5205D" w:rsidRPr="00D15A4A" w:rsidRDefault="00E157C9" w:rsidP="00E157C9">
      <w:pPr>
        <w:numPr>
          <w:ilvl w:val="0"/>
          <w:numId w:val="12"/>
        </w:numPr>
        <w:autoSpaceDE w:val="0"/>
        <w:autoSpaceDN w:val="0"/>
        <w:adjustRightInd w:val="0"/>
        <w:spacing w:before="120"/>
        <w:ind w:left="634" w:hanging="274"/>
        <w:rPr>
          <w:rFonts w:ascii="Arial" w:hAnsi="Arial" w:cs="Arial"/>
          <w:color w:val="000000"/>
          <w:sz w:val="22"/>
          <w:szCs w:val="22"/>
        </w:rPr>
      </w:pPr>
      <w:r w:rsidRPr="00E157C9">
        <w:rPr>
          <w:rFonts w:ascii="Arial" w:hAnsi="Arial" w:cs="Arial"/>
          <w:sz w:val="22"/>
          <w:szCs w:val="22"/>
        </w:rPr>
        <w:t>moxifloxacin tablet</w:t>
      </w:r>
      <w:r w:rsidR="00E5205D" w:rsidRPr="00D15A4A">
        <w:rPr>
          <w:rFonts w:ascii="Arial" w:hAnsi="Arial" w:cs="Arial"/>
          <w:sz w:val="22"/>
          <w:szCs w:val="21"/>
        </w:rPr>
        <w:t xml:space="preserve"> </w:t>
      </w:r>
    </w:p>
    <w:p w:rsidR="00E5205D" w:rsidRDefault="00E157C9" w:rsidP="00E157C9">
      <w:pPr>
        <w:numPr>
          <w:ilvl w:val="0"/>
          <w:numId w:val="12"/>
        </w:numPr>
        <w:autoSpaceDE w:val="0"/>
        <w:autoSpaceDN w:val="0"/>
        <w:adjustRightInd w:val="0"/>
        <w:spacing w:line="276" w:lineRule="auto"/>
        <w:ind w:left="630" w:hanging="270"/>
        <w:rPr>
          <w:rFonts w:ascii="Arial" w:hAnsi="Arial" w:cs="Arial"/>
          <w:sz w:val="22"/>
          <w:szCs w:val="21"/>
        </w:rPr>
      </w:pPr>
      <w:proofErr w:type="spellStart"/>
      <w:r w:rsidRPr="00E157C9">
        <w:rPr>
          <w:rFonts w:ascii="Arial" w:hAnsi="Arial" w:cs="Arial"/>
          <w:sz w:val="22"/>
          <w:szCs w:val="21"/>
        </w:rPr>
        <w:t>Zyvox</w:t>
      </w:r>
      <w:proofErr w:type="spellEnd"/>
      <w:r w:rsidRPr="00E157C9">
        <w:rPr>
          <w:rFonts w:ascii="Arial" w:hAnsi="Arial" w:cs="Arial"/>
          <w:sz w:val="22"/>
          <w:szCs w:val="21"/>
        </w:rPr>
        <w:t xml:space="preserve"> # (linezolid tablet)</w:t>
      </w:r>
    </w:p>
    <w:p w:rsidR="00E5205D" w:rsidRPr="00D15A4A" w:rsidRDefault="00E5205D" w:rsidP="00E157C9">
      <w:pPr>
        <w:autoSpaceDE w:val="0"/>
        <w:autoSpaceDN w:val="0"/>
        <w:adjustRightInd w:val="0"/>
        <w:spacing w:line="276" w:lineRule="auto"/>
        <w:rPr>
          <w:rFonts w:ascii="Arial" w:hAnsi="Arial" w:cs="Arial"/>
          <w:sz w:val="22"/>
          <w:szCs w:val="21"/>
        </w:rPr>
      </w:pPr>
    </w:p>
    <w:p w:rsidR="00E5205D" w:rsidRPr="00106F55" w:rsidRDefault="00E5205D" w:rsidP="00E5205D">
      <w:pPr>
        <w:numPr>
          <w:ilvl w:val="0"/>
          <w:numId w:val="26"/>
        </w:numPr>
        <w:autoSpaceDE w:val="0"/>
        <w:autoSpaceDN w:val="0"/>
        <w:adjustRightInd w:val="0"/>
        <w:spacing w:before="120"/>
        <w:ind w:left="360" w:hanging="274"/>
        <w:rPr>
          <w:rFonts w:ascii="Arial" w:hAnsi="Arial" w:cs="Arial"/>
          <w:sz w:val="22"/>
          <w:szCs w:val="22"/>
          <w:lang w:val="fr-FR"/>
        </w:rPr>
      </w:pPr>
      <w:r w:rsidRPr="00106F55">
        <w:rPr>
          <w:rFonts w:ascii="Arial" w:hAnsi="Arial" w:cs="Arial"/>
          <w:sz w:val="22"/>
          <w:szCs w:val="22"/>
          <w:lang w:val="fr-FR"/>
        </w:rPr>
        <w:lastRenderedPageBreak/>
        <w:t xml:space="preserve">Effective </w:t>
      </w:r>
      <w:proofErr w:type="spellStart"/>
      <w:r w:rsidR="00E157C9">
        <w:rPr>
          <w:rFonts w:ascii="Arial" w:hAnsi="Arial" w:cs="Arial"/>
          <w:sz w:val="22"/>
          <w:szCs w:val="22"/>
          <w:lang w:val="fr-FR"/>
        </w:rPr>
        <w:t>December</w:t>
      </w:r>
      <w:proofErr w:type="spellEnd"/>
      <w:r w:rsidR="00E157C9">
        <w:rPr>
          <w:rFonts w:ascii="Arial" w:hAnsi="Arial" w:cs="Arial"/>
          <w:sz w:val="22"/>
          <w:szCs w:val="22"/>
          <w:lang w:val="fr-FR"/>
        </w:rPr>
        <w:t xml:space="preserve"> 20, 2021, the </w:t>
      </w:r>
      <w:proofErr w:type="spellStart"/>
      <w:r w:rsidR="00E157C9">
        <w:rPr>
          <w:rFonts w:ascii="Arial" w:hAnsi="Arial" w:cs="Arial"/>
          <w:sz w:val="22"/>
          <w:szCs w:val="22"/>
          <w:lang w:val="fr-FR"/>
        </w:rPr>
        <w:t>following</w:t>
      </w:r>
      <w:proofErr w:type="spellEnd"/>
      <w:r w:rsidR="00E157C9">
        <w:rPr>
          <w:rFonts w:ascii="Arial" w:hAnsi="Arial" w:cs="Arial"/>
          <w:sz w:val="22"/>
          <w:szCs w:val="22"/>
          <w:lang w:val="fr-FR"/>
        </w:rPr>
        <w:t xml:space="preserve"> </w:t>
      </w:r>
      <w:proofErr w:type="spellStart"/>
      <w:r w:rsidR="00E157C9">
        <w:rPr>
          <w:rFonts w:ascii="Arial" w:hAnsi="Arial" w:cs="Arial"/>
          <w:sz w:val="22"/>
          <w:szCs w:val="22"/>
          <w:lang w:val="fr-FR"/>
        </w:rPr>
        <w:t>antibiotic</w:t>
      </w:r>
      <w:proofErr w:type="spellEnd"/>
      <w:r w:rsidR="00E157C9">
        <w:rPr>
          <w:rFonts w:ascii="Arial" w:hAnsi="Arial" w:cs="Arial"/>
          <w:sz w:val="22"/>
          <w:szCs w:val="22"/>
          <w:lang w:val="fr-FR"/>
        </w:rPr>
        <w:t xml:space="preserve"> agents </w:t>
      </w:r>
      <w:proofErr w:type="spellStart"/>
      <w:r w:rsidR="00E157C9">
        <w:rPr>
          <w:rFonts w:ascii="Arial" w:hAnsi="Arial" w:cs="Arial"/>
          <w:sz w:val="22"/>
          <w:szCs w:val="22"/>
          <w:lang w:val="fr-FR"/>
        </w:rPr>
        <w:t>will</w:t>
      </w:r>
      <w:proofErr w:type="spellEnd"/>
      <w:r w:rsidR="00E157C9">
        <w:rPr>
          <w:rFonts w:ascii="Arial" w:hAnsi="Arial" w:cs="Arial"/>
          <w:sz w:val="22"/>
          <w:szCs w:val="22"/>
          <w:lang w:val="fr-FR"/>
        </w:rPr>
        <w:t xml:space="preserve"> </w:t>
      </w:r>
      <w:proofErr w:type="spellStart"/>
      <w:r w:rsidR="00E157C9">
        <w:rPr>
          <w:rFonts w:ascii="Arial" w:hAnsi="Arial" w:cs="Arial"/>
          <w:sz w:val="22"/>
          <w:szCs w:val="22"/>
          <w:lang w:val="fr-FR"/>
        </w:rPr>
        <w:t>require</w:t>
      </w:r>
      <w:proofErr w:type="spellEnd"/>
      <w:r w:rsidR="00E157C9">
        <w:rPr>
          <w:rFonts w:ascii="Arial" w:hAnsi="Arial" w:cs="Arial"/>
          <w:sz w:val="22"/>
          <w:szCs w:val="22"/>
          <w:lang w:val="fr-FR"/>
        </w:rPr>
        <w:t xml:space="preserve"> PA</w:t>
      </w:r>
      <w:r w:rsidRPr="00106F55">
        <w:rPr>
          <w:rFonts w:ascii="Arial" w:hAnsi="Arial" w:cs="Arial"/>
          <w:sz w:val="22"/>
          <w:szCs w:val="22"/>
          <w:lang w:val="fr-FR"/>
        </w:rPr>
        <w:t xml:space="preserve">. </w:t>
      </w:r>
    </w:p>
    <w:p w:rsidR="00E157C9" w:rsidRPr="00E157C9" w:rsidRDefault="00E157C9" w:rsidP="00EE4A06">
      <w:pPr>
        <w:pStyle w:val="Default"/>
        <w:tabs>
          <w:tab w:val="left" w:pos="540"/>
        </w:tabs>
        <w:spacing w:before="120"/>
        <w:ind w:left="360"/>
        <w:rPr>
          <w:rFonts w:ascii="Arial" w:hAnsi="Arial" w:cs="Arial"/>
          <w:sz w:val="22"/>
          <w:szCs w:val="22"/>
        </w:rPr>
      </w:pPr>
      <w:r w:rsidRPr="00E157C9">
        <w:rPr>
          <w:rFonts w:ascii="Arial" w:hAnsi="Arial" w:cs="Arial"/>
          <w:sz w:val="22"/>
          <w:szCs w:val="22"/>
        </w:rPr>
        <w:t>•</w:t>
      </w:r>
      <w:r w:rsidRPr="00E157C9">
        <w:rPr>
          <w:rFonts w:ascii="Arial" w:hAnsi="Arial" w:cs="Arial"/>
          <w:sz w:val="22"/>
          <w:szCs w:val="22"/>
        </w:rPr>
        <w:tab/>
        <w:t xml:space="preserve">cefpodoxime suspension – </w:t>
      </w:r>
      <w:r w:rsidRPr="00045F82">
        <w:rPr>
          <w:rFonts w:ascii="Arial" w:hAnsi="Arial" w:cs="Arial"/>
          <w:b/>
          <w:sz w:val="22"/>
          <w:szCs w:val="22"/>
        </w:rPr>
        <w:t>PA</w:t>
      </w:r>
    </w:p>
    <w:p w:rsidR="00E157C9" w:rsidRPr="00E157C9" w:rsidRDefault="00E157C9" w:rsidP="00EE4A06">
      <w:pPr>
        <w:pStyle w:val="Default"/>
        <w:tabs>
          <w:tab w:val="left" w:pos="540"/>
        </w:tabs>
        <w:spacing w:line="276" w:lineRule="auto"/>
        <w:ind w:left="360"/>
        <w:rPr>
          <w:rFonts w:ascii="Arial" w:hAnsi="Arial" w:cs="Arial"/>
          <w:sz w:val="22"/>
          <w:szCs w:val="22"/>
        </w:rPr>
      </w:pPr>
      <w:r w:rsidRPr="00E157C9">
        <w:rPr>
          <w:rFonts w:ascii="Arial" w:hAnsi="Arial" w:cs="Arial"/>
          <w:sz w:val="22"/>
          <w:szCs w:val="22"/>
        </w:rPr>
        <w:t>•</w:t>
      </w:r>
      <w:r w:rsidRPr="00E157C9">
        <w:rPr>
          <w:rFonts w:ascii="Arial" w:hAnsi="Arial" w:cs="Arial"/>
          <w:sz w:val="22"/>
          <w:szCs w:val="22"/>
        </w:rPr>
        <w:tab/>
        <w:t xml:space="preserve">ciprofloxacin 100 mg tablet – </w:t>
      </w:r>
      <w:r w:rsidRPr="00045F82">
        <w:rPr>
          <w:rFonts w:ascii="Arial" w:hAnsi="Arial" w:cs="Arial"/>
          <w:b/>
          <w:sz w:val="22"/>
          <w:szCs w:val="22"/>
        </w:rPr>
        <w:t>PA</w:t>
      </w:r>
    </w:p>
    <w:p w:rsidR="00E157C9" w:rsidRPr="00E157C9" w:rsidRDefault="00E157C9" w:rsidP="00EE4A06">
      <w:pPr>
        <w:pStyle w:val="Default"/>
        <w:tabs>
          <w:tab w:val="left" w:pos="540"/>
        </w:tabs>
        <w:spacing w:line="276" w:lineRule="auto"/>
        <w:ind w:left="360"/>
        <w:rPr>
          <w:rFonts w:ascii="Arial" w:hAnsi="Arial" w:cs="Arial"/>
          <w:sz w:val="22"/>
          <w:szCs w:val="22"/>
        </w:rPr>
      </w:pPr>
      <w:r w:rsidRPr="00E157C9">
        <w:rPr>
          <w:rFonts w:ascii="Arial" w:hAnsi="Arial" w:cs="Arial"/>
          <w:sz w:val="22"/>
          <w:szCs w:val="22"/>
        </w:rPr>
        <w:t>•</w:t>
      </w:r>
      <w:r w:rsidRPr="00E157C9">
        <w:rPr>
          <w:rFonts w:ascii="Arial" w:hAnsi="Arial" w:cs="Arial"/>
          <w:sz w:val="22"/>
          <w:szCs w:val="22"/>
        </w:rPr>
        <w:tab/>
      </w:r>
      <w:proofErr w:type="spellStart"/>
      <w:r w:rsidRPr="00E157C9">
        <w:rPr>
          <w:rFonts w:ascii="Arial" w:hAnsi="Arial" w:cs="Arial"/>
          <w:sz w:val="22"/>
          <w:szCs w:val="22"/>
        </w:rPr>
        <w:t>Furadantin</w:t>
      </w:r>
      <w:proofErr w:type="spellEnd"/>
      <w:r w:rsidRPr="00E157C9">
        <w:rPr>
          <w:rFonts w:ascii="Arial" w:hAnsi="Arial" w:cs="Arial"/>
          <w:sz w:val="22"/>
          <w:szCs w:val="22"/>
        </w:rPr>
        <w:t xml:space="preserve"> (nitrofurantoin) – </w:t>
      </w:r>
      <w:r w:rsidRPr="00045F82">
        <w:rPr>
          <w:rFonts w:ascii="Arial" w:hAnsi="Arial" w:cs="Arial"/>
          <w:b/>
          <w:sz w:val="22"/>
          <w:szCs w:val="22"/>
        </w:rPr>
        <w:t>PA</w:t>
      </w:r>
      <w:r w:rsidRPr="00E157C9">
        <w:rPr>
          <w:rFonts w:ascii="Arial" w:hAnsi="Arial" w:cs="Arial"/>
          <w:sz w:val="22"/>
          <w:szCs w:val="22"/>
        </w:rPr>
        <w:t xml:space="preserve"> </w:t>
      </w:r>
    </w:p>
    <w:p w:rsidR="00B503C7" w:rsidRPr="00EE4A06" w:rsidRDefault="00E157C9" w:rsidP="00EE4A06">
      <w:pPr>
        <w:pStyle w:val="Default"/>
        <w:tabs>
          <w:tab w:val="left" w:pos="540"/>
        </w:tabs>
        <w:spacing w:line="276" w:lineRule="auto"/>
        <w:ind w:left="360"/>
        <w:rPr>
          <w:rFonts w:ascii="Arial" w:hAnsi="Arial" w:cs="Arial"/>
          <w:sz w:val="22"/>
          <w:szCs w:val="22"/>
        </w:rPr>
      </w:pPr>
      <w:r w:rsidRPr="00E157C9">
        <w:rPr>
          <w:rFonts w:ascii="Arial" w:hAnsi="Arial" w:cs="Arial"/>
          <w:sz w:val="22"/>
          <w:szCs w:val="22"/>
        </w:rPr>
        <w:t>•</w:t>
      </w:r>
      <w:r w:rsidRPr="00E157C9">
        <w:rPr>
          <w:rFonts w:ascii="Arial" w:hAnsi="Arial" w:cs="Arial"/>
          <w:sz w:val="22"/>
          <w:szCs w:val="22"/>
        </w:rPr>
        <w:tab/>
        <w:t>Zithromax (</w:t>
      </w:r>
      <w:r w:rsidRPr="00045F82">
        <w:rPr>
          <w:rFonts w:ascii="Arial" w:hAnsi="Arial" w:cs="Arial"/>
          <w:sz w:val="21"/>
          <w:szCs w:val="21"/>
        </w:rPr>
        <w:t>azithromy</w:t>
      </w:r>
      <w:r w:rsidR="00045F82" w:rsidRPr="00045F82">
        <w:rPr>
          <w:rFonts w:ascii="Arial" w:hAnsi="Arial" w:cs="Arial"/>
          <w:sz w:val="21"/>
          <w:szCs w:val="21"/>
        </w:rPr>
        <w:t>cin powder packet</w:t>
      </w:r>
      <w:r w:rsidR="00045F82">
        <w:rPr>
          <w:rFonts w:ascii="Arial" w:hAnsi="Arial" w:cs="Arial"/>
          <w:sz w:val="22"/>
          <w:szCs w:val="22"/>
        </w:rPr>
        <w:t xml:space="preserve">) – </w:t>
      </w:r>
      <w:r w:rsidRPr="00045F82">
        <w:rPr>
          <w:rFonts w:ascii="Arial" w:hAnsi="Arial" w:cs="Arial"/>
          <w:b/>
          <w:sz w:val="22"/>
          <w:szCs w:val="22"/>
        </w:rPr>
        <w:t>PA</w:t>
      </w:r>
    </w:p>
    <w:p w:rsidR="00045F82" w:rsidRPr="00045F82" w:rsidRDefault="00045F82" w:rsidP="00EE4A06">
      <w:pPr>
        <w:pStyle w:val="ListParagraph"/>
        <w:numPr>
          <w:ilvl w:val="0"/>
          <w:numId w:val="26"/>
        </w:numPr>
        <w:autoSpaceDE w:val="0"/>
        <w:autoSpaceDN w:val="0"/>
        <w:adjustRightInd w:val="0"/>
        <w:spacing w:before="160"/>
        <w:ind w:left="360" w:hanging="274"/>
        <w:rPr>
          <w:rFonts w:ascii="Arial" w:hAnsi="Arial" w:cs="Arial"/>
          <w:sz w:val="22"/>
          <w:szCs w:val="22"/>
        </w:rPr>
      </w:pPr>
      <w:r w:rsidRPr="00045F82">
        <w:rPr>
          <w:rFonts w:ascii="Arial" w:hAnsi="Arial" w:cs="Arial"/>
          <w:sz w:val="22"/>
          <w:szCs w:val="22"/>
        </w:rPr>
        <w:t>Effective December 20, 2021, the following antiviral agent will no longer require PA</w:t>
      </w:r>
      <w:r w:rsidR="00BD371D">
        <w:rPr>
          <w:rFonts w:ascii="Arial" w:hAnsi="Arial" w:cs="Arial"/>
          <w:sz w:val="22"/>
          <w:szCs w:val="22"/>
        </w:rPr>
        <w:t>.</w:t>
      </w:r>
    </w:p>
    <w:p w:rsidR="00781D3B" w:rsidRPr="00045F82" w:rsidRDefault="00045F82" w:rsidP="00045F82">
      <w:pPr>
        <w:numPr>
          <w:ilvl w:val="0"/>
          <w:numId w:val="12"/>
        </w:numPr>
        <w:autoSpaceDE w:val="0"/>
        <w:autoSpaceDN w:val="0"/>
        <w:adjustRightInd w:val="0"/>
        <w:spacing w:before="80"/>
        <w:ind w:left="634" w:hanging="274"/>
        <w:rPr>
          <w:rFonts w:ascii="Arial" w:hAnsi="Arial" w:cs="Arial"/>
          <w:sz w:val="22"/>
          <w:szCs w:val="22"/>
        </w:rPr>
      </w:pPr>
      <w:proofErr w:type="spellStart"/>
      <w:r w:rsidRPr="00045F82">
        <w:rPr>
          <w:rFonts w:ascii="Arial" w:hAnsi="Arial" w:cs="Arial"/>
          <w:sz w:val="22"/>
          <w:szCs w:val="22"/>
        </w:rPr>
        <w:t>D</w:t>
      </w:r>
      <w:r>
        <w:rPr>
          <w:rFonts w:ascii="Arial" w:hAnsi="Arial" w:cs="Arial"/>
          <w:sz w:val="22"/>
          <w:szCs w:val="22"/>
        </w:rPr>
        <w:t>enavir</w:t>
      </w:r>
      <w:proofErr w:type="spellEnd"/>
      <w:r>
        <w:rPr>
          <w:rFonts w:ascii="Arial" w:hAnsi="Arial" w:cs="Arial"/>
          <w:sz w:val="22"/>
          <w:szCs w:val="22"/>
        </w:rPr>
        <w:t xml:space="preserve"> (</w:t>
      </w:r>
      <w:proofErr w:type="spellStart"/>
      <w:r>
        <w:rPr>
          <w:rFonts w:ascii="Arial" w:hAnsi="Arial" w:cs="Arial"/>
          <w:sz w:val="22"/>
          <w:szCs w:val="22"/>
        </w:rPr>
        <w:t>penciclovir</w:t>
      </w:r>
      <w:proofErr w:type="spellEnd"/>
      <w:r>
        <w:rPr>
          <w:rFonts w:ascii="Arial" w:hAnsi="Arial" w:cs="Arial"/>
          <w:sz w:val="22"/>
          <w:szCs w:val="22"/>
        </w:rPr>
        <w:t>)</w:t>
      </w:r>
    </w:p>
    <w:p w:rsidR="00905C46" w:rsidRPr="00905C46" w:rsidRDefault="00905C46" w:rsidP="000C710E">
      <w:pPr>
        <w:autoSpaceDE w:val="0"/>
        <w:autoSpaceDN w:val="0"/>
        <w:adjustRightInd w:val="0"/>
        <w:ind w:left="360" w:hanging="270"/>
        <w:rPr>
          <w:rFonts w:ascii="Arial" w:hAnsi="Arial" w:cs="Arial"/>
          <w:color w:val="000000"/>
        </w:rPr>
      </w:pPr>
    </w:p>
    <w:p w:rsidR="00045F82" w:rsidRDefault="00045F82" w:rsidP="00326A80">
      <w:pPr>
        <w:pStyle w:val="ListParagraph"/>
        <w:numPr>
          <w:ilvl w:val="0"/>
          <w:numId w:val="26"/>
        </w:numPr>
        <w:ind w:left="360"/>
        <w:rPr>
          <w:rFonts w:ascii="Arial" w:hAnsi="Arial" w:cs="Arial"/>
          <w:color w:val="000000"/>
          <w:sz w:val="22"/>
          <w:szCs w:val="22"/>
        </w:rPr>
      </w:pPr>
      <w:r w:rsidRPr="00045F82">
        <w:rPr>
          <w:rFonts w:ascii="Arial" w:hAnsi="Arial" w:cs="Arial"/>
          <w:color w:val="000000"/>
          <w:sz w:val="22"/>
          <w:szCs w:val="22"/>
        </w:rPr>
        <w:t>Effective December 20, 2021, the following anti</w:t>
      </w:r>
      <w:r>
        <w:rPr>
          <w:rFonts w:ascii="Arial" w:hAnsi="Arial" w:cs="Arial"/>
          <w:color w:val="000000"/>
          <w:sz w:val="22"/>
          <w:szCs w:val="22"/>
        </w:rPr>
        <w:t xml:space="preserve">depressant agents </w:t>
      </w:r>
      <w:r w:rsidRPr="00045F82">
        <w:rPr>
          <w:rFonts w:ascii="Arial" w:hAnsi="Arial" w:cs="Arial"/>
          <w:color w:val="000000"/>
          <w:sz w:val="22"/>
          <w:szCs w:val="22"/>
        </w:rPr>
        <w:t>will require PA</w:t>
      </w:r>
      <w:r>
        <w:rPr>
          <w:rFonts w:ascii="Arial" w:hAnsi="Arial" w:cs="Arial"/>
          <w:color w:val="000000"/>
          <w:sz w:val="22"/>
          <w:szCs w:val="22"/>
        </w:rPr>
        <w:t>.</w:t>
      </w:r>
    </w:p>
    <w:p w:rsidR="00326A80" w:rsidRPr="00045F82" w:rsidRDefault="00326A80" w:rsidP="00326A80">
      <w:pPr>
        <w:numPr>
          <w:ilvl w:val="0"/>
          <w:numId w:val="12"/>
        </w:numPr>
        <w:autoSpaceDE w:val="0"/>
        <w:autoSpaceDN w:val="0"/>
        <w:adjustRightInd w:val="0"/>
        <w:spacing w:before="120"/>
        <w:ind w:left="634" w:hanging="274"/>
        <w:rPr>
          <w:rFonts w:ascii="Arial" w:hAnsi="Arial" w:cs="Arial"/>
          <w:sz w:val="22"/>
          <w:szCs w:val="22"/>
        </w:rPr>
      </w:pPr>
      <w:r w:rsidRPr="00326A80">
        <w:rPr>
          <w:rFonts w:ascii="Arial" w:hAnsi="Arial" w:cs="Arial"/>
          <w:sz w:val="22"/>
          <w:szCs w:val="22"/>
        </w:rPr>
        <w:t xml:space="preserve">amitriptyline/chlordiazepoxide – </w:t>
      </w:r>
      <w:r w:rsidRPr="00326A80">
        <w:rPr>
          <w:rFonts w:ascii="Arial" w:hAnsi="Arial" w:cs="Arial"/>
          <w:b/>
          <w:sz w:val="22"/>
          <w:szCs w:val="22"/>
        </w:rPr>
        <w:t>PA</w:t>
      </w:r>
    </w:p>
    <w:p w:rsidR="00045F82" w:rsidRPr="00326A80" w:rsidRDefault="00326A80" w:rsidP="00326A80">
      <w:pPr>
        <w:numPr>
          <w:ilvl w:val="0"/>
          <w:numId w:val="12"/>
        </w:numPr>
        <w:autoSpaceDE w:val="0"/>
        <w:autoSpaceDN w:val="0"/>
        <w:adjustRightInd w:val="0"/>
        <w:ind w:left="630" w:hanging="270"/>
        <w:rPr>
          <w:rFonts w:ascii="Arial" w:hAnsi="Arial" w:cs="Arial"/>
          <w:sz w:val="22"/>
          <w:szCs w:val="22"/>
        </w:rPr>
      </w:pPr>
      <w:r w:rsidRPr="00326A80">
        <w:rPr>
          <w:rFonts w:ascii="Arial" w:hAnsi="Arial" w:cs="Arial"/>
          <w:sz w:val="22"/>
          <w:szCs w:val="22"/>
        </w:rPr>
        <w:t xml:space="preserve">amitriptyline/perphenazine – </w:t>
      </w:r>
      <w:r w:rsidRPr="00326A80">
        <w:rPr>
          <w:rFonts w:ascii="Arial" w:hAnsi="Arial" w:cs="Arial"/>
          <w:b/>
          <w:sz w:val="22"/>
          <w:szCs w:val="22"/>
        </w:rPr>
        <w:t>PA</w:t>
      </w:r>
    </w:p>
    <w:p w:rsidR="00326A80" w:rsidRPr="00326A80" w:rsidRDefault="00326A80" w:rsidP="00326A80">
      <w:pPr>
        <w:numPr>
          <w:ilvl w:val="0"/>
          <w:numId w:val="12"/>
        </w:numPr>
        <w:autoSpaceDE w:val="0"/>
        <w:autoSpaceDN w:val="0"/>
        <w:adjustRightInd w:val="0"/>
        <w:ind w:left="630" w:hanging="270"/>
        <w:rPr>
          <w:rFonts w:ascii="Arial" w:hAnsi="Arial" w:cs="Arial"/>
          <w:sz w:val="22"/>
          <w:szCs w:val="22"/>
        </w:rPr>
      </w:pPr>
      <w:r w:rsidRPr="00326A80">
        <w:rPr>
          <w:rFonts w:ascii="Arial" w:hAnsi="Arial" w:cs="Arial"/>
          <w:sz w:val="22"/>
          <w:szCs w:val="22"/>
        </w:rPr>
        <w:t xml:space="preserve">maprotiline – </w:t>
      </w:r>
      <w:r w:rsidRPr="00326A80">
        <w:rPr>
          <w:rFonts w:ascii="Arial" w:hAnsi="Arial" w:cs="Arial"/>
          <w:b/>
          <w:sz w:val="22"/>
          <w:szCs w:val="22"/>
        </w:rPr>
        <w:t>PA</w:t>
      </w:r>
    </w:p>
    <w:p w:rsidR="00326A80" w:rsidRPr="00326A80" w:rsidRDefault="00326A80" w:rsidP="00326A80">
      <w:pPr>
        <w:numPr>
          <w:ilvl w:val="0"/>
          <w:numId w:val="12"/>
        </w:numPr>
        <w:autoSpaceDE w:val="0"/>
        <w:autoSpaceDN w:val="0"/>
        <w:adjustRightInd w:val="0"/>
        <w:ind w:left="630" w:hanging="270"/>
        <w:rPr>
          <w:rFonts w:ascii="Arial" w:hAnsi="Arial" w:cs="Arial"/>
          <w:sz w:val="22"/>
          <w:szCs w:val="22"/>
        </w:rPr>
      </w:pPr>
      <w:r w:rsidRPr="00326A80">
        <w:rPr>
          <w:rFonts w:ascii="Arial" w:hAnsi="Arial" w:cs="Arial"/>
          <w:sz w:val="22"/>
          <w:szCs w:val="22"/>
        </w:rPr>
        <w:t xml:space="preserve">protriptyline – </w:t>
      </w:r>
      <w:r w:rsidRPr="00326A80">
        <w:rPr>
          <w:rFonts w:ascii="Arial" w:hAnsi="Arial" w:cs="Arial"/>
          <w:b/>
          <w:sz w:val="22"/>
          <w:szCs w:val="22"/>
        </w:rPr>
        <w:t>PA</w:t>
      </w:r>
    </w:p>
    <w:p w:rsidR="00045F82" w:rsidRPr="00326A80" w:rsidRDefault="00326A80" w:rsidP="00326A80">
      <w:pPr>
        <w:numPr>
          <w:ilvl w:val="0"/>
          <w:numId w:val="12"/>
        </w:numPr>
        <w:autoSpaceDE w:val="0"/>
        <w:autoSpaceDN w:val="0"/>
        <w:adjustRightInd w:val="0"/>
        <w:ind w:left="630" w:hanging="270"/>
        <w:rPr>
          <w:rFonts w:ascii="Arial" w:hAnsi="Arial" w:cs="Arial"/>
          <w:sz w:val="22"/>
          <w:szCs w:val="22"/>
        </w:rPr>
      </w:pPr>
      <w:r w:rsidRPr="00326A80">
        <w:rPr>
          <w:rFonts w:ascii="Arial" w:hAnsi="Arial" w:cs="Arial"/>
          <w:sz w:val="22"/>
          <w:szCs w:val="22"/>
        </w:rPr>
        <w:t xml:space="preserve">trimipramine – </w:t>
      </w:r>
      <w:r w:rsidRPr="00326A80">
        <w:rPr>
          <w:rFonts w:ascii="Arial" w:hAnsi="Arial" w:cs="Arial"/>
          <w:b/>
          <w:sz w:val="22"/>
          <w:szCs w:val="22"/>
        </w:rPr>
        <w:t>PA</w:t>
      </w:r>
    </w:p>
    <w:p w:rsidR="00045F82" w:rsidRPr="00045F82" w:rsidRDefault="00045F82" w:rsidP="00045F82">
      <w:pPr>
        <w:pStyle w:val="ListParagraph"/>
        <w:ind w:left="450"/>
        <w:rPr>
          <w:rFonts w:ascii="Arial" w:hAnsi="Arial" w:cs="Arial"/>
          <w:color w:val="000000"/>
          <w:sz w:val="22"/>
          <w:szCs w:val="22"/>
        </w:rPr>
      </w:pPr>
    </w:p>
    <w:p w:rsidR="00B503C7" w:rsidRPr="00BE1214" w:rsidRDefault="00326A80" w:rsidP="00E5205D">
      <w:pPr>
        <w:numPr>
          <w:ilvl w:val="0"/>
          <w:numId w:val="26"/>
        </w:numPr>
        <w:autoSpaceDE w:val="0"/>
        <w:autoSpaceDN w:val="0"/>
        <w:adjustRightInd w:val="0"/>
        <w:spacing w:line="276" w:lineRule="auto"/>
        <w:ind w:left="360" w:hanging="270"/>
        <w:rPr>
          <w:rFonts w:ascii="Arial" w:hAnsi="Arial" w:cs="Arial"/>
          <w:color w:val="000000"/>
          <w:sz w:val="22"/>
          <w:szCs w:val="22"/>
          <w:lang w:val="fr-FR"/>
        </w:rPr>
      </w:pPr>
      <w:r w:rsidRPr="00326A80">
        <w:rPr>
          <w:rFonts w:ascii="Arial" w:hAnsi="Arial" w:cs="Arial"/>
          <w:color w:val="000000"/>
          <w:sz w:val="22"/>
          <w:szCs w:val="22"/>
        </w:rPr>
        <w:t>Effective December 20, 2021, the following corticosteroid agent will require</w:t>
      </w:r>
      <w:r>
        <w:rPr>
          <w:rFonts w:ascii="Arial" w:hAnsi="Arial" w:cs="Arial"/>
          <w:color w:val="000000"/>
          <w:sz w:val="22"/>
          <w:szCs w:val="22"/>
        </w:rPr>
        <w:t xml:space="preserve"> PA</w:t>
      </w:r>
      <w:r w:rsidR="00905C46" w:rsidRPr="00BE1214">
        <w:rPr>
          <w:rFonts w:ascii="Arial" w:hAnsi="Arial" w:cs="Arial"/>
          <w:color w:val="000000"/>
          <w:sz w:val="22"/>
          <w:szCs w:val="22"/>
          <w:lang w:val="fr-FR"/>
        </w:rPr>
        <w:t xml:space="preserve">. </w:t>
      </w:r>
    </w:p>
    <w:p w:rsidR="00B503C7" w:rsidRPr="00326A80" w:rsidRDefault="00326A80" w:rsidP="00326A80">
      <w:pPr>
        <w:numPr>
          <w:ilvl w:val="0"/>
          <w:numId w:val="12"/>
        </w:numPr>
        <w:autoSpaceDE w:val="0"/>
        <w:autoSpaceDN w:val="0"/>
        <w:adjustRightInd w:val="0"/>
        <w:spacing w:line="276" w:lineRule="auto"/>
        <w:ind w:left="630" w:hanging="270"/>
        <w:rPr>
          <w:rFonts w:ascii="Arial" w:hAnsi="Arial" w:cs="Arial"/>
          <w:sz w:val="22"/>
          <w:szCs w:val="22"/>
        </w:rPr>
      </w:pPr>
      <w:r w:rsidRPr="00326A80">
        <w:rPr>
          <w:rFonts w:ascii="Arial" w:hAnsi="Arial" w:cs="Arial"/>
          <w:sz w:val="22"/>
          <w:szCs w:val="22"/>
        </w:rPr>
        <w:t xml:space="preserve">prednisolone tablet – </w:t>
      </w:r>
      <w:r w:rsidRPr="00326A80">
        <w:rPr>
          <w:rFonts w:ascii="Arial" w:hAnsi="Arial" w:cs="Arial"/>
          <w:b/>
          <w:sz w:val="22"/>
          <w:szCs w:val="22"/>
        </w:rPr>
        <w:t>PA</w:t>
      </w:r>
    </w:p>
    <w:p w:rsidR="00326A80" w:rsidRPr="00045F82" w:rsidRDefault="00326A80" w:rsidP="00326A80">
      <w:pPr>
        <w:pStyle w:val="ListParagraph"/>
        <w:ind w:left="450"/>
        <w:rPr>
          <w:rFonts w:ascii="Arial" w:hAnsi="Arial" w:cs="Arial"/>
          <w:color w:val="000000"/>
          <w:sz w:val="22"/>
          <w:szCs w:val="22"/>
        </w:rPr>
      </w:pPr>
    </w:p>
    <w:p w:rsidR="00326A80" w:rsidRPr="00BE1214" w:rsidRDefault="00326A80" w:rsidP="00326A80">
      <w:pPr>
        <w:numPr>
          <w:ilvl w:val="0"/>
          <w:numId w:val="26"/>
        </w:numPr>
        <w:autoSpaceDE w:val="0"/>
        <w:autoSpaceDN w:val="0"/>
        <w:adjustRightInd w:val="0"/>
        <w:spacing w:line="276" w:lineRule="auto"/>
        <w:ind w:left="360" w:hanging="270"/>
        <w:rPr>
          <w:rFonts w:ascii="Arial" w:hAnsi="Arial" w:cs="Arial"/>
          <w:color w:val="000000"/>
          <w:sz w:val="22"/>
          <w:szCs w:val="22"/>
          <w:lang w:val="fr-FR"/>
        </w:rPr>
      </w:pPr>
      <w:r w:rsidRPr="00326A80">
        <w:rPr>
          <w:rFonts w:ascii="Arial" w:hAnsi="Arial" w:cs="Arial"/>
          <w:color w:val="000000"/>
          <w:sz w:val="22"/>
          <w:szCs w:val="22"/>
        </w:rPr>
        <w:t xml:space="preserve">Effective December 20, 2021, the following </w:t>
      </w:r>
      <w:proofErr w:type="spellStart"/>
      <w:r>
        <w:rPr>
          <w:rFonts w:ascii="Arial" w:hAnsi="Arial" w:cs="Arial"/>
          <w:color w:val="000000"/>
          <w:sz w:val="22"/>
          <w:szCs w:val="22"/>
        </w:rPr>
        <w:t>immunosupressant</w:t>
      </w:r>
      <w:proofErr w:type="spellEnd"/>
      <w:r w:rsidRPr="00326A80">
        <w:rPr>
          <w:rFonts w:ascii="Arial" w:hAnsi="Arial" w:cs="Arial"/>
          <w:color w:val="000000"/>
          <w:sz w:val="22"/>
          <w:szCs w:val="22"/>
        </w:rPr>
        <w:t xml:space="preserve"> agent will require</w:t>
      </w:r>
      <w:r>
        <w:rPr>
          <w:rFonts w:ascii="Arial" w:hAnsi="Arial" w:cs="Arial"/>
          <w:color w:val="000000"/>
          <w:sz w:val="22"/>
          <w:szCs w:val="22"/>
        </w:rPr>
        <w:t xml:space="preserve"> PA</w:t>
      </w:r>
      <w:r w:rsidRPr="00BE1214">
        <w:rPr>
          <w:rFonts w:ascii="Arial" w:hAnsi="Arial" w:cs="Arial"/>
          <w:color w:val="000000"/>
          <w:sz w:val="22"/>
          <w:szCs w:val="22"/>
          <w:lang w:val="fr-FR"/>
        </w:rPr>
        <w:t xml:space="preserve">. </w:t>
      </w:r>
    </w:p>
    <w:p w:rsidR="00326A80" w:rsidRPr="00326A80" w:rsidRDefault="00326A80" w:rsidP="00326A80">
      <w:pPr>
        <w:numPr>
          <w:ilvl w:val="0"/>
          <w:numId w:val="12"/>
        </w:numPr>
        <w:autoSpaceDE w:val="0"/>
        <w:autoSpaceDN w:val="0"/>
        <w:adjustRightInd w:val="0"/>
        <w:spacing w:line="276" w:lineRule="auto"/>
        <w:ind w:left="630" w:hanging="270"/>
        <w:rPr>
          <w:rFonts w:ascii="Arial" w:hAnsi="Arial" w:cs="Arial"/>
          <w:sz w:val="22"/>
          <w:szCs w:val="22"/>
        </w:rPr>
      </w:pPr>
      <w:proofErr w:type="spellStart"/>
      <w:r w:rsidRPr="00326A80">
        <w:rPr>
          <w:rFonts w:ascii="Arial" w:hAnsi="Arial" w:cs="Arial"/>
          <w:sz w:val="22"/>
          <w:szCs w:val="22"/>
        </w:rPr>
        <w:t>Sandim</w:t>
      </w:r>
      <w:r>
        <w:rPr>
          <w:rFonts w:ascii="Arial" w:hAnsi="Arial" w:cs="Arial"/>
          <w:sz w:val="22"/>
          <w:szCs w:val="22"/>
        </w:rPr>
        <w:t>mune</w:t>
      </w:r>
      <w:proofErr w:type="spellEnd"/>
      <w:r>
        <w:rPr>
          <w:rFonts w:ascii="Arial" w:hAnsi="Arial" w:cs="Arial"/>
          <w:sz w:val="22"/>
          <w:szCs w:val="22"/>
        </w:rPr>
        <w:t xml:space="preserve"> (cyclosporine solution)</w:t>
      </w:r>
      <w:r w:rsidRPr="00326A80">
        <w:rPr>
          <w:rFonts w:ascii="Arial" w:hAnsi="Arial" w:cs="Arial"/>
          <w:sz w:val="22"/>
          <w:szCs w:val="22"/>
        </w:rPr>
        <w:t xml:space="preserve"> – </w:t>
      </w:r>
      <w:r w:rsidRPr="00326A80">
        <w:rPr>
          <w:rFonts w:ascii="Arial" w:hAnsi="Arial" w:cs="Arial"/>
          <w:b/>
          <w:sz w:val="22"/>
          <w:szCs w:val="22"/>
        </w:rPr>
        <w:t>PA</w:t>
      </w:r>
    </w:p>
    <w:p w:rsidR="00326A80" w:rsidRPr="00045F82" w:rsidRDefault="00326A80" w:rsidP="00326A80">
      <w:pPr>
        <w:pStyle w:val="ListParagraph"/>
        <w:ind w:left="450"/>
        <w:rPr>
          <w:rFonts w:ascii="Arial" w:hAnsi="Arial" w:cs="Arial"/>
          <w:color w:val="000000"/>
          <w:sz w:val="22"/>
          <w:szCs w:val="22"/>
        </w:rPr>
      </w:pPr>
    </w:p>
    <w:p w:rsidR="00326A80" w:rsidRPr="00BE1214" w:rsidRDefault="00326A80" w:rsidP="00326A80">
      <w:pPr>
        <w:numPr>
          <w:ilvl w:val="0"/>
          <w:numId w:val="26"/>
        </w:numPr>
        <w:autoSpaceDE w:val="0"/>
        <w:autoSpaceDN w:val="0"/>
        <w:adjustRightInd w:val="0"/>
        <w:spacing w:line="276" w:lineRule="auto"/>
        <w:ind w:left="360" w:hanging="270"/>
        <w:rPr>
          <w:rFonts w:ascii="Arial" w:hAnsi="Arial" w:cs="Arial"/>
          <w:color w:val="000000"/>
          <w:sz w:val="22"/>
          <w:szCs w:val="22"/>
          <w:lang w:val="fr-FR"/>
        </w:rPr>
      </w:pPr>
      <w:r w:rsidRPr="00326A80">
        <w:rPr>
          <w:rFonts w:ascii="Arial" w:hAnsi="Arial" w:cs="Arial"/>
          <w:color w:val="000000"/>
          <w:sz w:val="22"/>
          <w:szCs w:val="22"/>
        </w:rPr>
        <w:t xml:space="preserve">Effective December 20, 2021, the following </w:t>
      </w:r>
      <w:r w:rsidR="009658AC" w:rsidRPr="00BD371D">
        <w:rPr>
          <w:rFonts w:ascii="Arial" w:hAnsi="Arial" w:cs="Arial"/>
          <w:sz w:val="22"/>
          <w:szCs w:val="22"/>
        </w:rPr>
        <w:t>anti-</w:t>
      </w:r>
      <w:r w:rsidR="009658AC" w:rsidRPr="009658AC">
        <w:rPr>
          <w:rFonts w:ascii="Arial" w:hAnsi="Arial" w:cs="Arial"/>
          <w:sz w:val="22"/>
          <w:szCs w:val="22"/>
        </w:rPr>
        <w:t>acne and rosacea agen</w:t>
      </w:r>
      <w:r w:rsidRPr="00326A80">
        <w:rPr>
          <w:rFonts w:ascii="Arial" w:hAnsi="Arial" w:cs="Arial"/>
          <w:color w:val="000000"/>
          <w:sz w:val="22"/>
          <w:szCs w:val="22"/>
        </w:rPr>
        <w:t xml:space="preserve">t will </w:t>
      </w:r>
      <w:r w:rsidR="009658AC">
        <w:rPr>
          <w:rFonts w:ascii="Arial" w:hAnsi="Arial" w:cs="Arial"/>
          <w:color w:val="000000"/>
          <w:sz w:val="22"/>
          <w:szCs w:val="22"/>
        </w:rPr>
        <w:t xml:space="preserve">no longer require </w:t>
      </w:r>
      <w:r>
        <w:rPr>
          <w:rFonts w:ascii="Arial" w:hAnsi="Arial" w:cs="Arial"/>
          <w:color w:val="000000"/>
          <w:sz w:val="22"/>
          <w:szCs w:val="22"/>
        </w:rPr>
        <w:t>PA</w:t>
      </w:r>
      <w:r w:rsidR="009658AC">
        <w:rPr>
          <w:rFonts w:ascii="Arial" w:hAnsi="Arial" w:cs="Arial"/>
          <w:color w:val="000000"/>
          <w:sz w:val="22"/>
          <w:szCs w:val="22"/>
        </w:rPr>
        <w:t xml:space="preserve"> within the newly established age limit</w:t>
      </w:r>
      <w:r w:rsidRPr="00BE1214">
        <w:rPr>
          <w:rFonts w:ascii="Arial" w:hAnsi="Arial" w:cs="Arial"/>
          <w:color w:val="000000"/>
          <w:sz w:val="22"/>
          <w:szCs w:val="22"/>
          <w:lang w:val="fr-FR"/>
        </w:rPr>
        <w:t xml:space="preserve">. </w:t>
      </w:r>
    </w:p>
    <w:p w:rsidR="00326A80" w:rsidRPr="00326A80" w:rsidRDefault="009658AC" w:rsidP="00DE3318">
      <w:pPr>
        <w:numPr>
          <w:ilvl w:val="0"/>
          <w:numId w:val="12"/>
        </w:numPr>
        <w:autoSpaceDE w:val="0"/>
        <w:autoSpaceDN w:val="0"/>
        <w:adjustRightInd w:val="0"/>
        <w:spacing w:before="120"/>
        <w:ind w:left="634" w:hanging="274"/>
        <w:rPr>
          <w:rFonts w:ascii="Arial" w:hAnsi="Arial" w:cs="Arial"/>
          <w:sz w:val="22"/>
          <w:szCs w:val="22"/>
        </w:rPr>
      </w:pPr>
      <w:proofErr w:type="spellStart"/>
      <w:r w:rsidRPr="009658AC">
        <w:rPr>
          <w:rFonts w:ascii="Arial" w:hAnsi="Arial" w:cs="Arial"/>
          <w:sz w:val="22"/>
          <w:szCs w:val="22"/>
        </w:rPr>
        <w:t>Altreno</w:t>
      </w:r>
      <w:proofErr w:type="spellEnd"/>
      <w:r w:rsidRPr="009658AC">
        <w:rPr>
          <w:rFonts w:ascii="Arial" w:hAnsi="Arial" w:cs="Arial"/>
          <w:sz w:val="22"/>
          <w:szCs w:val="22"/>
        </w:rPr>
        <w:t xml:space="preserve"> (</w:t>
      </w:r>
      <w:proofErr w:type="spellStart"/>
      <w:r w:rsidRPr="009658AC">
        <w:rPr>
          <w:rFonts w:ascii="Arial" w:hAnsi="Arial" w:cs="Arial"/>
          <w:sz w:val="22"/>
          <w:szCs w:val="22"/>
        </w:rPr>
        <w:t>tretinoin</w:t>
      </w:r>
      <w:proofErr w:type="spellEnd"/>
      <w:r w:rsidRPr="009658AC">
        <w:rPr>
          <w:rFonts w:ascii="Arial" w:hAnsi="Arial" w:cs="Arial"/>
          <w:sz w:val="22"/>
          <w:szCs w:val="22"/>
        </w:rPr>
        <w:t xml:space="preserve"> 0.05% lotion) – </w:t>
      </w:r>
      <w:r w:rsidRPr="009658AC">
        <w:rPr>
          <w:rFonts w:ascii="Arial" w:hAnsi="Arial" w:cs="Arial"/>
          <w:b/>
          <w:sz w:val="22"/>
          <w:szCs w:val="22"/>
        </w:rPr>
        <w:t>PA ≥ 22 years</w:t>
      </w:r>
    </w:p>
    <w:p w:rsidR="00326A80" w:rsidRPr="00045F82" w:rsidRDefault="00326A80" w:rsidP="00326A80">
      <w:pPr>
        <w:pStyle w:val="ListParagraph"/>
        <w:ind w:left="450"/>
        <w:rPr>
          <w:rFonts w:ascii="Arial" w:hAnsi="Arial" w:cs="Arial"/>
          <w:color w:val="000000"/>
          <w:sz w:val="22"/>
          <w:szCs w:val="22"/>
        </w:rPr>
      </w:pPr>
    </w:p>
    <w:p w:rsidR="00326A80" w:rsidRPr="00BE1214" w:rsidRDefault="00326A80" w:rsidP="00326A80">
      <w:pPr>
        <w:numPr>
          <w:ilvl w:val="0"/>
          <w:numId w:val="26"/>
        </w:numPr>
        <w:autoSpaceDE w:val="0"/>
        <w:autoSpaceDN w:val="0"/>
        <w:adjustRightInd w:val="0"/>
        <w:spacing w:line="276" w:lineRule="auto"/>
        <w:ind w:left="360" w:hanging="270"/>
        <w:rPr>
          <w:rFonts w:ascii="Arial" w:hAnsi="Arial" w:cs="Arial"/>
          <w:color w:val="000000"/>
          <w:sz w:val="22"/>
          <w:szCs w:val="22"/>
          <w:lang w:val="fr-FR"/>
        </w:rPr>
      </w:pPr>
      <w:r w:rsidRPr="00326A80">
        <w:rPr>
          <w:rFonts w:ascii="Arial" w:hAnsi="Arial" w:cs="Arial"/>
          <w:color w:val="000000"/>
          <w:sz w:val="22"/>
          <w:szCs w:val="22"/>
        </w:rPr>
        <w:t xml:space="preserve">Effective December 20, 2021, the following </w:t>
      </w:r>
      <w:r w:rsidR="00DE3318">
        <w:rPr>
          <w:rFonts w:ascii="Arial" w:hAnsi="Arial" w:cs="Arial"/>
          <w:color w:val="000000"/>
          <w:sz w:val="22"/>
          <w:szCs w:val="22"/>
        </w:rPr>
        <w:t>insulin</w:t>
      </w:r>
      <w:r w:rsidRPr="00326A80">
        <w:rPr>
          <w:rFonts w:ascii="Arial" w:hAnsi="Arial" w:cs="Arial"/>
          <w:color w:val="000000"/>
          <w:sz w:val="22"/>
          <w:szCs w:val="22"/>
        </w:rPr>
        <w:t xml:space="preserve"> agent will require</w:t>
      </w:r>
      <w:r>
        <w:rPr>
          <w:rFonts w:ascii="Arial" w:hAnsi="Arial" w:cs="Arial"/>
          <w:color w:val="000000"/>
          <w:sz w:val="22"/>
          <w:szCs w:val="22"/>
        </w:rPr>
        <w:t xml:space="preserve"> PA</w:t>
      </w:r>
      <w:r w:rsidRPr="00BE1214">
        <w:rPr>
          <w:rFonts w:ascii="Arial" w:hAnsi="Arial" w:cs="Arial"/>
          <w:color w:val="000000"/>
          <w:sz w:val="22"/>
          <w:szCs w:val="22"/>
          <w:lang w:val="fr-FR"/>
        </w:rPr>
        <w:t xml:space="preserve">. </w:t>
      </w:r>
    </w:p>
    <w:p w:rsidR="00326A80" w:rsidRPr="00326A80" w:rsidRDefault="00DE3318" w:rsidP="00326A80">
      <w:pPr>
        <w:numPr>
          <w:ilvl w:val="0"/>
          <w:numId w:val="12"/>
        </w:numPr>
        <w:autoSpaceDE w:val="0"/>
        <w:autoSpaceDN w:val="0"/>
        <w:adjustRightInd w:val="0"/>
        <w:spacing w:line="276" w:lineRule="auto"/>
        <w:ind w:left="630" w:hanging="270"/>
        <w:rPr>
          <w:rFonts w:ascii="Arial" w:hAnsi="Arial" w:cs="Arial"/>
          <w:sz w:val="22"/>
          <w:szCs w:val="22"/>
        </w:rPr>
      </w:pPr>
      <w:proofErr w:type="spellStart"/>
      <w:r w:rsidRPr="00DE3318">
        <w:rPr>
          <w:rFonts w:ascii="Arial" w:hAnsi="Arial" w:cs="Arial"/>
          <w:sz w:val="22"/>
          <w:szCs w:val="22"/>
        </w:rPr>
        <w:t>Humulin</w:t>
      </w:r>
      <w:proofErr w:type="spellEnd"/>
      <w:r w:rsidRPr="00DE3318">
        <w:rPr>
          <w:rFonts w:ascii="Arial" w:hAnsi="Arial" w:cs="Arial"/>
          <w:sz w:val="22"/>
          <w:szCs w:val="22"/>
        </w:rPr>
        <w:t xml:space="preserve"> N (insulin NPH)</w:t>
      </w:r>
      <w:r>
        <w:rPr>
          <w:sz w:val="22"/>
          <w:szCs w:val="22"/>
        </w:rPr>
        <w:t xml:space="preserve"> </w:t>
      </w:r>
      <w:r w:rsidR="00326A80" w:rsidRPr="00326A80">
        <w:rPr>
          <w:rFonts w:ascii="Arial" w:hAnsi="Arial" w:cs="Arial"/>
          <w:sz w:val="22"/>
          <w:szCs w:val="22"/>
        </w:rPr>
        <w:t xml:space="preserve">– </w:t>
      </w:r>
      <w:r w:rsidR="00326A80" w:rsidRPr="00326A80">
        <w:rPr>
          <w:rFonts w:ascii="Arial" w:hAnsi="Arial" w:cs="Arial"/>
          <w:b/>
          <w:sz w:val="22"/>
          <w:szCs w:val="22"/>
        </w:rPr>
        <w:t>PA</w:t>
      </w:r>
    </w:p>
    <w:p w:rsidR="00326A80" w:rsidRDefault="00326A80" w:rsidP="00326A80">
      <w:pPr>
        <w:autoSpaceDE w:val="0"/>
        <w:autoSpaceDN w:val="0"/>
        <w:adjustRightInd w:val="0"/>
        <w:spacing w:line="276" w:lineRule="auto"/>
        <w:rPr>
          <w:rFonts w:ascii="Arial" w:hAnsi="Arial" w:cs="Arial"/>
          <w:sz w:val="22"/>
          <w:szCs w:val="22"/>
        </w:rPr>
      </w:pPr>
    </w:p>
    <w:p w:rsidR="00CF2CCC" w:rsidRPr="009F0526" w:rsidRDefault="00CF2CCC" w:rsidP="00326A80">
      <w:pPr>
        <w:autoSpaceDE w:val="0"/>
        <w:autoSpaceDN w:val="0"/>
        <w:adjustRightInd w:val="0"/>
        <w:spacing w:line="276" w:lineRule="auto"/>
        <w:rPr>
          <w:rFonts w:ascii="Arial" w:hAnsi="Arial" w:cs="Arial"/>
          <w:sz w:val="22"/>
          <w:szCs w:val="22"/>
        </w:rPr>
      </w:pPr>
    </w:p>
    <w:p w:rsidR="00905C46" w:rsidRDefault="00560F1A" w:rsidP="00A767E3">
      <w:pPr>
        <w:pStyle w:val="Heading2"/>
      </w:pPr>
      <w:r>
        <w:t>Updated MassHealth Brand Name Preferred Over Generic Drug List</w:t>
      </w:r>
    </w:p>
    <w:p w:rsidR="000D280A" w:rsidRPr="000D280A" w:rsidRDefault="000D280A" w:rsidP="000D280A">
      <w:pPr>
        <w:pStyle w:val="Subtitle"/>
        <w:rPr>
          <w:rFonts w:ascii="Arial" w:hAnsi="Arial" w:cs="Arial"/>
        </w:rPr>
      </w:pPr>
      <w:r w:rsidRPr="000D280A">
        <w:rPr>
          <w:rFonts w:ascii="Arial" w:hAnsi="Arial" w:cs="Arial"/>
        </w:rPr>
        <w:t>The MassHealth Brand Name Preferred Over Generic Drug List has been updated to reflect recent changes to the MassHealth Drug List.</w:t>
      </w:r>
    </w:p>
    <w:p w:rsidR="000D280A" w:rsidRDefault="000D280A" w:rsidP="000D280A">
      <w:pPr>
        <w:numPr>
          <w:ilvl w:val="0"/>
          <w:numId w:val="19"/>
        </w:numPr>
        <w:autoSpaceDE w:val="0"/>
        <w:autoSpaceDN w:val="0"/>
        <w:adjustRightInd w:val="0"/>
        <w:spacing w:line="276" w:lineRule="auto"/>
        <w:ind w:left="360"/>
        <w:rPr>
          <w:rFonts w:ascii="Arial" w:hAnsi="Arial" w:cs="Arial"/>
          <w:color w:val="000000"/>
          <w:sz w:val="22"/>
          <w:szCs w:val="22"/>
        </w:rPr>
      </w:pPr>
      <w:r w:rsidRPr="000D280A">
        <w:rPr>
          <w:rFonts w:ascii="Arial" w:hAnsi="Arial" w:cs="Arial"/>
          <w:color w:val="000000"/>
          <w:sz w:val="22"/>
          <w:szCs w:val="22"/>
        </w:rPr>
        <w:t>Effective December 20, 2021, the following agents will be added to the MassHealth Brand Name Preferred Over Generic Drug List.</w:t>
      </w:r>
    </w:p>
    <w:p w:rsidR="000D280A" w:rsidRPr="000D280A" w:rsidRDefault="000D280A" w:rsidP="000D280A">
      <w:pPr>
        <w:numPr>
          <w:ilvl w:val="0"/>
          <w:numId w:val="12"/>
        </w:numPr>
        <w:autoSpaceDE w:val="0"/>
        <w:autoSpaceDN w:val="0"/>
        <w:adjustRightInd w:val="0"/>
        <w:spacing w:before="120"/>
        <w:ind w:left="634" w:hanging="274"/>
        <w:rPr>
          <w:rFonts w:ascii="Arial" w:hAnsi="Arial" w:cs="Arial"/>
          <w:color w:val="000000"/>
          <w:sz w:val="22"/>
          <w:szCs w:val="22"/>
        </w:rPr>
      </w:pPr>
      <w:proofErr w:type="spellStart"/>
      <w:r w:rsidRPr="000D280A">
        <w:rPr>
          <w:rFonts w:ascii="Arial" w:hAnsi="Arial" w:cs="Arial"/>
          <w:color w:val="000000"/>
          <w:sz w:val="22"/>
          <w:szCs w:val="22"/>
        </w:rPr>
        <w:t>Ancobon</w:t>
      </w:r>
      <w:proofErr w:type="spellEnd"/>
      <w:r w:rsidRPr="000D280A">
        <w:rPr>
          <w:rFonts w:ascii="Arial" w:hAnsi="Arial" w:cs="Arial"/>
          <w:color w:val="000000"/>
          <w:sz w:val="22"/>
          <w:szCs w:val="22"/>
        </w:rPr>
        <w:t xml:space="preserve"> (</w:t>
      </w:r>
      <w:proofErr w:type="spellStart"/>
      <w:r w:rsidRPr="000D280A">
        <w:rPr>
          <w:rFonts w:ascii="Arial" w:hAnsi="Arial" w:cs="Arial"/>
          <w:color w:val="000000"/>
          <w:sz w:val="22"/>
          <w:szCs w:val="22"/>
        </w:rPr>
        <w:t>flucytosine</w:t>
      </w:r>
      <w:proofErr w:type="spellEnd"/>
      <w:r w:rsidRPr="000D280A">
        <w:rPr>
          <w:rFonts w:ascii="Arial" w:hAnsi="Arial" w:cs="Arial"/>
          <w:color w:val="000000"/>
          <w:sz w:val="22"/>
          <w:szCs w:val="22"/>
        </w:rPr>
        <w:t xml:space="preserve">) </w:t>
      </w:r>
      <w:r w:rsidRPr="000D280A">
        <w:rPr>
          <w:rFonts w:ascii="Arial" w:hAnsi="Arial" w:cs="Arial"/>
          <w:color w:val="000000"/>
          <w:sz w:val="22"/>
          <w:szCs w:val="22"/>
          <w:vertAlign w:val="superscript"/>
        </w:rPr>
        <w:t>BP</w:t>
      </w:r>
    </w:p>
    <w:p w:rsidR="000D280A" w:rsidRPr="000D280A" w:rsidRDefault="000D280A" w:rsidP="000D280A">
      <w:pPr>
        <w:pStyle w:val="Default"/>
        <w:numPr>
          <w:ilvl w:val="0"/>
          <w:numId w:val="12"/>
        </w:numPr>
        <w:spacing w:line="276" w:lineRule="auto"/>
        <w:ind w:left="630" w:hanging="270"/>
        <w:rPr>
          <w:rFonts w:ascii="Arial" w:hAnsi="Arial" w:cs="Arial"/>
          <w:sz w:val="22"/>
          <w:szCs w:val="22"/>
        </w:rPr>
      </w:pPr>
      <w:proofErr w:type="spellStart"/>
      <w:r w:rsidRPr="000D280A">
        <w:rPr>
          <w:rFonts w:ascii="Arial" w:hAnsi="Arial" w:cs="Arial"/>
          <w:sz w:val="22"/>
          <w:szCs w:val="22"/>
        </w:rPr>
        <w:t>Hepsera</w:t>
      </w:r>
      <w:proofErr w:type="spellEnd"/>
      <w:r w:rsidRPr="000D280A">
        <w:rPr>
          <w:rFonts w:ascii="Arial" w:hAnsi="Arial" w:cs="Arial"/>
          <w:sz w:val="22"/>
          <w:szCs w:val="22"/>
        </w:rPr>
        <w:t xml:space="preserve"> (</w:t>
      </w:r>
      <w:proofErr w:type="spellStart"/>
      <w:r w:rsidRPr="000D280A">
        <w:rPr>
          <w:rFonts w:ascii="Arial" w:hAnsi="Arial" w:cs="Arial"/>
          <w:sz w:val="22"/>
          <w:szCs w:val="22"/>
        </w:rPr>
        <w:t>adefovir</w:t>
      </w:r>
      <w:proofErr w:type="spellEnd"/>
      <w:r w:rsidRPr="000D280A">
        <w:rPr>
          <w:rFonts w:ascii="Arial" w:hAnsi="Arial" w:cs="Arial"/>
          <w:sz w:val="22"/>
          <w:szCs w:val="22"/>
        </w:rPr>
        <w:t xml:space="preserve">) </w:t>
      </w:r>
      <w:r w:rsidRPr="000D280A">
        <w:rPr>
          <w:rFonts w:ascii="Arial" w:hAnsi="Arial" w:cs="Arial"/>
          <w:sz w:val="22"/>
          <w:szCs w:val="22"/>
          <w:vertAlign w:val="superscript"/>
        </w:rPr>
        <w:t>BP</w:t>
      </w:r>
      <w:r w:rsidRPr="000D280A">
        <w:rPr>
          <w:rFonts w:ascii="Arial" w:hAnsi="Arial" w:cs="Arial"/>
          <w:sz w:val="22"/>
          <w:szCs w:val="22"/>
        </w:rPr>
        <w:t xml:space="preserve"> – </w:t>
      </w:r>
      <w:r w:rsidRPr="000D280A">
        <w:rPr>
          <w:rFonts w:ascii="Arial" w:hAnsi="Arial" w:cs="Arial"/>
          <w:b/>
          <w:sz w:val="22"/>
          <w:szCs w:val="22"/>
        </w:rPr>
        <w:t>PA &gt;1 unit/day</w:t>
      </w:r>
    </w:p>
    <w:p w:rsidR="002652E0" w:rsidRPr="002652E0" w:rsidRDefault="002652E0" w:rsidP="002652E0">
      <w:pPr>
        <w:pStyle w:val="ListParagraph"/>
        <w:numPr>
          <w:ilvl w:val="0"/>
          <w:numId w:val="12"/>
        </w:numPr>
        <w:ind w:left="630" w:hanging="270"/>
        <w:rPr>
          <w:rFonts w:ascii="Arial" w:hAnsi="Arial" w:cs="Arial"/>
          <w:b/>
          <w:color w:val="000000"/>
          <w:sz w:val="22"/>
          <w:szCs w:val="22"/>
        </w:rPr>
      </w:pPr>
      <w:proofErr w:type="spellStart"/>
      <w:r>
        <w:rPr>
          <w:rFonts w:ascii="Arial" w:hAnsi="Arial" w:cs="Arial"/>
          <w:color w:val="000000"/>
          <w:sz w:val="22"/>
          <w:szCs w:val="22"/>
        </w:rPr>
        <w:t>Letairis</w:t>
      </w:r>
      <w:proofErr w:type="spellEnd"/>
      <w:r>
        <w:rPr>
          <w:rFonts w:ascii="Arial" w:hAnsi="Arial" w:cs="Arial"/>
          <w:color w:val="000000"/>
          <w:sz w:val="22"/>
          <w:szCs w:val="22"/>
        </w:rPr>
        <w:t xml:space="preserve"> (</w:t>
      </w:r>
      <w:proofErr w:type="spellStart"/>
      <w:r>
        <w:rPr>
          <w:rFonts w:ascii="Arial" w:hAnsi="Arial" w:cs="Arial"/>
          <w:color w:val="000000"/>
          <w:sz w:val="22"/>
          <w:szCs w:val="22"/>
        </w:rPr>
        <w:t>ambrisentan</w:t>
      </w:r>
      <w:proofErr w:type="spellEnd"/>
      <w:r w:rsidRPr="002652E0">
        <w:rPr>
          <w:rFonts w:ascii="Arial" w:hAnsi="Arial" w:cs="Arial"/>
          <w:color w:val="000000"/>
          <w:sz w:val="22"/>
          <w:szCs w:val="22"/>
        </w:rPr>
        <w:t xml:space="preserve">) </w:t>
      </w:r>
      <w:r w:rsidRPr="002652E0">
        <w:rPr>
          <w:rFonts w:ascii="Arial" w:hAnsi="Arial" w:cs="Arial"/>
          <w:color w:val="000000"/>
          <w:sz w:val="22"/>
          <w:szCs w:val="22"/>
          <w:vertAlign w:val="superscript"/>
        </w:rPr>
        <w:t>BP</w:t>
      </w:r>
      <w:r w:rsidRPr="002652E0">
        <w:rPr>
          <w:rFonts w:ascii="Arial" w:hAnsi="Arial" w:cs="Arial"/>
          <w:color w:val="000000"/>
          <w:sz w:val="22"/>
          <w:szCs w:val="22"/>
        </w:rPr>
        <w:t xml:space="preserve"> – </w:t>
      </w:r>
      <w:r w:rsidRPr="002652E0">
        <w:rPr>
          <w:rFonts w:ascii="Arial" w:hAnsi="Arial" w:cs="Arial"/>
          <w:b/>
          <w:color w:val="000000"/>
          <w:sz w:val="22"/>
          <w:szCs w:val="22"/>
        </w:rPr>
        <w:t xml:space="preserve">PA </w:t>
      </w:r>
    </w:p>
    <w:p w:rsidR="000D280A" w:rsidRPr="00D3065F" w:rsidRDefault="00D3065F" w:rsidP="000D280A">
      <w:pPr>
        <w:numPr>
          <w:ilvl w:val="0"/>
          <w:numId w:val="12"/>
        </w:numPr>
        <w:autoSpaceDE w:val="0"/>
        <w:autoSpaceDN w:val="0"/>
        <w:adjustRightInd w:val="0"/>
        <w:spacing w:line="276" w:lineRule="auto"/>
        <w:ind w:left="630" w:hanging="270"/>
        <w:rPr>
          <w:rFonts w:ascii="Arial" w:hAnsi="Arial" w:cs="Arial"/>
          <w:color w:val="000000"/>
          <w:sz w:val="22"/>
          <w:szCs w:val="22"/>
        </w:rPr>
      </w:pPr>
      <w:proofErr w:type="spellStart"/>
      <w:r w:rsidRPr="00D3065F">
        <w:rPr>
          <w:rFonts w:ascii="Arial" w:hAnsi="Arial" w:cs="Arial"/>
          <w:sz w:val="22"/>
          <w:szCs w:val="22"/>
        </w:rPr>
        <w:t>Pristiq</w:t>
      </w:r>
      <w:proofErr w:type="spellEnd"/>
      <w:r w:rsidRPr="00D3065F">
        <w:rPr>
          <w:rFonts w:ascii="Arial" w:hAnsi="Arial" w:cs="Arial"/>
          <w:sz w:val="22"/>
          <w:szCs w:val="22"/>
        </w:rPr>
        <w:t xml:space="preserve"> (</w:t>
      </w:r>
      <w:proofErr w:type="spellStart"/>
      <w:r w:rsidRPr="00D3065F">
        <w:rPr>
          <w:rFonts w:ascii="Arial" w:hAnsi="Arial" w:cs="Arial"/>
          <w:sz w:val="22"/>
          <w:szCs w:val="22"/>
        </w:rPr>
        <w:t>desvenlafaxine</w:t>
      </w:r>
      <w:proofErr w:type="spellEnd"/>
      <w:r w:rsidRPr="00D3065F">
        <w:rPr>
          <w:rFonts w:ascii="Arial" w:hAnsi="Arial" w:cs="Arial"/>
          <w:sz w:val="22"/>
          <w:szCs w:val="22"/>
        </w:rPr>
        <w:t xml:space="preserve"> succinate extended-release)</w:t>
      </w:r>
      <w:r w:rsidRPr="00D3065F">
        <w:rPr>
          <w:rFonts w:ascii="Arial" w:hAnsi="Arial" w:cs="Arial"/>
          <w:sz w:val="22"/>
          <w:szCs w:val="22"/>
          <w:vertAlign w:val="superscript"/>
        </w:rPr>
        <w:t xml:space="preserve"> BP</w:t>
      </w:r>
      <w:r w:rsidRPr="00D3065F">
        <w:rPr>
          <w:rFonts w:ascii="Arial" w:hAnsi="Arial" w:cs="Arial"/>
          <w:sz w:val="22"/>
          <w:szCs w:val="22"/>
        </w:rPr>
        <w:t xml:space="preserve"> – </w:t>
      </w:r>
      <w:r w:rsidRPr="00D3065F">
        <w:rPr>
          <w:rFonts w:ascii="Arial" w:hAnsi="Arial" w:cs="Arial"/>
          <w:b/>
          <w:bCs/>
          <w:sz w:val="22"/>
          <w:szCs w:val="22"/>
        </w:rPr>
        <w:t>PA &lt; 6 years and PA &gt; 1 unit/day</w:t>
      </w:r>
    </w:p>
    <w:p w:rsidR="00D3065F" w:rsidRPr="00D3065F" w:rsidRDefault="00D3065F" w:rsidP="00D3065F">
      <w:pPr>
        <w:pStyle w:val="Default"/>
        <w:numPr>
          <w:ilvl w:val="0"/>
          <w:numId w:val="12"/>
        </w:numPr>
        <w:spacing w:line="276" w:lineRule="auto"/>
        <w:ind w:left="630" w:hanging="270"/>
        <w:rPr>
          <w:rFonts w:ascii="Arial" w:hAnsi="Arial" w:cs="Arial"/>
          <w:sz w:val="22"/>
          <w:szCs w:val="22"/>
        </w:rPr>
      </w:pPr>
      <w:proofErr w:type="spellStart"/>
      <w:r w:rsidRPr="00D3065F">
        <w:rPr>
          <w:rFonts w:ascii="Arial" w:hAnsi="Arial" w:cs="Arial"/>
          <w:sz w:val="22"/>
          <w:szCs w:val="22"/>
        </w:rPr>
        <w:t>Revatio</w:t>
      </w:r>
      <w:proofErr w:type="spellEnd"/>
      <w:r w:rsidRPr="00D3065F">
        <w:rPr>
          <w:rFonts w:ascii="Arial" w:hAnsi="Arial" w:cs="Arial"/>
          <w:sz w:val="22"/>
          <w:szCs w:val="22"/>
        </w:rPr>
        <w:t xml:space="preserve"> (sildenafil 20 mg tablet) </w:t>
      </w:r>
      <w:r w:rsidRPr="00D3065F">
        <w:rPr>
          <w:rFonts w:ascii="Arial" w:hAnsi="Arial" w:cs="Arial"/>
          <w:sz w:val="22"/>
          <w:szCs w:val="22"/>
          <w:vertAlign w:val="superscript"/>
        </w:rPr>
        <w:t xml:space="preserve">BP </w:t>
      </w:r>
      <w:r w:rsidRPr="00D3065F">
        <w:rPr>
          <w:rFonts w:ascii="Arial" w:hAnsi="Arial" w:cs="Arial"/>
          <w:sz w:val="22"/>
          <w:szCs w:val="22"/>
        </w:rPr>
        <w:t xml:space="preserve">– </w:t>
      </w:r>
      <w:r w:rsidRPr="00D3065F">
        <w:rPr>
          <w:rFonts w:ascii="Arial" w:hAnsi="Arial" w:cs="Arial"/>
          <w:b/>
          <w:sz w:val="22"/>
          <w:szCs w:val="22"/>
        </w:rPr>
        <w:t>PA</w:t>
      </w:r>
    </w:p>
    <w:p w:rsidR="000D280A" w:rsidRPr="00D3065F" w:rsidRDefault="00D3065F" w:rsidP="00D3065F">
      <w:pPr>
        <w:pStyle w:val="Default"/>
        <w:numPr>
          <w:ilvl w:val="0"/>
          <w:numId w:val="12"/>
        </w:numPr>
        <w:spacing w:line="276" w:lineRule="auto"/>
        <w:ind w:left="630" w:hanging="270"/>
        <w:rPr>
          <w:rFonts w:ascii="Arial" w:hAnsi="Arial" w:cs="Arial"/>
          <w:sz w:val="22"/>
          <w:szCs w:val="22"/>
        </w:rPr>
      </w:pPr>
      <w:proofErr w:type="spellStart"/>
      <w:r w:rsidRPr="00D3065F">
        <w:rPr>
          <w:rFonts w:ascii="Arial" w:hAnsi="Arial" w:cs="Arial"/>
          <w:sz w:val="22"/>
          <w:szCs w:val="22"/>
        </w:rPr>
        <w:t>Revatio</w:t>
      </w:r>
      <w:proofErr w:type="spellEnd"/>
      <w:r w:rsidRPr="00D3065F">
        <w:rPr>
          <w:rFonts w:ascii="Arial" w:hAnsi="Arial" w:cs="Arial"/>
          <w:sz w:val="22"/>
          <w:szCs w:val="22"/>
        </w:rPr>
        <w:t xml:space="preserve"> (sildenafil oral suspension) </w:t>
      </w:r>
      <w:r w:rsidRPr="00D3065F">
        <w:rPr>
          <w:rFonts w:ascii="Arial" w:hAnsi="Arial" w:cs="Arial"/>
          <w:sz w:val="22"/>
          <w:szCs w:val="22"/>
          <w:vertAlign w:val="superscript"/>
        </w:rPr>
        <w:t xml:space="preserve">BP </w:t>
      </w:r>
      <w:r w:rsidRPr="00D3065F">
        <w:rPr>
          <w:rFonts w:ascii="Arial" w:hAnsi="Arial" w:cs="Arial"/>
          <w:sz w:val="22"/>
          <w:szCs w:val="22"/>
        </w:rPr>
        <w:t xml:space="preserve">– </w:t>
      </w:r>
      <w:r w:rsidRPr="00D3065F">
        <w:rPr>
          <w:rFonts w:ascii="Arial" w:hAnsi="Arial" w:cs="Arial"/>
          <w:b/>
          <w:sz w:val="22"/>
          <w:szCs w:val="22"/>
        </w:rPr>
        <w:t>PA</w:t>
      </w:r>
    </w:p>
    <w:p w:rsidR="000D280A" w:rsidRPr="000D280A" w:rsidRDefault="000D280A" w:rsidP="000D280A">
      <w:pPr>
        <w:autoSpaceDE w:val="0"/>
        <w:autoSpaceDN w:val="0"/>
        <w:adjustRightInd w:val="0"/>
        <w:spacing w:line="276" w:lineRule="auto"/>
        <w:ind w:left="360"/>
        <w:rPr>
          <w:rFonts w:ascii="Arial" w:hAnsi="Arial" w:cs="Arial"/>
          <w:color w:val="000000"/>
          <w:sz w:val="22"/>
          <w:szCs w:val="22"/>
        </w:rPr>
      </w:pPr>
    </w:p>
    <w:p w:rsidR="00D3065F" w:rsidRDefault="00D3065F" w:rsidP="00D3065F">
      <w:pPr>
        <w:numPr>
          <w:ilvl w:val="0"/>
          <w:numId w:val="19"/>
        </w:numPr>
        <w:autoSpaceDE w:val="0"/>
        <w:autoSpaceDN w:val="0"/>
        <w:adjustRightInd w:val="0"/>
        <w:spacing w:line="276" w:lineRule="auto"/>
        <w:ind w:left="360"/>
        <w:rPr>
          <w:rFonts w:ascii="Arial" w:hAnsi="Arial" w:cs="Arial"/>
          <w:color w:val="000000"/>
          <w:sz w:val="22"/>
          <w:szCs w:val="22"/>
        </w:rPr>
      </w:pPr>
      <w:r w:rsidRPr="000D280A">
        <w:rPr>
          <w:rFonts w:ascii="Arial" w:hAnsi="Arial" w:cs="Arial"/>
          <w:color w:val="000000"/>
          <w:sz w:val="22"/>
          <w:szCs w:val="22"/>
        </w:rPr>
        <w:t xml:space="preserve">Effective December 20, 2021, the following agents will be </w:t>
      </w:r>
      <w:r>
        <w:rPr>
          <w:rFonts w:ascii="Arial" w:hAnsi="Arial" w:cs="Arial"/>
          <w:color w:val="000000"/>
          <w:sz w:val="22"/>
          <w:szCs w:val="22"/>
        </w:rPr>
        <w:t>removed from</w:t>
      </w:r>
      <w:r w:rsidRPr="000D280A">
        <w:rPr>
          <w:rFonts w:ascii="Arial" w:hAnsi="Arial" w:cs="Arial"/>
          <w:color w:val="000000"/>
          <w:sz w:val="22"/>
          <w:szCs w:val="22"/>
        </w:rPr>
        <w:t xml:space="preserve"> the MassHealth Brand Name Preferred Over Generic Drug List.</w:t>
      </w:r>
    </w:p>
    <w:p w:rsidR="00A31942" w:rsidRPr="00A31942" w:rsidRDefault="00A31942" w:rsidP="00A31942">
      <w:pPr>
        <w:pStyle w:val="Default"/>
        <w:numPr>
          <w:ilvl w:val="0"/>
          <w:numId w:val="29"/>
        </w:numPr>
        <w:spacing w:line="276" w:lineRule="auto"/>
        <w:ind w:left="630" w:hanging="270"/>
        <w:rPr>
          <w:rFonts w:ascii="Arial" w:hAnsi="Arial" w:cs="Arial"/>
          <w:sz w:val="22"/>
          <w:szCs w:val="22"/>
        </w:rPr>
      </w:pPr>
      <w:r w:rsidRPr="00A31942">
        <w:rPr>
          <w:rFonts w:ascii="Arial" w:hAnsi="Arial" w:cs="Arial"/>
          <w:sz w:val="22"/>
          <w:szCs w:val="22"/>
        </w:rPr>
        <w:t xml:space="preserve">Depo-Testosterone (testosterone cypionate) – </w:t>
      </w:r>
      <w:r w:rsidRPr="00A31942">
        <w:rPr>
          <w:rFonts w:ascii="Arial" w:hAnsi="Arial" w:cs="Arial"/>
          <w:b/>
          <w:bCs/>
          <w:sz w:val="22"/>
          <w:szCs w:val="22"/>
        </w:rPr>
        <w:t>PA</w:t>
      </w:r>
      <w:r w:rsidRPr="00A31942">
        <w:rPr>
          <w:rFonts w:ascii="Arial" w:hAnsi="Arial" w:cs="Arial"/>
          <w:sz w:val="22"/>
          <w:szCs w:val="22"/>
        </w:rPr>
        <w:t xml:space="preserve"> </w:t>
      </w:r>
    </w:p>
    <w:p w:rsidR="00A31942" w:rsidRPr="00A31942" w:rsidRDefault="00A31942" w:rsidP="00A31942">
      <w:pPr>
        <w:pStyle w:val="Default"/>
        <w:numPr>
          <w:ilvl w:val="0"/>
          <w:numId w:val="29"/>
        </w:numPr>
        <w:spacing w:line="276" w:lineRule="auto"/>
        <w:ind w:left="630" w:hanging="270"/>
        <w:rPr>
          <w:rFonts w:ascii="Arial" w:hAnsi="Arial" w:cs="Arial"/>
          <w:sz w:val="22"/>
          <w:szCs w:val="22"/>
        </w:rPr>
      </w:pPr>
      <w:r w:rsidRPr="00A31942">
        <w:rPr>
          <w:rFonts w:ascii="Arial" w:hAnsi="Arial" w:cs="Arial"/>
          <w:sz w:val="22"/>
          <w:szCs w:val="22"/>
        </w:rPr>
        <w:t xml:space="preserve">Humalog (insulin </w:t>
      </w:r>
      <w:proofErr w:type="spellStart"/>
      <w:r w:rsidRPr="00A31942">
        <w:rPr>
          <w:rFonts w:ascii="Arial" w:hAnsi="Arial" w:cs="Arial"/>
          <w:sz w:val="22"/>
          <w:szCs w:val="22"/>
        </w:rPr>
        <w:t>lispro</w:t>
      </w:r>
      <w:proofErr w:type="spellEnd"/>
      <w:r w:rsidRPr="00A31942">
        <w:rPr>
          <w:rFonts w:ascii="Arial" w:hAnsi="Arial" w:cs="Arial"/>
          <w:sz w:val="22"/>
          <w:szCs w:val="22"/>
        </w:rPr>
        <w:t xml:space="preserve"> 75/25)</w:t>
      </w:r>
    </w:p>
    <w:p w:rsidR="00A31942" w:rsidRPr="00A31942" w:rsidRDefault="00A31942" w:rsidP="00A31942">
      <w:pPr>
        <w:pStyle w:val="Default"/>
        <w:numPr>
          <w:ilvl w:val="0"/>
          <w:numId w:val="29"/>
        </w:numPr>
        <w:spacing w:line="276" w:lineRule="auto"/>
        <w:ind w:left="630" w:hanging="270"/>
        <w:rPr>
          <w:rFonts w:ascii="Arial" w:hAnsi="Arial" w:cs="Arial"/>
          <w:sz w:val="22"/>
          <w:szCs w:val="22"/>
        </w:rPr>
      </w:pPr>
      <w:r w:rsidRPr="00A31942">
        <w:rPr>
          <w:rFonts w:ascii="Arial" w:hAnsi="Arial" w:cs="Arial"/>
          <w:sz w:val="22"/>
          <w:szCs w:val="22"/>
        </w:rPr>
        <w:t xml:space="preserve">Humalog (insulin </w:t>
      </w:r>
      <w:proofErr w:type="spellStart"/>
      <w:r w:rsidRPr="00A31942">
        <w:rPr>
          <w:rFonts w:ascii="Arial" w:hAnsi="Arial" w:cs="Arial"/>
          <w:sz w:val="22"/>
          <w:szCs w:val="22"/>
        </w:rPr>
        <w:t>lispro</w:t>
      </w:r>
      <w:proofErr w:type="spellEnd"/>
      <w:r w:rsidRPr="00A31942">
        <w:rPr>
          <w:rFonts w:ascii="Arial" w:hAnsi="Arial" w:cs="Arial"/>
          <w:sz w:val="22"/>
          <w:szCs w:val="22"/>
        </w:rPr>
        <w:t xml:space="preserve">) </w:t>
      </w:r>
    </w:p>
    <w:p w:rsidR="00A31942" w:rsidRPr="00A31942" w:rsidRDefault="00A31942" w:rsidP="00A31942">
      <w:pPr>
        <w:pStyle w:val="Default"/>
        <w:numPr>
          <w:ilvl w:val="0"/>
          <w:numId w:val="29"/>
        </w:numPr>
        <w:spacing w:line="276" w:lineRule="auto"/>
        <w:ind w:left="630" w:hanging="270"/>
        <w:rPr>
          <w:rFonts w:ascii="Arial" w:hAnsi="Arial" w:cs="Arial"/>
          <w:sz w:val="22"/>
          <w:szCs w:val="22"/>
        </w:rPr>
      </w:pPr>
      <w:proofErr w:type="spellStart"/>
      <w:r w:rsidRPr="00A31942">
        <w:rPr>
          <w:rFonts w:ascii="Arial" w:hAnsi="Arial" w:cs="Arial"/>
          <w:sz w:val="22"/>
          <w:szCs w:val="22"/>
        </w:rPr>
        <w:t>Prometrium</w:t>
      </w:r>
      <w:proofErr w:type="spellEnd"/>
      <w:r w:rsidRPr="00A31942">
        <w:rPr>
          <w:rFonts w:ascii="Arial" w:hAnsi="Arial" w:cs="Arial"/>
          <w:sz w:val="22"/>
          <w:szCs w:val="22"/>
        </w:rPr>
        <w:t xml:space="preserve"> # (progesterone capsule)</w:t>
      </w:r>
    </w:p>
    <w:p w:rsidR="00A31942" w:rsidRPr="00A31942" w:rsidRDefault="00A31942" w:rsidP="00A31942">
      <w:pPr>
        <w:pStyle w:val="Default"/>
        <w:numPr>
          <w:ilvl w:val="0"/>
          <w:numId w:val="29"/>
        </w:numPr>
        <w:spacing w:line="276" w:lineRule="auto"/>
        <w:ind w:left="630" w:hanging="270"/>
        <w:rPr>
          <w:rFonts w:ascii="Arial" w:hAnsi="Arial" w:cs="Arial"/>
          <w:sz w:val="22"/>
          <w:szCs w:val="22"/>
        </w:rPr>
      </w:pPr>
      <w:proofErr w:type="spellStart"/>
      <w:r w:rsidRPr="00A31942">
        <w:rPr>
          <w:rFonts w:ascii="Arial" w:hAnsi="Arial" w:cs="Arial"/>
          <w:sz w:val="22"/>
          <w:szCs w:val="22"/>
        </w:rPr>
        <w:t>Novolog</w:t>
      </w:r>
      <w:proofErr w:type="spellEnd"/>
      <w:r w:rsidRPr="00A31942">
        <w:rPr>
          <w:rFonts w:ascii="Arial" w:hAnsi="Arial" w:cs="Arial"/>
          <w:sz w:val="22"/>
          <w:szCs w:val="22"/>
        </w:rPr>
        <w:t xml:space="preserve"> (insulin </w:t>
      </w:r>
      <w:proofErr w:type="spellStart"/>
      <w:r w:rsidRPr="00A31942">
        <w:rPr>
          <w:rFonts w:ascii="Arial" w:hAnsi="Arial" w:cs="Arial"/>
          <w:sz w:val="22"/>
          <w:szCs w:val="22"/>
        </w:rPr>
        <w:t>aspart</w:t>
      </w:r>
      <w:proofErr w:type="spellEnd"/>
      <w:r w:rsidRPr="00A31942">
        <w:rPr>
          <w:rFonts w:ascii="Arial" w:hAnsi="Arial" w:cs="Arial"/>
          <w:sz w:val="22"/>
          <w:szCs w:val="22"/>
        </w:rPr>
        <w:t xml:space="preserve"> 70/30)</w:t>
      </w:r>
    </w:p>
    <w:p w:rsidR="00D3065F" w:rsidRPr="00531A82" w:rsidRDefault="00A31942" w:rsidP="00531A82">
      <w:pPr>
        <w:pStyle w:val="Default"/>
        <w:numPr>
          <w:ilvl w:val="0"/>
          <w:numId w:val="29"/>
        </w:numPr>
        <w:spacing w:line="276" w:lineRule="auto"/>
        <w:ind w:left="630" w:hanging="270"/>
        <w:rPr>
          <w:rFonts w:ascii="Arial" w:hAnsi="Arial" w:cs="Arial"/>
          <w:sz w:val="22"/>
          <w:szCs w:val="22"/>
        </w:rPr>
      </w:pPr>
      <w:proofErr w:type="spellStart"/>
      <w:r w:rsidRPr="00A31942">
        <w:rPr>
          <w:rFonts w:ascii="Arial" w:hAnsi="Arial" w:cs="Arial"/>
          <w:sz w:val="22"/>
          <w:szCs w:val="22"/>
        </w:rPr>
        <w:t>Novolog</w:t>
      </w:r>
      <w:proofErr w:type="spellEnd"/>
      <w:r w:rsidRPr="00A31942">
        <w:rPr>
          <w:rFonts w:ascii="Arial" w:hAnsi="Arial" w:cs="Arial"/>
          <w:sz w:val="22"/>
          <w:szCs w:val="22"/>
        </w:rPr>
        <w:t xml:space="preserve"> (insulin </w:t>
      </w:r>
      <w:proofErr w:type="spellStart"/>
      <w:r w:rsidRPr="00A31942">
        <w:rPr>
          <w:rFonts w:ascii="Arial" w:hAnsi="Arial" w:cs="Arial"/>
          <w:sz w:val="22"/>
          <w:szCs w:val="22"/>
        </w:rPr>
        <w:t>aspart</w:t>
      </w:r>
      <w:proofErr w:type="spellEnd"/>
      <w:r w:rsidRPr="00A31942">
        <w:rPr>
          <w:rFonts w:ascii="Arial" w:hAnsi="Arial" w:cs="Arial"/>
          <w:sz w:val="22"/>
          <w:szCs w:val="22"/>
        </w:rPr>
        <w:t>)</w:t>
      </w:r>
    </w:p>
    <w:p w:rsidR="00D3065F" w:rsidRDefault="00D3065F" w:rsidP="00D3065F">
      <w:pPr>
        <w:autoSpaceDE w:val="0"/>
        <w:autoSpaceDN w:val="0"/>
        <w:adjustRightInd w:val="0"/>
        <w:spacing w:line="276" w:lineRule="auto"/>
        <w:ind w:left="360"/>
        <w:rPr>
          <w:rFonts w:ascii="Arial" w:hAnsi="Arial" w:cs="Arial"/>
          <w:color w:val="000000"/>
          <w:sz w:val="22"/>
          <w:szCs w:val="22"/>
        </w:rPr>
      </w:pPr>
    </w:p>
    <w:p w:rsidR="00531A82" w:rsidRPr="00531A82" w:rsidRDefault="00531A82" w:rsidP="00A767E3">
      <w:pPr>
        <w:pStyle w:val="Heading2"/>
        <w:jc w:val="center"/>
      </w:pPr>
      <w:r w:rsidRPr="00531A82">
        <w:t>Legend</w:t>
      </w:r>
    </w:p>
    <w:p w:rsidR="00531A82" w:rsidRPr="00531A82" w:rsidRDefault="00531A82" w:rsidP="004171DC">
      <w:pPr>
        <w:shd w:val="clear" w:color="auto" w:fill="FFFFFF"/>
        <w:ind w:left="450" w:hanging="450"/>
        <w:rPr>
          <w:rFonts w:ascii="Arial" w:hAnsi="Arial"/>
          <w:bCs/>
          <w:sz w:val="18"/>
          <w:szCs w:val="18"/>
        </w:rPr>
      </w:pPr>
      <w:r w:rsidRPr="00531A82">
        <w:rPr>
          <w:rFonts w:ascii="Arial" w:hAnsi="Arial"/>
          <w:b/>
          <w:bCs/>
          <w:sz w:val="18"/>
          <w:szCs w:val="18"/>
        </w:rPr>
        <w:t>PA</w:t>
      </w:r>
      <w:r w:rsidR="00C61D1C">
        <w:rPr>
          <w:rFonts w:ascii="Arial" w:hAnsi="Arial"/>
          <w:b/>
          <w:bCs/>
          <w:sz w:val="18"/>
          <w:szCs w:val="18"/>
        </w:rPr>
        <w:tab/>
      </w:r>
      <w:r w:rsidRPr="00531A82">
        <w:rPr>
          <w:rFonts w:ascii="Arial" w:hAnsi="Arial"/>
          <w:bCs/>
          <w:sz w:val="18"/>
          <w:szCs w:val="18"/>
        </w:rPr>
        <w:t>Prior authorization is required. The prescriber must obtain prior authorization for the drug in order for the pharmacy to receive payment. Note: PA applies to both the brand-name and the FDA “A”-rated generic equivalent of listed product.</w:t>
      </w:r>
    </w:p>
    <w:p w:rsidR="00531A82" w:rsidRPr="00FC1DB2" w:rsidRDefault="00531A82" w:rsidP="00531A82">
      <w:pPr>
        <w:shd w:val="clear" w:color="auto" w:fill="FFFFFF"/>
        <w:tabs>
          <w:tab w:val="left" w:pos="360"/>
        </w:tabs>
        <w:rPr>
          <w:rFonts w:ascii="Arial" w:hAnsi="Arial"/>
          <w:bCs/>
          <w:sz w:val="14"/>
          <w:szCs w:val="18"/>
        </w:rPr>
      </w:pPr>
    </w:p>
    <w:p w:rsidR="00531A82" w:rsidRPr="004171DC" w:rsidRDefault="00C61D1C" w:rsidP="004171DC">
      <w:pPr>
        <w:shd w:val="clear" w:color="auto" w:fill="FFFFFF"/>
        <w:ind w:left="450" w:hanging="450"/>
        <w:rPr>
          <w:rFonts w:ascii="Arial" w:hAnsi="Arial"/>
          <w:bCs/>
          <w:sz w:val="18"/>
          <w:szCs w:val="18"/>
        </w:rPr>
      </w:pPr>
      <w:r>
        <w:rPr>
          <w:rFonts w:ascii="Arial" w:hAnsi="Arial"/>
          <w:bCs/>
          <w:sz w:val="18"/>
          <w:szCs w:val="18"/>
        </w:rPr>
        <w:t>#</w:t>
      </w:r>
      <w:r>
        <w:rPr>
          <w:rFonts w:ascii="Arial" w:hAnsi="Arial"/>
          <w:bCs/>
          <w:sz w:val="18"/>
          <w:szCs w:val="18"/>
        </w:rPr>
        <w:tab/>
      </w:r>
      <w:r w:rsidR="00531A82" w:rsidRPr="004171DC">
        <w:rPr>
          <w:rFonts w:ascii="Arial" w:hAnsi="Arial"/>
          <w:bCs/>
          <w:sz w:val="18"/>
          <w:szCs w:val="18"/>
        </w:rPr>
        <w:t>Designates a brand-name drug with FDA “A”-rated generic equivalents. </w:t>
      </w:r>
      <w:bookmarkStart w:id="1" w:name="Prior_Authorization"/>
      <w:r w:rsidR="00531A82" w:rsidRPr="004171DC">
        <w:rPr>
          <w:rFonts w:ascii="Arial" w:hAnsi="Arial"/>
          <w:bCs/>
          <w:sz w:val="18"/>
          <w:szCs w:val="18"/>
        </w:rPr>
        <w:t>Prior authorization</w:t>
      </w:r>
      <w:bookmarkEnd w:id="1"/>
      <w:r w:rsidR="00531A82" w:rsidRPr="004171DC">
        <w:rPr>
          <w:rFonts w:ascii="Arial" w:hAnsi="Arial"/>
          <w:bCs/>
          <w:sz w:val="18"/>
          <w:szCs w:val="18"/>
        </w:rPr>
        <w:t xml:space="preserve"> is required for the brand, unless a particular form of that drug (for example, tablet, capsule, or liquid) does not have an FDA “A”-rated generic equivalent. </w:t>
      </w:r>
    </w:p>
    <w:p w:rsidR="00531A82" w:rsidRPr="00FC1DB2" w:rsidRDefault="00531A82" w:rsidP="00531A82">
      <w:pPr>
        <w:shd w:val="clear" w:color="auto" w:fill="FFFFFF"/>
        <w:tabs>
          <w:tab w:val="left" w:pos="360"/>
        </w:tabs>
        <w:rPr>
          <w:rFonts w:ascii="Arial" w:hAnsi="Arial"/>
          <w:bCs/>
          <w:sz w:val="14"/>
          <w:szCs w:val="22"/>
        </w:rPr>
      </w:pPr>
    </w:p>
    <w:p w:rsidR="00531A82" w:rsidRDefault="00531A82" w:rsidP="004171DC">
      <w:pPr>
        <w:shd w:val="clear" w:color="auto" w:fill="FFFFFF"/>
        <w:ind w:left="450" w:hanging="450"/>
        <w:rPr>
          <w:rFonts w:ascii="Arial" w:hAnsi="Arial"/>
          <w:bCs/>
          <w:sz w:val="18"/>
          <w:szCs w:val="18"/>
        </w:rPr>
      </w:pPr>
      <w:r w:rsidRPr="004171DC">
        <w:rPr>
          <w:rFonts w:ascii="Arial" w:hAnsi="Arial"/>
          <w:b/>
          <w:bCs/>
          <w:sz w:val="18"/>
          <w:szCs w:val="22"/>
        </w:rPr>
        <w:t>BP</w:t>
      </w:r>
      <w:r w:rsidR="00C61D1C">
        <w:rPr>
          <w:rFonts w:ascii="Arial" w:hAnsi="Arial"/>
          <w:bCs/>
          <w:sz w:val="22"/>
          <w:szCs w:val="22"/>
        </w:rPr>
        <w:tab/>
      </w:r>
      <w:r w:rsidRPr="004171DC">
        <w:rPr>
          <w:rFonts w:ascii="Arial" w:hAnsi="Arial"/>
          <w:bCs/>
          <w:sz w:val="18"/>
          <w:szCs w:val="22"/>
        </w:rPr>
        <w:t xml:space="preserve">Brand preferred over generic equivalents. In general, MassHealth requires a trial of the preferred drug or clinical rationale </w:t>
      </w:r>
      <w:r w:rsidRPr="004171DC">
        <w:rPr>
          <w:rFonts w:ascii="Arial" w:hAnsi="Arial"/>
          <w:bCs/>
          <w:sz w:val="18"/>
          <w:szCs w:val="18"/>
        </w:rPr>
        <w:t>for prescribing the nonpreferred drug generic equivalent.</w:t>
      </w:r>
    </w:p>
    <w:p w:rsidR="00FC1DB2" w:rsidRPr="00FC1DB2" w:rsidRDefault="00FC1DB2" w:rsidP="004171DC">
      <w:pPr>
        <w:shd w:val="clear" w:color="auto" w:fill="FFFFFF"/>
        <w:ind w:left="450" w:hanging="450"/>
        <w:rPr>
          <w:rFonts w:ascii="Arial" w:hAnsi="Arial"/>
          <w:bCs/>
          <w:sz w:val="14"/>
          <w:szCs w:val="18"/>
        </w:rPr>
      </w:pPr>
    </w:p>
    <w:p w:rsidR="00FC1DB2" w:rsidRDefault="00FC1DB2" w:rsidP="00FC1DB2">
      <w:pPr>
        <w:shd w:val="clear" w:color="auto" w:fill="FFFFFF"/>
        <w:ind w:left="450" w:hanging="450"/>
        <w:rPr>
          <w:rFonts w:ascii="Arial" w:hAnsi="Arial"/>
          <w:bCs/>
          <w:sz w:val="18"/>
          <w:szCs w:val="22"/>
        </w:rPr>
      </w:pPr>
      <w:r w:rsidRPr="00FC1DB2">
        <w:rPr>
          <w:rFonts w:ascii="Arial" w:hAnsi="Arial"/>
          <w:b/>
          <w:bCs/>
          <w:sz w:val="18"/>
          <w:szCs w:val="22"/>
        </w:rPr>
        <w:t>CO</w:t>
      </w:r>
      <w:r w:rsidR="00C61D1C">
        <w:rPr>
          <w:rFonts w:ascii="Arial" w:hAnsi="Arial"/>
          <w:b/>
          <w:bCs/>
          <w:sz w:val="18"/>
          <w:szCs w:val="22"/>
        </w:rPr>
        <w:tab/>
      </w:r>
      <w:r w:rsidRPr="00FC1DB2">
        <w:rPr>
          <w:rFonts w:ascii="Arial" w:hAnsi="Arial"/>
          <w:bCs/>
          <w:sz w:val="18"/>
          <w:szCs w:val="22"/>
        </w:rPr>
        <w:t>Carve-Out. This agent is listed on the Acute Hospital Carve-Out Drugs List and is subject to additional</w:t>
      </w:r>
      <w:r w:rsidR="000A1E75">
        <w:rPr>
          <w:rFonts w:ascii="Arial" w:hAnsi="Arial"/>
          <w:bCs/>
          <w:sz w:val="18"/>
          <w:szCs w:val="22"/>
        </w:rPr>
        <w:t xml:space="preserve"> monitoring and billing requirements</w:t>
      </w:r>
      <w:r w:rsidRPr="00FC1DB2">
        <w:rPr>
          <w:rFonts w:ascii="Arial" w:hAnsi="Arial"/>
          <w:bCs/>
          <w:sz w:val="18"/>
          <w:szCs w:val="22"/>
        </w:rPr>
        <w:t>.</w:t>
      </w:r>
    </w:p>
    <w:p w:rsidR="004B1E30" w:rsidRPr="00FC1DB2" w:rsidRDefault="004B1E30" w:rsidP="00FC1DB2">
      <w:pPr>
        <w:shd w:val="clear" w:color="auto" w:fill="FFFFFF"/>
        <w:ind w:left="450" w:hanging="450"/>
        <w:rPr>
          <w:rFonts w:ascii="Arial" w:hAnsi="Arial"/>
          <w:bCs/>
          <w:sz w:val="18"/>
          <w:szCs w:val="22"/>
        </w:rPr>
      </w:pPr>
    </w:p>
    <w:p w:rsidR="004B1E30" w:rsidRPr="004B1E30" w:rsidRDefault="004B1E30" w:rsidP="004B1E30">
      <w:pPr>
        <w:shd w:val="clear" w:color="auto" w:fill="FFFFFF"/>
        <w:ind w:left="450" w:hanging="450"/>
        <w:rPr>
          <w:rFonts w:ascii="Arial" w:hAnsi="Arial"/>
          <w:bCs/>
          <w:sz w:val="18"/>
          <w:szCs w:val="22"/>
        </w:rPr>
      </w:pPr>
      <w:r w:rsidRPr="004B1E30">
        <w:rPr>
          <w:rFonts w:ascii="Arial" w:hAnsi="Arial"/>
          <w:b/>
          <w:bCs/>
          <w:sz w:val="18"/>
          <w:szCs w:val="22"/>
        </w:rPr>
        <w:t xml:space="preserve">PD </w:t>
      </w:r>
      <w:r w:rsidR="00C61D1C">
        <w:rPr>
          <w:rFonts w:ascii="Arial" w:hAnsi="Arial"/>
          <w:b/>
          <w:bCs/>
          <w:sz w:val="18"/>
          <w:szCs w:val="22"/>
        </w:rPr>
        <w:tab/>
      </w:r>
      <w:r w:rsidRPr="004B1E30">
        <w:rPr>
          <w:rFonts w:ascii="Arial" w:hAnsi="Arial"/>
          <w:bCs/>
          <w:sz w:val="18"/>
          <w:szCs w:val="22"/>
        </w:rPr>
        <w:t>Preferred Drug. In general, MassHealth requires a trial of the preferred drug or clinical rationale for prescribing a non-preferred drug within a therapeutic class.</w:t>
      </w:r>
    </w:p>
    <w:p w:rsidR="00FC1DB2" w:rsidRPr="00FC1DB2" w:rsidRDefault="00FC1DB2" w:rsidP="00FC1DB2">
      <w:pPr>
        <w:shd w:val="clear" w:color="auto" w:fill="FFFFFF"/>
        <w:ind w:left="450" w:hanging="450"/>
        <w:rPr>
          <w:rFonts w:ascii="Arial" w:hAnsi="Arial"/>
          <w:bCs/>
          <w:sz w:val="10"/>
          <w:szCs w:val="22"/>
        </w:rPr>
      </w:pPr>
    </w:p>
    <w:p w:rsidR="00FC1DB2" w:rsidRPr="00FC1DB2" w:rsidRDefault="00FC1DB2" w:rsidP="00FC1DB2">
      <w:pPr>
        <w:shd w:val="clear" w:color="auto" w:fill="FFFFFF"/>
        <w:ind w:left="450" w:hanging="450"/>
        <w:rPr>
          <w:rFonts w:ascii="Arial Black" w:hAnsi="Arial Black" w:cs="Arial"/>
          <w:color w:val="000000"/>
          <w:sz w:val="16"/>
        </w:rPr>
      </w:pPr>
    </w:p>
    <w:p w:rsidR="00FC1DB2" w:rsidRPr="00FC1DB2" w:rsidRDefault="00FC1DB2" w:rsidP="00A767E3">
      <w:pPr>
        <w:pStyle w:val="Heading2"/>
        <w:rPr>
          <w:rFonts w:ascii="Arial" w:hAnsi="Arial"/>
          <w:bCs/>
          <w:sz w:val="18"/>
          <w:szCs w:val="22"/>
        </w:rPr>
      </w:pPr>
      <w:r>
        <w:t>Influenza Treatment Agents</w:t>
      </w:r>
    </w:p>
    <w:p w:rsidR="00EE4A06" w:rsidRDefault="00EE4A06" w:rsidP="000D280A">
      <w:pPr>
        <w:autoSpaceDE w:val="0"/>
        <w:autoSpaceDN w:val="0"/>
        <w:adjustRightInd w:val="0"/>
        <w:ind w:left="360"/>
        <w:rPr>
          <w:rFonts w:ascii="Arial" w:hAnsi="Arial" w:cs="Arial"/>
          <w:color w:val="000000"/>
        </w:rPr>
      </w:pPr>
    </w:p>
    <w:p w:rsidR="00FC1DB2" w:rsidRPr="00FC1DB2" w:rsidRDefault="00FC1DB2" w:rsidP="00FC1DB2">
      <w:pPr>
        <w:rPr>
          <w:rFonts w:ascii="Arial" w:hAnsi="Arial" w:cs="Arial"/>
          <w:sz w:val="22"/>
          <w:szCs w:val="22"/>
          <w:lang w:val="en"/>
        </w:rPr>
      </w:pPr>
      <w:r w:rsidRPr="00FC1DB2">
        <w:rPr>
          <w:rFonts w:ascii="Arial" w:hAnsi="Arial" w:cs="Arial"/>
          <w:sz w:val="22"/>
          <w:szCs w:val="22"/>
        </w:rPr>
        <w:t xml:space="preserve">Pharmacies are reminded that oseltamivir is available for the treatment of influenza without prior authorization when used within quantity limits and that </w:t>
      </w:r>
      <w:proofErr w:type="spellStart"/>
      <w:r w:rsidRPr="00FC1DB2">
        <w:rPr>
          <w:rFonts w:ascii="Arial" w:hAnsi="Arial" w:cs="Arial"/>
          <w:sz w:val="22"/>
          <w:szCs w:val="22"/>
          <w:lang w:val="en"/>
        </w:rPr>
        <w:t>Xofluza</w:t>
      </w:r>
      <w:proofErr w:type="spellEnd"/>
      <w:r w:rsidRPr="00FC1DB2">
        <w:rPr>
          <w:rFonts w:ascii="Arial" w:hAnsi="Arial" w:cs="Arial"/>
          <w:sz w:val="22"/>
          <w:szCs w:val="22"/>
          <w:lang w:val="en"/>
        </w:rPr>
        <w:t xml:space="preserve"> does require prior authorization (PA). We remind pharmacies because the timing of initiation of therapy is so important with these agents. When a pharmacy submits a claim for </w:t>
      </w:r>
      <w:proofErr w:type="spellStart"/>
      <w:r w:rsidRPr="00FC1DB2">
        <w:rPr>
          <w:rFonts w:ascii="Arial" w:hAnsi="Arial" w:cs="Arial"/>
          <w:sz w:val="22"/>
          <w:szCs w:val="22"/>
          <w:lang w:val="en"/>
        </w:rPr>
        <w:t>Xofluza</w:t>
      </w:r>
      <w:proofErr w:type="spellEnd"/>
      <w:r w:rsidRPr="00FC1DB2">
        <w:rPr>
          <w:rFonts w:ascii="Arial" w:hAnsi="Arial" w:cs="Arial"/>
          <w:sz w:val="22"/>
          <w:szCs w:val="22"/>
          <w:lang w:val="en"/>
        </w:rPr>
        <w:t>, the claim will deny and the pharmacy will see this message. “This product requires PA. Oseltamivir is available without PA within quantity limits. Please see the MassHealth drug list for more information regarding influenza treatment or prophylaxis.”</w:t>
      </w:r>
    </w:p>
    <w:p w:rsidR="00FC1DB2" w:rsidRDefault="00FC1DB2" w:rsidP="00FC1DB2">
      <w:pPr>
        <w:rPr>
          <w:rFonts w:ascii="Arial" w:hAnsi="Arial" w:cs="Arial"/>
          <w:sz w:val="22"/>
          <w:szCs w:val="22"/>
          <w:lang w:val="en"/>
        </w:rPr>
      </w:pPr>
    </w:p>
    <w:p w:rsidR="00FC1DB2" w:rsidRPr="00FC1DB2" w:rsidRDefault="00FC1DB2" w:rsidP="00FC1DB2">
      <w:pPr>
        <w:rPr>
          <w:rFonts w:ascii="Arial" w:hAnsi="Arial" w:cs="Arial"/>
          <w:sz w:val="22"/>
          <w:szCs w:val="22"/>
          <w:lang w:val="en"/>
        </w:rPr>
      </w:pPr>
      <w:r w:rsidRPr="00FC1DB2">
        <w:rPr>
          <w:rFonts w:ascii="Arial" w:hAnsi="Arial" w:cs="Arial"/>
          <w:sz w:val="22"/>
          <w:szCs w:val="22"/>
          <w:lang w:val="en"/>
        </w:rPr>
        <w:t>Pharmacies are also reminded that if a prior authorization submission cannot be submitted timely, the pharmacy can use existing procedures to submit a claim with an emergency override.</w:t>
      </w:r>
    </w:p>
    <w:p w:rsidR="0041065E" w:rsidRPr="00A767E3" w:rsidRDefault="00FC1DB2" w:rsidP="00A767E3">
      <w:pPr>
        <w:spacing w:after="2280"/>
        <w:rPr>
          <w:rFonts w:ascii="Arial" w:hAnsi="Arial" w:cs="Arial"/>
          <w:sz w:val="22"/>
          <w:szCs w:val="22"/>
        </w:rPr>
        <w:sectPr w:rsidR="0041065E" w:rsidRPr="00A767E3" w:rsidSect="00E45649">
          <w:headerReference w:type="default" r:id="rId12"/>
          <w:footerReference w:type="default" r:id="rId13"/>
          <w:type w:val="continuous"/>
          <w:pgSz w:w="12240" w:h="15840" w:code="1"/>
          <w:pgMar w:top="626" w:right="720" w:bottom="432" w:left="907" w:header="720" w:footer="576" w:gutter="0"/>
          <w:cols w:num="2" w:sep="1" w:space="720"/>
          <w:docGrid w:linePitch="360"/>
        </w:sectPr>
      </w:pPr>
      <w:r w:rsidRPr="00FC1DB2">
        <w:rPr>
          <w:rFonts w:ascii="Arial" w:hAnsi="Arial" w:cs="Arial"/>
          <w:sz w:val="22"/>
          <w:szCs w:val="22"/>
          <w:lang w:val="en"/>
        </w:rPr>
        <w:t>Consistent with 130 CMR 406.411(B) and to ensure that MassHealth members and HSN patients do not experience gaps in therapy, pharmacists may utilize an emergency override if a claim for a medication is rejected due to lack of PA. MassHealth will pay the pharmacy for at least a 72-hour, nonrefillable supply of the drug dispensed under these circumstances. To obtain an emergency override, pharmacists should contact the Drug Utilization Review Program at (800) 745-7318 during normal business hours. If outside business hours, pharmacies may submit an emergency override claim with a value of “03” f</w:t>
      </w:r>
      <w:r w:rsidR="00A767E3">
        <w:rPr>
          <w:rFonts w:ascii="Arial" w:hAnsi="Arial" w:cs="Arial"/>
          <w:sz w:val="22"/>
          <w:szCs w:val="22"/>
          <w:lang w:val="en"/>
        </w:rPr>
        <w:t>or Level of Service (field 418)</w:t>
      </w:r>
    </w:p>
    <w:p w:rsidR="00A650DC" w:rsidRPr="001721D8" w:rsidRDefault="00A650DC" w:rsidP="00A767E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9D" w:rsidRDefault="00B3029D" w:rsidP="00492602">
      <w:r>
        <w:separator/>
      </w:r>
    </w:p>
  </w:endnote>
  <w:endnote w:type="continuationSeparator" w:id="0">
    <w:p w:rsidR="00B3029D" w:rsidRDefault="00B3029D"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05" w:rsidRDefault="00E95805"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sidR="000A440A">
      <w:rPr>
        <w:rFonts w:ascii="Arial" w:hAnsi="Arial" w:cs="Arial"/>
        <w:iCs/>
        <w:sz w:val="18"/>
        <w:szCs w:val="18"/>
      </w:rPr>
      <w:t>to</w:t>
    </w:r>
  </w:p>
  <w:p w:rsidR="003C1739" w:rsidRPr="00E95805" w:rsidRDefault="00B3029D" w:rsidP="00E95805">
    <w:pPr>
      <w:pStyle w:val="Footer"/>
      <w:jc w:val="center"/>
    </w:pPr>
    <w:hyperlink r:id="rId1" w:history="1">
      <w:r w:rsidR="00E95805" w:rsidRPr="00386AF8">
        <w:rPr>
          <w:rStyle w:val="Hyperlink"/>
          <w:rFonts w:ascii="Arial" w:hAnsi="Arial" w:cs="Arial"/>
          <w:iCs/>
          <w:sz w:val="18"/>
          <w:szCs w:val="18"/>
        </w:rPr>
        <w:t>PharmFactsMA@Conduent.com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9D" w:rsidRDefault="00B3029D" w:rsidP="00492602">
      <w:r>
        <w:separator/>
      </w:r>
    </w:p>
  </w:footnote>
  <w:footnote w:type="continuationSeparator" w:id="0">
    <w:p w:rsidR="00B3029D" w:rsidRDefault="00B3029D"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03" w:rsidRDefault="00445603" w:rsidP="00445603">
    <w:pPr>
      <w:pStyle w:val="Default"/>
      <w:pBdr>
        <w:bottom w:val="single" w:sz="18" w:space="1" w:color="auto"/>
      </w:pBdr>
      <w:tabs>
        <w:tab w:val="right" w:pos="10440"/>
      </w:tabs>
      <w:spacing w:after="240"/>
      <w:rPr>
        <w:color w:val="FF0000"/>
        <w:sz w:val="18"/>
        <w:szCs w:val="18"/>
      </w:rPr>
    </w:pPr>
    <w:r>
      <w:rPr>
        <w:sz w:val="18"/>
        <w:szCs w:val="18"/>
      </w:rPr>
      <w:t xml:space="preserve">Pharmacy Facts, Number </w:t>
    </w:r>
    <w:r w:rsidR="00D204FA" w:rsidRPr="00D204FA">
      <w:rPr>
        <w:color w:val="auto"/>
        <w:sz w:val="18"/>
        <w:szCs w:val="18"/>
      </w:rPr>
      <w:t>174</w:t>
    </w:r>
    <w:r>
      <w:rPr>
        <w:color w:val="FF0000"/>
        <w:sz w:val="18"/>
        <w:szCs w:val="18"/>
      </w:rPr>
      <w:tab/>
    </w:r>
    <w:r>
      <w:rPr>
        <w:color w:val="auto"/>
        <w:sz w:val="18"/>
        <w:szCs w:val="18"/>
      </w:rPr>
      <w:t xml:space="preserve">Page </w:t>
    </w:r>
    <w:r>
      <w:rPr>
        <w:color w:val="auto"/>
        <w:sz w:val="18"/>
        <w:szCs w:val="18"/>
      </w:rPr>
      <w:fldChar w:fldCharType="begin"/>
    </w:r>
    <w:r>
      <w:rPr>
        <w:color w:val="auto"/>
        <w:sz w:val="18"/>
        <w:szCs w:val="18"/>
      </w:rPr>
      <w:instrText xml:space="preserve"> PAGE   \* MERGEFORMAT </w:instrText>
    </w:r>
    <w:r>
      <w:rPr>
        <w:color w:val="auto"/>
        <w:sz w:val="18"/>
        <w:szCs w:val="18"/>
      </w:rPr>
      <w:fldChar w:fldCharType="separate"/>
    </w:r>
    <w:r w:rsidR="002B00B1">
      <w:rPr>
        <w:noProof/>
        <w:color w:val="auto"/>
        <w:sz w:val="18"/>
        <w:szCs w:val="18"/>
      </w:rPr>
      <w:t>2</w:t>
    </w:r>
    <w:r>
      <w:rPr>
        <w:noProof/>
        <w:color w:val="auto"/>
        <w:sz w:val="18"/>
        <w:szCs w:val="18"/>
      </w:rPr>
      <w:fldChar w:fldCharType="end"/>
    </w:r>
    <w:r>
      <w:rPr>
        <w:noProof/>
        <w:color w:val="auto"/>
        <w:sz w:val="18"/>
        <w:szCs w:val="18"/>
      </w:rPr>
      <w:t xml:space="preserve"> of 2</w:t>
    </w:r>
  </w:p>
  <w:p w:rsidR="00445603" w:rsidRDefault="00445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C8A12E"/>
    <w:lvl w:ilvl="0">
      <w:start w:val="1"/>
      <w:numFmt w:val="decimal"/>
      <w:lvlText w:val="%1."/>
      <w:lvlJc w:val="left"/>
      <w:pPr>
        <w:tabs>
          <w:tab w:val="num" w:pos="1800"/>
        </w:tabs>
        <w:ind w:left="1800" w:hanging="360"/>
      </w:pPr>
    </w:lvl>
  </w:abstractNum>
  <w:abstractNum w:abstractNumId="1">
    <w:nsid w:val="FFFFFF7D"/>
    <w:multiLevelType w:val="singleLevel"/>
    <w:tmpl w:val="54EA0A4C"/>
    <w:lvl w:ilvl="0">
      <w:start w:val="1"/>
      <w:numFmt w:val="decimal"/>
      <w:lvlText w:val="%1."/>
      <w:lvlJc w:val="left"/>
      <w:pPr>
        <w:tabs>
          <w:tab w:val="num" w:pos="1440"/>
        </w:tabs>
        <w:ind w:left="1440" w:hanging="360"/>
      </w:pPr>
    </w:lvl>
  </w:abstractNum>
  <w:abstractNum w:abstractNumId="2">
    <w:nsid w:val="FFFFFF7E"/>
    <w:multiLevelType w:val="singleLevel"/>
    <w:tmpl w:val="8BCC71AC"/>
    <w:lvl w:ilvl="0">
      <w:start w:val="1"/>
      <w:numFmt w:val="decimal"/>
      <w:lvlText w:val="%1."/>
      <w:lvlJc w:val="left"/>
      <w:pPr>
        <w:tabs>
          <w:tab w:val="num" w:pos="1080"/>
        </w:tabs>
        <w:ind w:left="1080" w:hanging="360"/>
      </w:pPr>
    </w:lvl>
  </w:abstractNum>
  <w:abstractNum w:abstractNumId="3">
    <w:nsid w:val="FFFFFF7F"/>
    <w:multiLevelType w:val="singleLevel"/>
    <w:tmpl w:val="AAE6B650"/>
    <w:lvl w:ilvl="0">
      <w:start w:val="1"/>
      <w:numFmt w:val="decimal"/>
      <w:lvlText w:val="%1."/>
      <w:lvlJc w:val="left"/>
      <w:pPr>
        <w:tabs>
          <w:tab w:val="num" w:pos="720"/>
        </w:tabs>
        <w:ind w:left="720" w:hanging="360"/>
      </w:pPr>
    </w:lvl>
  </w:abstractNum>
  <w:abstractNum w:abstractNumId="4">
    <w:nsid w:val="FFFFFF80"/>
    <w:multiLevelType w:val="singleLevel"/>
    <w:tmpl w:val="1E0C2F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CC240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91052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0B2EA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E8CD7D0"/>
    <w:lvl w:ilvl="0">
      <w:start w:val="1"/>
      <w:numFmt w:val="decimal"/>
      <w:lvlText w:val="%1."/>
      <w:lvlJc w:val="left"/>
      <w:pPr>
        <w:tabs>
          <w:tab w:val="num" w:pos="360"/>
        </w:tabs>
        <w:ind w:left="360" w:hanging="360"/>
      </w:pPr>
    </w:lvl>
  </w:abstractNum>
  <w:abstractNum w:abstractNumId="9">
    <w:nsid w:val="FFFFFF89"/>
    <w:multiLevelType w:val="singleLevel"/>
    <w:tmpl w:val="FDF6625C"/>
    <w:lvl w:ilvl="0">
      <w:start w:val="1"/>
      <w:numFmt w:val="bullet"/>
      <w:lvlText w:val=""/>
      <w:lvlJc w:val="left"/>
      <w:pPr>
        <w:tabs>
          <w:tab w:val="num" w:pos="360"/>
        </w:tabs>
        <w:ind w:left="360" w:hanging="360"/>
      </w:pPr>
      <w:rPr>
        <w:rFonts w:ascii="Symbol" w:hAnsi="Symbol" w:hint="default"/>
      </w:rPr>
    </w:lvl>
  </w:abstractNum>
  <w:abstractNum w:abstractNumId="1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1F1C32E7"/>
    <w:multiLevelType w:val="hybridMultilevel"/>
    <w:tmpl w:val="0FA0EB9C"/>
    <w:lvl w:ilvl="0" w:tplc="8020DB58">
      <w:start w:val="1"/>
      <w:numFmt w:val="lowerLetter"/>
      <w:lvlText w:val="%1."/>
      <w:lvlJc w:val="left"/>
      <w:pPr>
        <w:ind w:left="63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88255C"/>
    <w:multiLevelType w:val="hybridMultilevel"/>
    <w:tmpl w:val="C11E1E12"/>
    <w:lvl w:ilvl="0" w:tplc="04090019">
      <w:start w:val="1"/>
      <w:numFmt w:val="lowerLetter"/>
      <w:lvlText w:val="%1."/>
      <w:lvlJc w:val="left"/>
      <w:pPr>
        <w:ind w:left="450" w:hanging="360"/>
      </w:pPr>
      <w:rPr>
        <w:rFonts w:hint="default"/>
      </w:rPr>
    </w:lvl>
    <w:lvl w:ilvl="1" w:tplc="6D74651E">
      <w:start w:val="1"/>
      <w:numFmt w:val="bullet"/>
      <w:lvlText w:val=""/>
      <w:lvlJc w:val="left"/>
      <w:pPr>
        <w:ind w:left="1170" w:hanging="360"/>
      </w:pPr>
      <w:rPr>
        <w:rFonts w:ascii="Symbol" w:hAnsi="Symbol" w:hint="default"/>
        <w:sz w:val="22"/>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EFB6F83"/>
    <w:multiLevelType w:val="hybridMultilevel"/>
    <w:tmpl w:val="C11E1E12"/>
    <w:lvl w:ilvl="0" w:tplc="04090019">
      <w:start w:val="1"/>
      <w:numFmt w:val="lowerLetter"/>
      <w:lvlText w:val="%1."/>
      <w:lvlJc w:val="left"/>
      <w:pPr>
        <w:ind w:left="450" w:hanging="360"/>
      </w:pPr>
      <w:rPr>
        <w:rFonts w:hint="default"/>
      </w:rPr>
    </w:lvl>
    <w:lvl w:ilvl="1" w:tplc="6D74651E">
      <w:start w:val="1"/>
      <w:numFmt w:val="bullet"/>
      <w:lvlText w:val=""/>
      <w:lvlJc w:val="left"/>
      <w:pPr>
        <w:ind w:left="1170" w:hanging="360"/>
      </w:pPr>
      <w:rPr>
        <w:rFonts w:ascii="Symbol" w:hAnsi="Symbol" w:hint="default"/>
        <w:sz w:val="22"/>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6"/>
  </w:num>
  <w:num w:numId="3">
    <w:abstractNumId w:val="30"/>
  </w:num>
  <w:num w:numId="4">
    <w:abstractNumId w:val="17"/>
  </w:num>
  <w:num w:numId="5">
    <w:abstractNumId w:val="20"/>
  </w:num>
  <w:num w:numId="6">
    <w:abstractNumId w:val="25"/>
  </w:num>
  <w:num w:numId="7">
    <w:abstractNumId w:val="31"/>
  </w:num>
  <w:num w:numId="8">
    <w:abstractNumId w:val="13"/>
  </w:num>
  <w:num w:numId="9">
    <w:abstractNumId w:val="10"/>
  </w:num>
  <w:num w:numId="10">
    <w:abstractNumId w:val="28"/>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0"/>
  </w:num>
  <w:num w:numId="1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7"/>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8"/>
  </w:num>
  <w:num w:numId="22">
    <w:abstractNumId w:val="32"/>
  </w:num>
  <w:num w:numId="23">
    <w:abstractNumId w:val="33"/>
  </w:num>
  <w:num w:numId="24">
    <w:abstractNumId w:val="24"/>
  </w:num>
  <w:num w:numId="25">
    <w:abstractNumId w:val="29"/>
  </w:num>
  <w:num w:numId="26">
    <w:abstractNumId w:val="1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13571"/>
    <w:rsid w:val="0003148F"/>
    <w:rsid w:val="00036C02"/>
    <w:rsid w:val="00045F82"/>
    <w:rsid w:val="00054839"/>
    <w:rsid w:val="00063DDE"/>
    <w:rsid w:val="000713D3"/>
    <w:rsid w:val="000735C4"/>
    <w:rsid w:val="00074014"/>
    <w:rsid w:val="00081E8E"/>
    <w:rsid w:val="000A1E75"/>
    <w:rsid w:val="000A440A"/>
    <w:rsid w:val="000A6318"/>
    <w:rsid w:val="000C710E"/>
    <w:rsid w:val="000D1502"/>
    <w:rsid w:val="000D280A"/>
    <w:rsid w:val="000D7A57"/>
    <w:rsid w:val="000F5C22"/>
    <w:rsid w:val="00106F55"/>
    <w:rsid w:val="00123D58"/>
    <w:rsid w:val="00137D3D"/>
    <w:rsid w:val="00140D08"/>
    <w:rsid w:val="00147437"/>
    <w:rsid w:val="00157A49"/>
    <w:rsid w:val="00171445"/>
    <w:rsid w:val="001721D8"/>
    <w:rsid w:val="0018357E"/>
    <w:rsid w:val="001864A9"/>
    <w:rsid w:val="001A125B"/>
    <w:rsid w:val="001C1481"/>
    <w:rsid w:val="001D0819"/>
    <w:rsid w:val="001D0FF4"/>
    <w:rsid w:val="001E779F"/>
    <w:rsid w:val="0021214A"/>
    <w:rsid w:val="00212622"/>
    <w:rsid w:val="002275AE"/>
    <w:rsid w:val="00230996"/>
    <w:rsid w:val="002509E9"/>
    <w:rsid w:val="00253AE4"/>
    <w:rsid w:val="002652E0"/>
    <w:rsid w:val="002727AB"/>
    <w:rsid w:val="00276F3A"/>
    <w:rsid w:val="00286CBE"/>
    <w:rsid w:val="00291397"/>
    <w:rsid w:val="002B00B1"/>
    <w:rsid w:val="002C7C67"/>
    <w:rsid w:val="002D390F"/>
    <w:rsid w:val="002D3C44"/>
    <w:rsid w:val="002D738C"/>
    <w:rsid w:val="002E2F9E"/>
    <w:rsid w:val="002F4E7B"/>
    <w:rsid w:val="003152DA"/>
    <w:rsid w:val="00326A80"/>
    <w:rsid w:val="0033053B"/>
    <w:rsid w:val="00334D14"/>
    <w:rsid w:val="00360067"/>
    <w:rsid w:val="0036343A"/>
    <w:rsid w:val="0037373E"/>
    <w:rsid w:val="00375713"/>
    <w:rsid w:val="00382054"/>
    <w:rsid w:val="00387C1F"/>
    <w:rsid w:val="003911FC"/>
    <w:rsid w:val="003B6839"/>
    <w:rsid w:val="003C1739"/>
    <w:rsid w:val="003D2B74"/>
    <w:rsid w:val="003F533B"/>
    <w:rsid w:val="0041065E"/>
    <w:rsid w:val="004171DC"/>
    <w:rsid w:val="00425517"/>
    <w:rsid w:val="00445603"/>
    <w:rsid w:val="00447A5F"/>
    <w:rsid w:val="00453E30"/>
    <w:rsid w:val="00453F3E"/>
    <w:rsid w:val="00456B5A"/>
    <w:rsid w:val="004664D3"/>
    <w:rsid w:val="00477916"/>
    <w:rsid w:val="004910B8"/>
    <w:rsid w:val="00492602"/>
    <w:rsid w:val="004A3BAA"/>
    <w:rsid w:val="004A7395"/>
    <w:rsid w:val="004B1E30"/>
    <w:rsid w:val="004D1BC7"/>
    <w:rsid w:val="004D3F57"/>
    <w:rsid w:val="004D79B2"/>
    <w:rsid w:val="004F5612"/>
    <w:rsid w:val="005052D9"/>
    <w:rsid w:val="00516394"/>
    <w:rsid w:val="0052118E"/>
    <w:rsid w:val="00527F95"/>
    <w:rsid w:val="005314A6"/>
    <w:rsid w:val="00531A82"/>
    <w:rsid w:val="005502E1"/>
    <w:rsid w:val="00560F1A"/>
    <w:rsid w:val="0056481B"/>
    <w:rsid w:val="0057156C"/>
    <w:rsid w:val="00571898"/>
    <w:rsid w:val="00574ECE"/>
    <w:rsid w:val="00574F07"/>
    <w:rsid w:val="0057528C"/>
    <w:rsid w:val="00581E50"/>
    <w:rsid w:val="005835F0"/>
    <w:rsid w:val="005842A0"/>
    <w:rsid w:val="005958DD"/>
    <w:rsid w:val="005A57BA"/>
    <w:rsid w:val="005B15B3"/>
    <w:rsid w:val="005C7622"/>
    <w:rsid w:val="005D723D"/>
    <w:rsid w:val="005E6403"/>
    <w:rsid w:val="00607CFA"/>
    <w:rsid w:val="00623469"/>
    <w:rsid w:val="00634C49"/>
    <w:rsid w:val="00637A67"/>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6AFF"/>
    <w:rsid w:val="006F35F9"/>
    <w:rsid w:val="00720641"/>
    <w:rsid w:val="007319D7"/>
    <w:rsid w:val="00731FAF"/>
    <w:rsid w:val="007400F4"/>
    <w:rsid w:val="007426BF"/>
    <w:rsid w:val="00760FDF"/>
    <w:rsid w:val="007757E7"/>
    <w:rsid w:val="00781D3B"/>
    <w:rsid w:val="007A41F5"/>
    <w:rsid w:val="007B2F2D"/>
    <w:rsid w:val="007B4429"/>
    <w:rsid w:val="007B7425"/>
    <w:rsid w:val="007E33E3"/>
    <w:rsid w:val="007E4380"/>
    <w:rsid w:val="007F5417"/>
    <w:rsid w:val="00801C42"/>
    <w:rsid w:val="00804116"/>
    <w:rsid w:val="00812480"/>
    <w:rsid w:val="00821937"/>
    <w:rsid w:val="008340D0"/>
    <w:rsid w:val="008403CA"/>
    <w:rsid w:val="0085395A"/>
    <w:rsid w:val="00853F8E"/>
    <w:rsid w:val="0086142C"/>
    <w:rsid w:val="00865ACD"/>
    <w:rsid w:val="00872E7F"/>
    <w:rsid w:val="00880FA9"/>
    <w:rsid w:val="008930F1"/>
    <w:rsid w:val="00893F45"/>
    <w:rsid w:val="008B7588"/>
    <w:rsid w:val="008C5414"/>
    <w:rsid w:val="008F0130"/>
    <w:rsid w:val="008F2E4C"/>
    <w:rsid w:val="00905C46"/>
    <w:rsid w:val="00906EEC"/>
    <w:rsid w:val="009166DF"/>
    <w:rsid w:val="009204C7"/>
    <w:rsid w:val="00922030"/>
    <w:rsid w:val="0093532E"/>
    <w:rsid w:val="00941258"/>
    <w:rsid w:val="00942245"/>
    <w:rsid w:val="00956812"/>
    <w:rsid w:val="00963957"/>
    <w:rsid w:val="009658AC"/>
    <w:rsid w:val="009725E5"/>
    <w:rsid w:val="00974CFD"/>
    <w:rsid w:val="00981567"/>
    <w:rsid w:val="009B29E2"/>
    <w:rsid w:val="009C3981"/>
    <w:rsid w:val="009C3CFF"/>
    <w:rsid w:val="009D1341"/>
    <w:rsid w:val="009D6D73"/>
    <w:rsid w:val="009D79C6"/>
    <w:rsid w:val="009F0440"/>
    <w:rsid w:val="009F0526"/>
    <w:rsid w:val="00A01DE3"/>
    <w:rsid w:val="00A11371"/>
    <w:rsid w:val="00A120E1"/>
    <w:rsid w:val="00A31942"/>
    <w:rsid w:val="00A31FAA"/>
    <w:rsid w:val="00A343A9"/>
    <w:rsid w:val="00A5239C"/>
    <w:rsid w:val="00A650DC"/>
    <w:rsid w:val="00A6764A"/>
    <w:rsid w:val="00A767E3"/>
    <w:rsid w:val="00A84255"/>
    <w:rsid w:val="00A93734"/>
    <w:rsid w:val="00A95879"/>
    <w:rsid w:val="00AC1AC7"/>
    <w:rsid w:val="00AD18B8"/>
    <w:rsid w:val="00AD33D5"/>
    <w:rsid w:val="00AE21FC"/>
    <w:rsid w:val="00AE7072"/>
    <w:rsid w:val="00B01BAA"/>
    <w:rsid w:val="00B07BD7"/>
    <w:rsid w:val="00B13AA5"/>
    <w:rsid w:val="00B3029D"/>
    <w:rsid w:val="00B3099B"/>
    <w:rsid w:val="00B40A71"/>
    <w:rsid w:val="00B41B0C"/>
    <w:rsid w:val="00B503C7"/>
    <w:rsid w:val="00B54AB5"/>
    <w:rsid w:val="00B645C9"/>
    <w:rsid w:val="00B92C96"/>
    <w:rsid w:val="00BA68F0"/>
    <w:rsid w:val="00BC095B"/>
    <w:rsid w:val="00BD08CA"/>
    <w:rsid w:val="00BD371D"/>
    <w:rsid w:val="00BE1214"/>
    <w:rsid w:val="00BE3015"/>
    <w:rsid w:val="00BF5D06"/>
    <w:rsid w:val="00C15672"/>
    <w:rsid w:val="00C15970"/>
    <w:rsid w:val="00C31421"/>
    <w:rsid w:val="00C33753"/>
    <w:rsid w:val="00C35B94"/>
    <w:rsid w:val="00C45A1F"/>
    <w:rsid w:val="00C61D1C"/>
    <w:rsid w:val="00C82FA4"/>
    <w:rsid w:val="00CA0669"/>
    <w:rsid w:val="00CA1E7C"/>
    <w:rsid w:val="00CB0030"/>
    <w:rsid w:val="00CB7521"/>
    <w:rsid w:val="00CC57AC"/>
    <w:rsid w:val="00CC776C"/>
    <w:rsid w:val="00CD6D68"/>
    <w:rsid w:val="00CE3864"/>
    <w:rsid w:val="00CF2CCC"/>
    <w:rsid w:val="00CF383E"/>
    <w:rsid w:val="00D0584B"/>
    <w:rsid w:val="00D15A4A"/>
    <w:rsid w:val="00D204FA"/>
    <w:rsid w:val="00D2467C"/>
    <w:rsid w:val="00D2695E"/>
    <w:rsid w:val="00D3065F"/>
    <w:rsid w:val="00D335C5"/>
    <w:rsid w:val="00D521FA"/>
    <w:rsid w:val="00D549C6"/>
    <w:rsid w:val="00D5513F"/>
    <w:rsid w:val="00D5685A"/>
    <w:rsid w:val="00D61C52"/>
    <w:rsid w:val="00D81121"/>
    <w:rsid w:val="00D83FDF"/>
    <w:rsid w:val="00D94CF1"/>
    <w:rsid w:val="00DA10A8"/>
    <w:rsid w:val="00DB5DBC"/>
    <w:rsid w:val="00DB6A12"/>
    <w:rsid w:val="00DE3318"/>
    <w:rsid w:val="00DF31F2"/>
    <w:rsid w:val="00E02354"/>
    <w:rsid w:val="00E10EA0"/>
    <w:rsid w:val="00E157C9"/>
    <w:rsid w:val="00E24139"/>
    <w:rsid w:val="00E34C02"/>
    <w:rsid w:val="00E3616D"/>
    <w:rsid w:val="00E402B3"/>
    <w:rsid w:val="00E45649"/>
    <w:rsid w:val="00E50862"/>
    <w:rsid w:val="00E5205D"/>
    <w:rsid w:val="00E5351B"/>
    <w:rsid w:val="00E60ABB"/>
    <w:rsid w:val="00E62517"/>
    <w:rsid w:val="00E62D91"/>
    <w:rsid w:val="00E67611"/>
    <w:rsid w:val="00E67713"/>
    <w:rsid w:val="00E72DFF"/>
    <w:rsid w:val="00E73023"/>
    <w:rsid w:val="00E92E47"/>
    <w:rsid w:val="00E9576D"/>
    <w:rsid w:val="00E95805"/>
    <w:rsid w:val="00EA442E"/>
    <w:rsid w:val="00EC08AC"/>
    <w:rsid w:val="00EC1948"/>
    <w:rsid w:val="00EC2A15"/>
    <w:rsid w:val="00ED4639"/>
    <w:rsid w:val="00EE4A06"/>
    <w:rsid w:val="00EE54D2"/>
    <w:rsid w:val="00EF7C8A"/>
    <w:rsid w:val="00F25E7F"/>
    <w:rsid w:val="00F307D6"/>
    <w:rsid w:val="00F45E31"/>
    <w:rsid w:val="00F512EE"/>
    <w:rsid w:val="00F643E6"/>
    <w:rsid w:val="00F76D69"/>
    <w:rsid w:val="00F80E73"/>
    <w:rsid w:val="00F9012C"/>
    <w:rsid w:val="00F9097E"/>
    <w:rsid w:val="00F93C6C"/>
    <w:rsid w:val="00FA5147"/>
    <w:rsid w:val="00FB0C11"/>
    <w:rsid w:val="00FC0545"/>
    <w:rsid w:val="00FC1DB2"/>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E3"/>
    <w:rPr>
      <w:sz w:val="24"/>
      <w:szCs w:val="24"/>
    </w:rPr>
  </w:style>
  <w:style w:type="paragraph" w:styleId="Heading1">
    <w:name w:val="heading 1"/>
    <w:basedOn w:val="Noparagraphstyle"/>
    <w:next w:val="Normal"/>
    <w:link w:val="Heading1Char"/>
    <w:qFormat/>
    <w:rsid w:val="00A767E3"/>
    <w:pPr>
      <w:outlineLvl w:val="0"/>
    </w:pPr>
    <w:rPr>
      <w:rFonts w:ascii="Arial Narrow" w:hAnsi="Arial Narrow"/>
      <w:b/>
      <w:sz w:val="20"/>
      <w:szCs w:val="20"/>
    </w:rPr>
  </w:style>
  <w:style w:type="paragraph" w:styleId="Heading2">
    <w:name w:val="heading 2"/>
    <w:basedOn w:val="Normal"/>
    <w:next w:val="Normal"/>
    <w:link w:val="Heading2Char"/>
    <w:unhideWhenUsed/>
    <w:qFormat/>
    <w:rsid w:val="00A767E3"/>
    <w:pPr>
      <w:outlineLvl w:val="1"/>
    </w:pPr>
    <w:rPr>
      <w:rFonts w:ascii="Arial Black" w:hAnsi="Arial Black"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customStyle="1" w:styleId="Heading1Char">
    <w:name w:val="Heading 1 Char"/>
    <w:basedOn w:val="DefaultParagraphFont"/>
    <w:link w:val="Heading1"/>
    <w:rsid w:val="00A767E3"/>
    <w:rPr>
      <w:rFonts w:ascii="Arial Narrow" w:hAnsi="Arial Narrow"/>
      <w:b/>
      <w:color w:val="000000"/>
    </w:rPr>
  </w:style>
  <w:style w:type="character" w:customStyle="1" w:styleId="Heading2Char">
    <w:name w:val="Heading 2 Char"/>
    <w:basedOn w:val="DefaultParagraphFont"/>
    <w:link w:val="Heading2"/>
    <w:rsid w:val="00A767E3"/>
    <w:rPr>
      <w:rFonts w:ascii="Arial Black" w:hAnsi="Arial Black"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E3"/>
    <w:rPr>
      <w:sz w:val="24"/>
      <w:szCs w:val="24"/>
    </w:rPr>
  </w:style>
  <w:style w:type="paragraph" w:styleId="Heading1">
    <w:name w:val="heading 1"/>
    <w:basedOn w:val="Noparagraphstyle"/>
    <w:next w:val="Normal"/>
    <w:link w:val="Heading1Char"/>
    <w:qFormat/>
    <w:rsid w:val="00A767E3"/>
    <w:pPr>
      <w:outlineLvl w:val="0"/>
    </w:pPr>
    <w:rPr>
      <w:rFonts w:ascii="Arial Narrow" w:hAnsi="Arial Narrow"/>
      <w:b/>
      <w:sz w:val="20"/>
      <w:szCs w:val="20"/>
    </w:rPr>
  </w:style>
  <w:style w:type="paragraph" w:styleId="Heading2">
    <w:name w:val="heading 2"/>
    <w:basedOn w:val="Normal"/>
    <w:next w:val="Normal"/>
    <w:link w:val="Heading2Char"/>
    <w:unhideWhenUsed/>
    <w:qFormat/>
    <w:rsid w:val="00A767E3"/>
    <w:pPr>
      <w:outlineLvl w:val="1"/>
    </w:pPr>
    <w:rPr>
      <w:rFonts w:ascii="Arial Black" w:hAnsi="Arial Black"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customStyle="1" w:styleId="Heading1Char">
    <w:name w:val="Heading 1 Char"/>
    <w:basedOn w:val="DefaultParagraphFont"/>
    <w:link w:val="Heading1"/>
    <w:rsid w:val="00A767E3"/>
    <w:rPr>
      <w:rFonts w:ascii="Arial Narrow" w:hAnsi="Arial Narrow"/>
      <w:b/>
      <w:color w:val="000000"/>
    </w:rPr>
  </w:style>
  <w:style w:type="character" w:customStyle="1" w:styleId="Heading2Char">
    <w:name w:val="Heading 2 Char"/>
    <w:basedOn w:val="DefaultParagraphFont"/>
    <w:link w:val="Heading2"/>
    <w:rsid w:val="00A767E3"/>
    <w:rPr>
      <w:rFonts w:ascii="Arial Black" w:hAnsi="Arial Black"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5171">
      <w:bodyDiv w:val="1"/>
      <w:marLeft w:val="0"/>
      <w:marRight w:val="0"/>
      <w:marTop w:val="0"/>
      <w:marBottom w:val="0"/>
      <w:divBdr>
        <w:top w:val="none" w:sz="0" w:space="0" w:color="auto"/>
        <w:left w:val="none" w:sz="0" w:space="0" w:color="auto"/>
        <w:bottom w:val="none" w:sz="0" w:space="0" w:color="auto"/>
        <w:right w:val="none" w:sz="0" w:space="0" w:color="auto"/>
      </w:divBdr>
    </w:div>
    <w:div w:id="243028414">
      <w:bodyDiv w:val="1"/>
      <w:marLeft w:val="0"/>
      <w:marRight w:val="0"/>
      <w:marTop w:val="0"/>
      <w:marBottom w:val="0"/>
      <w:divBdr>
        <w:top w:val="none" w:sz="0" w:space="0" w:color="auto"/>
        <w:left w:val="none" w:sz="0" w:space="0" w:color="auto"/>
        <w:bottom w:val="none" w:sz="0" w:space="0" w:color="auto"/>
        <w:right w:val="none" w:sz="0" w:space="0" w:color="auto"/>
      </w:divBdr>
    </w:div>
    <w:div w:id="338704655">
      <w:bodyDiv w:val="1"/>
      <w:marLeft w:val="0"/>
      <w:marRight w:val="0"/>
      <w:marTop w:val="0"/>
      <w:marBottom w:val="0"/>
      <w:divBdr>
        <w:top w:val="none" w:sz="0" w:space="0" w:color="auto"/>
        <w:left w:val="none" w:sz="0" w:space="0" w:color="auto"/>
        <w:bottom w:val="none" w:sz="0" w:space="0" w:color="auto"/>
        <w:right w:val="none" w:sz="0" w:space="0" w:color="auto"/>
      </w:divBdr>
    </w:div>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702438661">
      <w:bodyDiv w:val="1"/>
      <w:marLeft w:val="0"/>
      <w:marRight w:val="0"/>
      <w:marTop w:val="0"/>
      <w:marBottom w:val="0"/>
      <w:divBdr>
        <w:top w:val="none" w:sz="0" w:space="0" w:color="auto"/>
        <w:left w:val="none" w:sz="0" w:space="0" w:color="auto"/>
        <w:bottom w:val="none" w:sz="0" w:space="0" w:color="auto"/>
        <w:right w:val="none" w:sz="0" w:space="0" w:color="auto"/>
      </w:divBdr>
    </w:div>
    <w:div w:id="731462099">
      <w:bodyDiv w:val="1"/>
      <w:marLeft w:val="0"/>
      <w:marRight w:val="0"/>
      <w:marTop w:val="0"/>
      <w:marBottom w:val="0"/>
      <w:divBdr>
        <w:top w:val="none" w:sz="0" w:space="0" w:color="auto"/>
        <w:left w:val="none" w:sz="0" w:space="0" w:color="auto"/>
        <w:bottom w:val="none" w:sz="0" w:space="0" w:color="auto"/>
        <w:right w:val="none" w:sz="0" w:space="0" w:color="auto"/>
      </w:divBdr>
    </w:div>
    <w:div w:id="761149784">
      <w:bodyDiv w:val="1"/>
      <w:marLeft w:val="0"/>
      <w:marRight w:val="0"/>
      <w:marTop w:val="0"/>
      <w:marBottom w:val="0"/>
      <w:divBdr>
        <w:top w:val="none" w:sz="0" w:space="0" w:color="auto"/>
        <w:left w:val="none" w:sz="0" w:space="0" w:color="auto"/>
        <w:bottom w:val="none" w:sz="0" w:space="0" w:color="auto"/>
        <w:right w:val="none" w:sz="0" w:space="0" w:color="auto"/>
      </w:divBdr>
    </w:div>
    <w:div w:id="829056788">
      <w:bodyDiv w:val="1"/>
      <w:marLeft w:val="0"/>
      <w:marRight w:val="0"/>
      <w:marTop w:val="0"/>
      <w:marBottom w:val="0"/>
      <w:divBdr>
        <w:top w:val="none" w:sz="0" w:space="0" w:color="auto"/>
        <w:left w:val="none" w:sz="0" w:space="0" w:color="auto"/>
        <w:bottom w:val="none" w:sz="0" w:space="0" w:color="auto"/>
        <w:right w:val="none" w:sz="0" w:space="0" w:color="auto"/>
      </w:divBdr>
    </w:div>
    <w:div w:id="976254650">
      <w:bodyDiv w:val="1"/>
      <w:marLeft w:val="0"/>
      <w:marRight w:val="0"/>
      <w:marTop w:val="0"/>
      <w:marBottom w:val="0"/>
      <w:divBdr>
        <w:top w:val="none" w:sz="0" w:space="0" w:color="auto"/>
        <w:left w:val="none" w:sz="0" w:space="0" w:color="auto"/>
        <w:bottom w:val="none" w:sz="0" w:space="0" w:color="auto"/>
        <w:right w:val="none" w:sz="0" w:space="0" w:color="auto"/>
      </w:divBdr>
    </w:div>
    <w:div w:id="1021708119">
      <w:bodyDiv w:val="1"/>
      <w:marLeft w:val="0"/>
      <w:marRight w:val="0"/>
      <w:marTop w:val="0"/>
      <w:marBottom w:val="0"/>
      <w:divBdr>
        <w:top w:val="none" w:sz="0" w:space="0" w:color="auto"/>
        <w:left w:val="none" w:sz="0" w:space="0" w:color="auto"/>
        <w:bottom w:val="none" w:sz="0" w:space="0" w:color="auto"/>
        <w:right w:val="none" w:sz="0" w:space="0" w:color="auto"/>
      </w:divBdr>
    </w:div>
    <w:div w:id="1101530246">
      <w:bodyDiv w:val="1"/>
      <w:marLeft w:val="0"/>
      <w:marRight w:val="0"/>
      <w:marTop w:val="0"/>
      <w:marBottom w:val="0"/>
      <w:divBdr>
        <w:top w:val="none" w:sz="0" w:space="0" w:color="auto"/>
        <w:left w:val="none" w:sz="0" w:space="0" w:color="auto"/>
        <w:bottom w:val="none" w:sz="0" w:space="0" w:color="auto"/>
        <w:right w:val="none" w:sz="0" w:space="0" w:color="auto"/>
      </w:divBdr>
    </w:div>
    <w:div w:id="1121606728">
      <w:bodyDiv w:val="1"/>
      <w:marLeft w:val="0"/>
      <w:marRight w:val="0"/>
      <w:marTop w:val="0"/>
      <w:marBottom w:val="0"/>
      <w:divBdr>
        <w:top w:val="none" w:sz="0" w:space="0" w:color="auto"/>
        <w:left w:val="none" w:sz="0" w:space="0" w:color="auto"/>
        <w:bottom w:val="none" w:sz="0" w:space="0" w:color="auto"/>
        <w:right w:val="none" w:sz="0" w:space="0" w:color="auto"/>
      </w:divBdr>
    </w:div>
    <w:div w:id="1184900421">
      <w:bodyDiv w:val="1"/>
      <w:marLeft w:val="0"/>
      <w:marRight w:val="0"/>
      <w:marTop w:val="0"/>
      <w:marBottom w:val="0"/>
      <w:divBdr>
        <w:top w:val="none" w:sz="0" w:space="0" w:color="auto"/>
        <w:left w:val="none" w:sz="0" w:space="0" w:color="auto"/>
        <w:bottom w:val="none" w:sz="0" w:space="0" w:color="auto"/>
        <w:right w:val="none" w:sz="0" w:space="0" w:color="auto"/>
      </w:divBdr>
    </w:div>
    <w:div w:id="1281256079">
      <w:bodyDiv w:val="1"/>
      <w:marLeft w:val="0"/>
      <w:marRight w:val="0"/>
      <w:marTop w:val="0"/>
      <w:marBottom w:val="0"/>
      <w:divBdr>
        <w:top w:val="none" w:sz="0" w:space="0" w:color="auto"/>
        <w:left w:val="none" w:sz="0" w:space="0" w:color="auto"/>
        <w:bottom w:val="none" w:sz="0" w:space="0" w:color="auto"/>
        <w:right w:val="none" w:sz="0" w:space="0" w:color="auto"/>
      </w:divBdr>
    </w:div>
    <w:div w:id="1294167051">
      <w:bodyDiv w:val="1"/>
      <w:marLeft w:val="0"/>
      <w:marRight w:val="0"/>
      <w:marTop w:val="0"/>
      <w:marBottom w:val="0"/>
      <w:divBdr>
        <w:top w:val="none" w:sz="0" w:space="0" w:color="auto"/>
        <w:left w:val="none" w:sz="0" w:space="0" w:color="auto"/>
        <w:bottom w:val="none" w:sz="0" w:space="0" w:color="auto"/>
        <w:right w:val="none" w:sz="0" w:space="0" w:color="auto"/>
      </w:divBdr>
    </w:div>
    <w:div w:id="1377654591">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37040607">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572542000">
      <w:bodyDiv w:val="1"/>
      <w:marLeft w:val="0"/>
      <w:marRight w:val="0"/>
      <w:marTop w:val="0"/>
      <w:marBottom w:val="0"/>
      <w:divBdr>
        <w:top w:val="none" w:sz="0" w:space="0" w:color="auto"/>
        <w:left w:val="none" w:sz="0" w:space="0" w:color="auto"/>
        <w:bottom w:val="none" w:sz="0" w:space="0" w:color="auto"/>
        <w:right w:val="none" w:sz="0" w:space="0" w:color="auto"/>
      </w:divBdr>
    </w:div>
    <w:div w:id="160244813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818257725">
      <w:bodyDiv w:val="1"/>
      <w:marLeft w:val="0"/>
      <w:marRight w:val="0"/>
      <w:marTop w:val="0"/>
      <w:marBottom w:val="0"/>
      <w:divBdr>
        <w:top w:val="none" w:sz="0" w:space="0" w:color="auto"/>
        <w:left w:val="none" w:sz="0" w:space="0" w:color="auto"/>
        <w:bottom w:val="none" w:sz="0" w:space="0" w:color="auto"/>
        <w:right w:val="none" w:sz="0" w:space="0" w:color="auto"/>
      </w:divBdr>
    </w:div>
    <w:div w:id="1826623150">
      <w:bodyDiv w:val="1"/>
      <w:marLeft w:val="0"/>
      <w:marRight w:val="0"/>
      <w:marTop w:val="0"/>
      <w:marBottom w:val="0"/>
      <w:divBdr>
        <w:top w:val="none" w:sz="0" w:space="0" w:color="auto"/>
        <w:left w:val="none" w:sz="0" w:space="0" w:color="auto"/>
        <w:bottom w:val="none" w:sz="0" w:space="0" w:color="auto"/>
        <w:right w:val="none" w:sz="0" w:space="0" w:color="auto"/>
      </w:divBdr>
    </w:div>
    <w:div w:id="1977100639">
      <w:bodyDiv w:val="1"/>
      <w:marLeft w:val="0"/>
      <w:marRight w:val="0"/>
      <w:marTop w:val="0"/>
      <w:marBottom w:val="0"/>
      <w:divBdr>
        <w:top w:val="none" w:sz="0" w:space="0" w:color="auto"/>
        <w:left w:val="none" w:sz="0" w:space="0" w:color="auto"/>
        <w:bottom w:val="none" w:sz="0" w:space="0" w:color="auto"/>
        <w:right w:val="none" w:sz="0" w:space="0" w:color="auto"/>
      </w:divBdr>
    </w:div>
    <w:div w:id="207461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03725-DA73-4D2F-9211-9C2D3972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2021-12-15T15:41:00Z</dcterms:created>
  <dcterms:modified xsi:type="dcterms:W3CDTF">2021-12-15T15:41:00Z</dcterms:modified>
</cp:coreProperties>
</file>