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8D93D" w14:textId="77777777" w:rsidR="00C030CD" w:rsidRPr="00BC4E0D" w:rsidRDefault="00C030CD" w:rsidP="00C030CD">
      <w:pPr>
        <w:pStyle w:val="Noparagraphstyle"/>
        <w:rPr>
          <w:rFonts w:ascii="Arial Narrow" w:hAnsi="Arial Narrow"/>
          <w:b/>
          <w:color w:val="auto"/>
          <w:sz w:val="20"/>
          <w:szCs w:val="20"/>
        </w:rPr>
      </w:pPr>
      <w:r w:rsidRPr="00BC4E0D">
        <w:rPr>
          <w:rFonts w:ascii="Arial Narrow" w:hAnsi="Arial Narrow"/>
          <w:b/>
          <w:color w:val="auto"/>
          <w:sz w:val="20"/>
          <w:szCs w:val="20"/>
        </w:rPr>
        <w:t>Number 187, October 20, 2022</w:t>
      </w:r>
    </w:p>
    <w:p w14:paraId="56A843BC" w14:textId="7AD1097C" w:rsidR="006F35F9" w:rsidRDefault="002C3773" w:rsidP="002C3773">
      <w:pPr>
        <w:pStyle w:val="NormalWeb"/>
        <w:shd w:val="clear" w:color="auto" w:fill="FFFFFF"/>
        <w:spacing w:before="0" w:beforeAutospacing="0" w:after="225" w:afterAutospacing="0"/>
        <w:ind w:left="-144" w:right="144"/>
        <w:jc w:val="both"/>
        <w:rPr>
          <w:rFonts w:ascii="Arial" w:hAnsi="Arial" w:cs="Arial"/>
          <w:color w:val="000000"/>
          <w:sz w:val="21"/>
          <w:szCs w:val="21"/>
        </w:rPr>
        <w:sectPr w:rsidR="006F35F9" w:rsidSect="00410B13">
          <w:headerReference w:type="default" r:id="rId8"/>
          <w:footerReference w:type="default" r:id="rId9"/>
          <w:footerReference w:type="first" r:id="rId10"/>
          <w:pgSz w:w="12240" w:h="15840" w:code="1"/>
          <w:pgMar w:top="360" w:right="907" w:bottom="446" w:left="907" w:header="0" w:footer="0" w:gutter="0"/>
          <w:cols w:space="720"/>
          <w:docGrid w:linePitch="360"/>
        </w:sectPr>
      </w:pPr>
      <w:r>
        <w:rPr>
          <w:rFonts w:ascii="Arial" w:hAnsi="Arial" w:cs="Arial"/>
          <w:noProof/>
          <w:color w:val="000000"/>
          <w:sz w:val="21"/>
          <w:szCs w:val="21"/>
        </w:rPr>
        <w:drawing>
          <wp:inline distT="0" distB="0" distL="0" distR="0" wp14:anchorId="4065D48E" wp14:editId="6D4C1904">
            <wp:extent cx="6733540" cy="1717292"/>
            <wp:effectExtent l="0" t="0" r="0" b="0"/>
            <wp:docPr id="1" name="Picture 1" descr="Pharmacy Facts presents current information for pharmacists about the MassHealth Pharmacy Program.&#10;www.mass.gov/masshealth-pharmacy-f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harmacy Facts presents current information for pharmacists about the MassHealth Pharmacy Program.&#10;www.mass.gov/masshealth-pharmacy-fact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87301" cy="1731003"/>
                    </a:xfrm>
                    <a:prstGeom prst="rect">
                      <a:avLst/>
                    </a:prstGeom>
                  </pic:spPr>
                </pic:pic>
              </a:graphicData>
            </a:graphic>
          </wp:inline>
        </w:drawing>
      </w:r>
    </w:p>
    <w:p w14:paraId="3C423942" w14:textId="77777777" w:rsidR="00C030CD" w:rsidRPr="00C60193" w:rsidRDefault="00C030CD" w:rsidP="00C030CD">
      <w:pPr>
        <w:rPr>
          <w:sz w:val="22"/>
          <w:szCs w:val="22"/>
        </w:rPr>
      </w:pPr>
      <w:r w:rsidRPr="00BC4E0D">
        <w:rPr>
          <w:rFonts w:ascii="Arial Black" w:hAnsi="Arial Black" w:cs="Arial"/>
          <w:b/>
        </w:rPr>
        <w:t>Overview of Implementation of Adult Prescription Stimulant Restrictions</w:t>
      </w:r>
    </w:p>
    <w:p w14:paraId="539B7344" w14:textId="65EB813D" w:rsidR="00C030CD" w:rsidRPr="00BC4E0D" w:rsidRDefault="00C030CD" w:rsidP="00C030CD">
      <w:pPr>
        <w:spacing w:line="259" w:lineRule="auto"/>
        <w:rPr>
          <w:rFonts w:ascii="Arial" w:eastAsia="Calibri" w:hAnsi="Arial" w:cs="Arial"/>
          <w:sz w:val="22"/>
          <w:szCs w:val="22"/>
        </w:rPr>
      </w:pPr>
      <w:r w:rsidRPr="00BC4E0D">
        <w:rPr>
          <w:rFonts w:ascii="Arial" w:eastAsia="Calibri" w:hAnsi="Arial" w:cs="Arial"/>
          <w:sz w:val="22"/>
          <w:szCs w:val="22"/>
        </w:rPr>
        <w:t>Prescription stimulants are commonly used for the treatment of attention-deficit/hyperactivity disorder (ADHD), narcolepsy, and excessive daytime sleepiness (EDS) in children and adults. In 2020, the National Institute on Drug Abuse (NIDA) reported 10.3 million people in the US abusing or misusing CNS stimulants.</w:t>
      </w:r>
      <w:r w:rsidRPr="00BC4E0D">
        <w:rPr>
          <w:rFonts w:ascii="Arial" w:eastAsia="Calibri" w:hAnsi="Arial" w:cs="Arial"/>
          <w:sz w:val="22"/>
          <w:szCs w:val="22"/>
          <w:vertAlign w:val="superscript"/>
        </w:rPr>
        <w:t>1</w:t>
      </w:r>
      <w:r w:rsidRPr="00BC4E0D">
        <w:rPr>
          <w:rFonts w:ascii="Arial" w:eastAsia="Calibri" w:hAnsi="Arial" w:cs="Arial"/>
          <w:sz w:val="22"/>
          <w:szCs w:val="22"/>
        </w:rPr>
        <w:t xml:space="preserve"> </w:t>
      </w:r>
    </w:p>
    <w:p w14:paraId="0DA1CCD3" w14:textId="77777777" w:rsidR="00C030CD" w:rsidRPr="00BC4E0D" w:rsidRDefault="00C030CD" w:rsidP="00C030CD">
      <w:pPr>
        <w:spacing w:line="259" w:lineRule="auto"/>
        <w:rPr>
          <w:rFonts w:ascii="Arial" w:eastAsia="Calibri" w:hAnsi="Arial" w:cs="Arial"/>
          <w:sz w:val="22"/>
          <w:szCs w:val="22"/>
        </w:rPr>
      </w:pPr>
    </w:p>
    <w:p w14:paraId="133B7B52" w14:textId="77777777" w:rsidR="00C030CD" w:rsidRPr="00BC4E0D" w:rsidRDefault="00C030CD" w:rsidP="00C030CD">
      <w:pPr>
        <w:spacing w:line="259" w:lineRule="auto"/>
        <w:rPr>
          <w:rFonts w:ascii="Arial" w:eastAsia="Calibri" w:hAnsi="Arial" w:cs="Arial"/>
          <w:sz w:val="22"/>
          <w:szCs w:val="22"/>
        </w:rPr>
      </w:pPr>
      <w:r w:rsidRPr="00BC4E0D">
        <w:rPr>
          <w:rFonts w:ascii="Arial" w:eastAsia="Calibri" w:hAnsi="Arial" w:cs="Arial"/>
          <w:sz w:val="22"/>
          <w:szCs w:val="22"/>
        </w:rPr>
        <w:t>Drug overdose deaths that involved a psychostimulant with abuse potential, including methamphetamine, rose from 547 in 1999 to 23,837 in 2020.</w:t>
      </w:r>
      <w:r w:rsidRPr="00BC4E0D">
        <w:rPr>
          <w:rFonts w:ascii="Arial" w:eastAsia="Calibri" w:hAnsi="Arial" w:cs="Arial"/>
          <w:sz w:val="22"/>
          <w:szCs w:val="22"/>
          <w:vertAlign w:val="superscript"/>
        </w:rPr>
        <w:t>1</w:t>
      </w:r>
      <w:r w:rsidRPr="00BC4E0D">
        <w:rPr>
          <w:rFonts w:ascii="Arial" w:eastAsia="Calibri" w:hAnsi="Arial" w:cs="Arial"/>
          <w:sz w:val="22"/>
          <w:szCs w:val="22"/>
        </w:rPr>
        <w:t xml:space="preserve"> In Massachusetts specifically, an analysis of stimulant prescription rates indicated rapid growth from 2010 to 2019.</w:t>
      </w:r>
      <w:r w:rsidRPr="00BC4E0D">
        <w:rPr>
          <w:rFonts w:ascii="Arial" w:eastAsia="Calibri" w:hAnsi="Arial" w:cs="Arial"/>
          <w:sz w:val="22"/>
          <w:szCs w:val="22"/>
          <w:vertAlign w:val="superscript"/>
        </w:rPr>
        <w:t>2</w:t>
      </w:r>
    </w:p>
    <w:p w14:paraId="6BF6A2E5" w14:textId="77777777" w:rsidR="00C030CD" w:rsidRPr="00BC4E0D" w:rsidRDefault="00C030CD" w:rsidP="00C030CD">
      <w:pPr>
        <w:widowControl w:val="0"/>
        <w:spacing w:line="259" w:lineRule="auto"/>
        <w:rPr>
          <w:rFonts w:ascii="Arial" w:hAnsi="Arial" w:cs="Arial"/>
          <w:sz w:val="22"/>
          <w:szCs w:val="22"/>
          <w:lang w:val="en"/>
        </w:rPr>
      </w:pPr>
    </w:p>
    <w:p w14:paraId="6FD42E8A" w14:textId="77777777" w:rsidR="00C030CD" w:rsidRPr="00C030CD" w:rsidRDefault="00C030CD" w:rsidP="00C030CD">
      <w:pPr>
        <w:widowControl w:val="0"/>
        <w:spacing w:line="259" w:lineRule="auto"/>
        <w:rPr>
          <w:rFonts w:ascii="Arial" w:hAnsi="Arial" w:cs="Arial"/>
          <w:sz w:val="22"/>
          <w:szCs w:val="22"/>
          <w:lang w:val="en"/>
        </w:rPr>
      </w:pPr>
      <w:r w:rsidRPr="00C030CD">
        <w:rPr>
          <w:rFonts w:ascii="Arial" w:hAnsi="Arial" w:cs="Arial"/>
          <w:sz w:val="22"/>
          <w:szCs w:val="22"/>
          <w:lang w:val="en"/>
        </w:rPr>
        <w:t xml:space="preserve">For the treatment of ADHD, the use of stimulant medications in adults is typically appropriate. The diagnosis of ADHD in adults should consider </w:t>
      </w:r>
      <w:r w:rsidRPr="00C030CD">
        <w:rPr>
          <w:rStyle w:val="Emphasis"/>
          <w:rFonts w:ascii="Arial" w:hAnsi="Arial" w:cs="Arial"/>
          <w:sz w:val="22"/>
          <w:szCs w:val="22"/>
        </w:rPr>
        <w:t>diagnostic criteria</w:t>
      </w:r>
      <w:r w:rsidRPr="00C030CD">
        <w:rPr>
          <w:rFonts w:ascii="Arial" w:hAnsi="Arial" w:cs="Arial"/>
          <w:sz w:val="22"/>
          <w:szCs w:val="22"/>
          <w:lang w:val="en"/>
        </w:rPr>
        <w:t xml:space="preserve"> as outlined in the </w:t>
      </w:r>
      <w:r w:rsidRPr="00C030CD">
        <w:rPr>
          <w:rStyle w:val="Emphasis"/>
          <w:rFonts w:ascii="Arial" w:hAnsi="Arial" w:cs="Arial"/>
          <w:sz w:val="22"/>
          <w:szCs w:val="22"/>
        </w:rPr>
        <w:t>Diagnostic and Statistical Manual of Mental Disorders, 5th edition</w:t>
      </w:r>
      <w:r w:rsidRPr="00C030CD">
        <w:rPr>
          <w:rFonts w:ascii="Arial" w:hAnsi="Arial" w:cs="Arial"/>
          <w:sz w:val="22"/>
          <w:szCs w:val="22"/>
          <w:lang w:val="en"/>
        </w:rPr>
        <w:t>.</w:t>
      </w:r>
      <w:r w:rsidRPr="00C030CD">
        <w:rPr>
          <w:rFonts w:ascii="Arial" w:hAnsi="Arial" w:cs="Arial"/>
          <w:sz w:val="22"/>
          <w:szCs w:val="22"/>
          <w:vertAlign w:val="superscript"/>
          <w:lang w:val="en"/>
        </w:rPr>
        <w:t>3</w:t>
      </w:r>
      <w:r w:rsidRPr="00C030CD">
        <w:rPr>
          <w:rFonts w:ascii="Arial" w:hAnsi="Arial" w:cs="Arial"/>
          <w:sz w:val="22"/>
          <w:szCs w:val="22"/>
          <w:lang w:val="en"/>
        </w:rPr>
        <w:t xml:space="preserve"> </w:t>
      </w:r>
    </w:p>
    <w:p w14:paraId="3A0A4E02" w14:textId="77777777" w:rsidR="00C030CD" w:rsidRPr="00C030CD" w:rsidRDefault="00C030CD" w:rsidP="00C030CD">
      <w:pPr>
        <w:widowControl w:val="0"/>
        <w:spacing w:line="259" w:lineRule="auto"/>
        <w:rPr>
          <w:rFonts w:ascii="Arial" w:hAnsi="Arial" w:cs="Arial"/>
          <w:sz w:val="22"/>
          <w:szCs w:val="22"/>
          <w:lang w:val="en"/>
        </w:rPr>
      </w:pPr>
    </w:p>
    <w:p w14:paraId="385F6F87" w14:textId="41A1F6E5" w:rsidR="00C030CD" w:rsidRPr="00C030CD" w:rsidRDefault="00C030CD" w:rsidP="00C030CD">
      <w:pPr>
        <w:widowControl w:val="0"/>
        <w:spacing w:line="259" w:lineRule="auto"/>
        <w:rPr>
          <w:rFonts w:ascii="Arial" w:hAnsi="Arial" w:cs="Arial"/>
          <w:sz w:val="22"/>
          <w:szCs w:val="22"/>
          <w:vertAlign w:val="superscript"/>
          <w:lang w:val="en"/>
        </w:rPr>
      </w:pPr>
      <w:r w:rsidRPr="00C030CD">
        <w:rPr>
          <w:rFonts w:ascii="Arial" w:hAnsi="Arial" w:cs="Arial"/>
          <w:sz w:val="22"/>
          <w:szCs w:val="22"/>
          <w:lang w:val="en"/>
        </w:rPr>
        <w:t xml:space="preserve">In addition, the use of </w:t>
      </w:r>
      <w:r w:rsidRPr="00C030CD">
        <w:rPr>
          <w:rStyle w:val="Emphasis"/>
          <w:rFonts w:ascii="Arial" w:hAnsi="Arial" w:cs="Arial"/>
          <w:sz w:val="22"/>
          <w:szCs w:val="22"/>
        </w:rPr>
        <w:t>long-acting (LA) agents</w:t>
      </w:r>
      <w:r w:rsidRPr="00C030CD">
        <w:rPr>
          <w:rFonts w:ascii="Arial" w:hAnsi="Arial" w:cs="Arial"/>
          <w:sz w:val="22"/>
          <w:szCs w:val="22"/>
          <w:lang w:val="en"/>
        </w:rPr>
        <w:t xml:space="preserve"> is recommended by treatment guidelines, as clinical literature indicates short-acting formulations are more commonly abused than LA formulations, with the highest proportion of misuse among young adults.</w:t>
      </w:r>
      <w:r w:rsidRPr="00C030CD">
        <w:rPr>
          <w:rFonts w:ascii="Arial" w:hAnsi="Arial" w:cs="Arial"/>
          <w:sz w:val="22"/>
          <w:szCs w:val="22"/>
          <w:vertAlign w:val="superscript"/>
          <w:lang w:val="en"/>
        </w:rPr>
        <w:t>4</w:t>
      </w:r>
      <w:r w:rsidR="000177AD">
        <w:rPr>
          <w:rFonts w:ascii="Arial" w:hAnsi="Arial" w:cs="Arial"/>
          <w:sz w:val="22"/>
          <w:szCs w:val="22"/>
          <w:vertAlign w:val="superscript"/>
          <w:lang w:val="en"/>
        </w:rPr>
        <w:t>–</w:t>
      </w:r>
      <w:r w:rsidRPr="00C030CD">
        <w:rPr>
          <w:rFonts w:ascii="Arial" w:hAnsi="Arial" w:cs="Arial"/>
          <w:sz w:val="22"/>
          <w:szCs w:val="22"/>
          <w:vertAlign w:val="superscript"/>
          <w:lang w:val="en"/>
        </w:rPr>
        <w:t>6</w:t>
      </w:r>
    </w:p>
    <w:p w14:paraId="40466EDA" w14:textId="77777777" w:rsidR="00C030CD" w:rsidRPr="00BC4E0D" w:rsidRDefault="00C030CD" w:rsidP="00C030CD">
      <w:pPr>
        <w:widowControl w:val="0"/>
        <w:spacing w:line="259" w:lineRule="auto"/>
        <w:rPr>
          <w:rFonts w:ascii="Arial" w:hAnsi="Arial" w:cs="Arial"/>
          <w:sz w:val="22"/>
          <w:szCs w:val="22"/>
          <w:vertAlign w:val="superscript"/>
          <w:lang w:val="en"/>
        </w:rPr>
      </w:pPr>
    </w:p>
    <w:p w14:paraId="69176EBE" w14:textId="77777777" w:rsidR="00C030CD" w:rsidRPr="00BC4E0D" w:rsidRDefault="00C030CD" w:rsidP="00C030CD">
      <w:pPr>
        <w:autoSpaceDE w:val="0"/>
        <w:autoSpaceDN w:val="0"/>
        <w:adjustRightInd w:val="0"/>
        <w:spacing w:line="276" w:lineRule="auto"/>
        <w:rPr>
          <w:rFonts w:ascii="Arial Black" w:hAnsi="Arial Black" w:cs="Arial"/>
          <w:b/>
          <w:bCs/>
          <w:color w:val="000000"/>
        </w:rPr>
      </w:pPr>
      <w:r w:rsidRPr="00BC4E0D">
        <w:rPr>
          <w:rFonts w:ascii="Arial Black" w:hAnsi="Arial Black" w:cs="Arial"/>
          <w:b/>
        </w:rPr>
        <w:t>Description of Restrictions for Adult U</w:t>
      </w:r>
      <w:r w:rsidRPr="00BC4E0D">
        <w:rPr>
          <w:rFonts w:ascii="Arial Black" w:hAnsi="Arial Black" w:cs="Arial"/>
          <w:b/>
          <w:bCs/>
          <w:color w:val="000000"/>
        </w:rPr>
        <w:t>se of Prescription Stimulants</w:t>
      </w:r>
    </w:p>
    <w:p w14:paraId="43006F27" w14:textId="77777777" w:rsidR="00C030CD" w:rsidRPr="00BC4E0D" w:rsidRDefault="00C030CD" w:rsidP="00C030CD">
      <w:pPr>
        <w:spacing w:line="259" w:lineRule="auto"/>
        <w:rPr>
          <w:rFonts w:ascii="Arial" w:eastAsia="Calibri" w:hAnsi="Arial" w:cs="Arial"/>
          <w:sz w:val="22"/>
          <w:szCs w:val="22"/>
        </w:rPr>
      </w:pPr>
      <w:r w:rsidRPr="00BC4E0D">
        <w:rPr>
          <w:rFonts w:ascii="Arial" w:eastAsia="Calibri" w:hAnsi="Arial" w:cs="Arial"/>
          <w:sz w:val="22"/>
          <w:szCs w:val="22"/>
        </w:rPr>
        <w:t xml:space="preserve">Given this information, MassHealth will implement restrictions on stimulant medications for adults beginning on </w:t>
      </w:r>
      <w:r w:rsidRPr="00BC4E0D">
        <w:rPr>
          <w:rStyle w:val="Emphasis"/>
          <w:rFonts w:ascii="Arial" w:eastAsia="Calibri" w:hAnsi="Arial" w:cs="Arial"/>
          <w:sz w:val="22"/>
          <w:szCs w:val="22"/>
        </w:rPr>
        <w:t>December 12, 2022</w:t>
      </w:r>
      <w:r w:rsidRPr="00BC4E0D">
        <w:rPr>
          <w:rFonts w:ascii="Arial" w:eastAsia="Calibri" w:hAnsi="Arial" w:cs="Arial"/>
          <w:sz w:val="22"/>
          <w:szCs w:val="22"/>
        </w:rPr>
        <w:t xml:space="preserve">. Prior authorization (PA) will be required for adult members 21 years of age and older who are </w:t>
      </w:r>
      <w:r w:rsidRPr="00BC4E0D">
        <w:rPr>
          <w:rStyle w:val="Emphasis"/>
          <w:rFonts w:ascii="Arial" w:eastAsia="Calibri" w:hAnsi="Arial" w:cs="Arial"/>
          <w:sz w:val="22"/>
          <w:szCs w:val="22"/>
        </w:rPr>
        <w:t>newly starting</w:t>
      </w:r>
      <w:r w:rsidRPr="00BC4E0D">
        <w:rPr>
          <w:rFonts w:ascii="Arial" w:eastAsia="Calibri" w:hAnsi="Arial" w:cs="Arial"/>
          <w:sz w:val="22"/>
          <w:szCs w:val="22"/>
        </w:rPr>
        <w:t xml:space="preserve"> (defined as anyone who has not </w:t>
      </w:r>
      <w:r w:rsidRPr="00BC4E0D">
        <w:rPr>
          <w:rFonts w:ascii="Arial" w:eastAsia="Calibri" w:hAnsi="Arial" w:cs="Arial"/>
          <w:sz w:val="22"/>
          <w:szCs w:val="22"/>
        </w:rPr>
        <w:t xml:space="preserve">filled a stimulant within the last 90 days) any stimulant medication.  </w:t>
      </w:r>
    </w:p>
    <w:p w14:paraId="02B4F5E0" w14:textId="77777777" w:rsidR="00C030CD" w:rsidRPr="00BC4E0D" w:rsidRDefault="00C030CD" w:rsidP="00C030CD">
      <w:pPr>
        <w:widowControl w:val="0"/>
        <w:spacing w:line="259" w:lineRule="auto"/>
        <w:ind w:right="-94"/>
        <w:rPr>
          <w:rFonts w:ascii="Arial" w:hAnsi="Arial" w:cs="Arial"/>
          <w:bCs/>
          <w:sz w:val="22"/>
          <w:szCs w:val="22"/>
        </w:rPr>
      </w:pPr>
    </w:p>
    <w:p w14:paraId="73494985" w14:textId="77777777" w:rsidR="00C030CD" w:rsidRPr="00BC4E0D" w:rsidRDefault="00C030CD" w:rsidP="00C030CD">
      <w:pPr>
        <w:widowControl w:val="0"/>
        <w:spacing w:line="259" w:lineRule="auto"/>
        <w:ind w:right="-94"/>
        <w:rPr>
          <w:rFonts w:ascii="Arial" w:hAnsi="Arial" w:cs="Arial"/>
          <w:bCs/>
          <w:sz w:val="22"/>
          <w:szCs w:val="22"/>
        </w:rPr>
      </w:pPr>
      <w:r w:rsidRPr="00BC4E0D">
        <w:rPr>
          <w:rFonts w:ascii="Arial" w:hAnsi="Arial" w:cs="Arial"/>
          <w:bCs/>
          <w:sz w:val="22"/>
          <w:szCs w:val="22"/>
        </w:rPr>
        <w:t xml:space="preserve">Please note that adult members </w:t>
      </w:r>
      <w:r w:rsidRPr="00BC4E0D">
        <w:rPr>
          <w:rStyle w:val="Emphasis"/>
          <w:rFonts w:ascii="Arial" w:hAnsi="Arial" w:cs="Arial"/>
          <w:sz w:val="22"/>
          <w:szCs w:val="22"/>
        </w:rPr>
        <w:t>21 years of age and older</w:t>
      </w:r>
      <w:r w:rsidRPr="00BC4E0D">
        <w:rPr>
          <w:rFonts w:ascii="Arial" w:hAnsi="Arial" w:cs="Arial"/>
          <w:bCs/>
          <w:sz w:val="22"/>
          <w:szCs w:val="22"/>
        </w:rPr>
        <w:t xml:space="preserve"> initiating treatment with a CNS stimulant will require</w:t>
      </w:r>
      <w:r w:rsidRPr="00BC4E0D">
        <w:rPr>
          <w:rFonts w:ascii="Arial" w:hAnsi="Arial" w:cs="Arial"/>
          <w:b/>
          <w:sz w:val="22"/>
          <w:szCs w:val="22"/>
        </w:rPr>
        <w:t xml:space="preserve"> </w:t>
      </w:r>
      <w:r w:rsidRPr="00BC4E0D">
        <w:rPr>
          <w:rStyle w:val="Emphasis"/>
          <w:rFonts w:ascii="Arial" w:hAnsi="Arial" w:cs="Arial"/>
          <w:sz w:val="22"/>
          <w:szCs w:val="22"/>
        </w:rPr>
        <w:t>an appropriate diagnosis</w:t>
      </w:r>
      <w:r w:rsidRPr="00BC4E0D">
        <w:rPr>
          <w:rFonts w:ascii="Arial" w:hAnsi="Arial" w:cs="Arial"/>
          <w:bCs/>
          <w:sz w:val="22"/>
          <w:szCs w:val="22"/>
        </w:rPr>
        <w:t xml:space="preserve"> for the use of the stimulant medication. If applicable, such requests must also meet PA criteria unique to the requested drug, as well as any applicable quantity limits.</w:t>
      </w:r>
    </w:p>
    <w:p w14:paraId="5D966788" w14:textId="77777777" w:rsidR="00C030CD" w:rsidRPr="00BC4E0D" w:rsidRDefault="00C030CD" w:rsidP="00C030CD">
      <w:pPr>
        <w:pStyle w:val="ListParagraph"/>
        <w:widowControl w:val="0"/>
        <w:spacing w:line="259" w:lineRule="auto"/>
        <w:ind w:left="1440" w:right="-94"/>
        <w:rPr>
          <w:rFonts w:ascii="Arial" w:hAnsi="Arial" w:cs="Arial"/>
          <w:bCs/>
          <w:sz w:val="22"/>
          <w:szCs w:val="22"/>
        </w:rPr>
      </w:pPr>
    </w:p>
    <w:p w14:paraId="6E0EB2AE" w14:textId="3D7CE48C" w:rsidR="00C030CD" w:rsidRDefault="00C030CD" w:rsidP="00C030CD">
      <w:pPr>
        <w:widowControl w:val="0"/>
        <w:spacing w:line="259" w:lineRule="auto"/>
        <w:ind w:right="-94"/>
        <w:rPr>
          <w:rFonts w:ascii="Arial" w:hAnsi="Arial" w:cs="Arial"/>
          <w:sz w:val="22"/>
          <w:szCs w:val="22"/>
        </w:rPr>
      </w:pPr>
      <w:r w:rsidRPr="00BC4E0D">
        <w:rPr>
          <w:rFonts w:ascii="Arial" w:hAnsi="Arial" w:cs="Arial"/>
          <w:sz w:val="22"/>
          <w:szCs w:val="22"/>
        </w:rPr>
        <w:t xml:space="preserve">The MassHealth Drug List, including </w:t>
      </w:r>
      <w:r w:rsidRPr="00BC4E0D">
        <w:rPr>
          <w:rStyle w:val="Emphasis"/>
          <w:rFonts w:ascii="Arial" w:hAnsi="Arial" w:cs="Arial"/>
          <w:sz w:val="22"/>
          <w:szCs w:val="22"/>
        </w:rPr>
        <w:t>Therapeutic Class Table 31</w:t>
      </w:r>
      <w:r w:rsidRPr="00BC4E0D">
        <w:rPr>
          <w:rFonts w:ascii="Arial" w:hAnsi="Arial" w:cs="Arial"/>
          <w:sz w:val="22"/>
          <w:szCs w:val="22"/>
        </w:rPr>
        <w:t xml:space="preserve"> outlining the coverage status and PA criteria for CNS stimulants</w:t>
      </w:r>
      <w:r w:rsidR="00216BF0">
        <w:rPr>
          <w:rFonts w:ascii="Arial" w:hAnsi="Arial" w:cs="Arial"/>
          <w:sz w:val="22"/>
          <w:szCs w:val="22"/>
        </w:rPr>
        <w:t>,</w:t>
      </w:r>
      <w:r w:rsidRPr="00BC4E0D">
        <w:rPr>
          <w:rFonts w:ascii="Arial" w:hAnsi="Arial" w:cs="Arial"/>
          <w:sz w:val="22"/>
          <w:szCs w:val="22"/>
        </w:rPr>
        <w:t xml:space="preserve"> and the </w:t>
      </w:r>
      <w:r w:rsidRPr="00BC4E0D">
        <w:rPr>
          <w:rStyle w:val="Emphasis"/>
          <w:rFonts w:ascii="Arial" w:hAnsi="Arial" w:cs="Arial"/>
          <w:sz w:val="22"/>
          <w:szCs w:val="22"/>
        </w:rPr>
        <w:t>Cerebral Stimulant and ADHD Drugs PA</w:t>
      </w:r>
      <w:r w:rsidRPr="00BC4E0D">
        <w:rPr>
          <w:rFonts w:ascii="Arial" w:hAnsi="Arial" w:cs="Arial"/>
          <w:sz w:val="22"/>
          <w:szCs w:val="22"/>
        </w:rPr>
        <w:t xml:space="preserve"> form, will be updated to reflect these changes. The MassHealth Drug List can be found at </w:t>
      </w:r>
      <w:hyperlink r:id="rId12" w:history="1">
        <w:r w:rsidRPr="00BC4E0D">
          <w:rPr>
            <w:rStyle w:val="Hyperlink"/>
            <w:rFonts w:ascii="Arial" w:hAnsi="Arial" w:cs="Arial"/>
            <w:sz w:val="22"/>
            <w:szCs w:val="22"/>
          </w:rPr>
          <w:t>www.mass.gov/masshealth/pharmacy</w:t>
        </w:r>
      </w:hyperlink>
      <w:r w:rsidRPr="00BC4E0D">
        <w:rPr>
          <w:rFonts w:ascii="Arial" w:hAnsi="Arial" w:cs="Arial"/>
          <w:sz w:val="22"/>
          <w:szCs w:val="22"/>
        </w:rPr>
        <w:t>.</w:t>
      </w:r>
    </w:p>
    <w:p w14:paraId="44E9BB17" w14:textId="77777777" w:rsidR="00C030CD" w:rsidRDefault="00C030CD" w:rsidP="00C030CD">
      <w:pPr>
        <w:widowControl w:val="0"/>
        <w:spacing w:line="259" w:lineRule="auto"/>
        <w:ind w:right="-94"/>
        <w:rPr>
          <w:rFonts w:ascii="Arial" w:hAnsi="Arial" w:cs="Arial"/>
          <w:sz w:val="22"/>
          <w:szCs w:val="22"/>
        </w:rPr>
      </w:pPr>
    </w:p>
    <w:p w14:paraId="55BB4130" w14:textId="77777777" w:rsidR="00C030CD" w:rsidRPr="00216BF0" w:rsidRDefault="00C030CD" w:rsidP="00C030CD">
      <w:pPr>
        <w:widowControl w:val="0"/>
        <w:ind w:right="-94"/>
        <w:rPr>
          <w:rFonts w:ascii="Arial Black" w:hAnsi="Arial Black" w:cs="Arial"/>
          <w:b/>
          <w:bCs/>
        </w:rPr>
      </w:pPr>
      <w:r w:rsidRPr="00216BF0">
        <w:rPr>
          <w:rFonts w:ascii="Arial Black" w:hAnsi="Arial Black" w:cs="Arial"/>
          <w:b/>
          <w:bCs/>
        </w:rPr>
        <w:t>References</w:t>
      </w:r>
      <w:r w:rsidRPr="00216BF0">
        <w:rPr>
          <w:rFonts w:ascii="Arial Black" w:hAnsi="Arial Black" w:cs="Arial"/>
          <w:b/>
          <w:bCs/>
        </w:rPr>
        <w:br/>
      </w:r>
    </w:p>
    <w:p w14:paraId="0BC0B47E" w14:textId="7D897D0A" w:rsidR="00C030CD" w:rsidRPr="00BC4E0D" w:rsidRDefault="00C030CD" w:rsidP="00C030CD">
      <w:pPr>
        <w:widowControl w:val="0"/>
        <w:numPr>
          <w:ilvl w:val="0"/>
          <w:numId w:val="10"/>
        </w:numPr>
        <w:ind w:left="450" w:right="-94" w:hanging="450"/>
        <w:rPr>
          <w:rFonts w:ascii="Arial" w:hAnsi="Arial" w:cs="Arial"/>
          <w:bCs/>
          <w:sz w:val="18"/>
          <w:szCs w:val="18"/>
        </w:rPr>
      </w:pPr>
      <w:r w:rsidRPr="00BC4E0D">
        <w:rPr>
          <w:rFonts w:ascii="Arial" w:hAnsi="Arial" w:cs="Arial"/>
          <w:bCs/>
          <w:sz w:val="18"/>
          <w:szCs w:val="18"/>
        </w:rPr>
        <w:t>Overdose Death Rates. National Institute on Drug Abuse (NIDA). Available from:  https://nida.nih.gov/drug-topics/trends-statistics/overdose-death-rates</w:t>
      </w:r>
      <w:r w:rsidR="000177AD">
        <w:rPr>
          <w:rFonts w:ascii="Arial" w:hAnsi="Arial" w:cs="Arial"/>
          <w:bCs/>
          <w:sz w:val="18"/>
          <w:szCs w:val="18"/>
        </w:rPr>
        <w:t>.</w:t>
      </w:r>
    </w:p>
    <w:p w14:paraId="7AD90862" w14:textId="77777777" w:rsidR="00C030CD" w:rsidRPr="00BC4E0D" w:rsidRDefault="00C030CD" w:rsidP="00C030CD">
      <w:pPr>
        <w:widowControl w:val="0"/>
        <w:numPr>
          <w:ilvl w:val="0"/>
          <w:numId w:val="10"/>
        </w:numPr>
        <w:ind w:left="450" w:right="-94" w:hanging="450"/>
        <w:rPr>
          <w:rFonts w:ascii="Arial" w:hAnsi="Arial" w:cs="Arial"/>
          <w:bCs/>
          <w:sz w:val="18"/>
          <w:szCs w:val="18"/>
        </w:rPr>
      </w:pPr>
      <w:proofErr w:type="spellStart"/>
      <w:r w:rsidRPr="00BC4E0D">
        <w:rPr>
          <w:rFonts w:ascii="Arial" w:hAnsi="Arial" w:cs="Arial"/>
          <w:bCs/>
          <w:sz w:val="18"/>
          <w:szCs w:val="18"/>
        </w:rPr>
        <w:t>Bebinger</w:t>
      </w:r>
      <w:proofErr w:type="spellEnd"/>
      <w:r w:rsidRPr="00BC4E0D">
        <w:rPr>
          <w:rFonts w:ascii="Arial" w:hAnsi="Arial" w:cs="Arial"/>
          <w:bCs/>
          <w:sz w:val="18"/>
          <w:szCs w:val="18"/>
        </w:rPr>
        <w:t xml:space="preserve"> M. Study: Massachusetts leads in stimulant prescriptions. WBUR. 2021 May 5. Available from: https://www.wbur.org/news/2021/05/05/study-massachusetts-leads-in-stimulant-prescriptions.</w:t>
      </w:r>
    </w:p>
    <w:p w14:paraId="732383CC" w14:textId="77777777" w:rsidR="00C030CD" w:rsidRPr="00BC4E0D" w:rsidRDefault="00C030CD" w:rsidP="00C030CD">
      <w:pPr>
        <w:widowControl w:val="0"/>
        <w:numPr>
          <w:ilvl w:val="0"/>
          <w:numId w:val="10"/>
        </w:numPr>
        <w:ind w:left="450" w:right="-94" w:hanging="450"/>
        <w:rPr>
          <w:rFonts w:ascii="Arial" w:hAnsi="Arial" w:cs="Arial"/>
          <w:bCs/>
          <w:sz w:val="18"/>
          <w:szCs w:val="18"/>
        </w:rPr>
      </w:pPr>
      <w:r w:rsidRPr="00BC4E0D">
        <w:rPr>
          <w:rFonts w:ascii="Arial" w:hAnsi="Arial" w:cs="Arial"/>
          <w:bCs/>
          <w:sz w:val="18"/>
          <w:szCs w:val="18"/>
        </w:rPr>
        <w:t>American Psychiatric Association: Diagnostic and Statistical Manual of Mental Disorders, 5th edition. Arlington, VA., American Psychiatric Association, 2013.</w:t>
      </w:r>
    </w:p>
    <w:p w14:paraId="34840E0A" w14:textId="77777777" w:rsidR="00C030CD" w:rsidRPr="00BC4E0D" w:rsidRDefault="00C030CD" w:rsidP="00C030CD">
      <w:pPr>
        <w:widowControl w:val="0"/>
        <w:numPr>
          <w:ilvl w:val="0"/>
          <w:numId w:val="10"/>
        </w:numPr>
        <w:ind w:left="450" w:right="-94" w:hanging="450"/>
        <w:rPr>
          <w:rFonts w:ascii="Arial" w:hAnsi="Arial" w:cs="Arial"/>
          <w:bCs/>
          <w:sz w:val="18"/>
          <w:szCs w:val="18"/>
        </w:rPr>
      </w:pPr>
      <w:r w:rsidRPr="00BC4E0D">
        <w:rPr>
          <w:rFonts w:ascii="Arial" w:hAnsi="Arial" w:cs="Arial"/>
          <w:bCs/>
          <w:sz w:val="18"/>
          <w:szCs w:val="18"/>
        </w:rPr>
        <w:t xml:space="preserve">Post RE, </w:t>
      </w:r>
      <w:proofErr w:type="spellStart"/>
      <w:r w:rsidRPr="00BC4E0D">
        <w:rPr>
          <w:rFonts w:ascii="Arial" w:hAnsi="Arial" w:cs="Arial"/>
          <w:bCs/>
          <w:sz w:val="18"/>
          <w:szCs w:val="18"/>
        </w:rPr>
        <w:t>Kurlansik</w:t>
      </w:r>
      <w:proofErr w:type="spellEnd"/>
      <w:r w:rsidRPr="00BC4E0D">
        <w:rPr>
          <w:rFonts w:ascii="Arial" w:hAnsi="Arial" w:cs="Arial"/>
          <w:bCs/>
          <w:sz w:val="18"/>
          <w:szCs w:val="18"/>
        </w:rPr>
        <w:t xml:space="preserve"> SL. Diagnosis and Management of Attention-Deficit/Hyperactivity Disorder in Adults. Am Fam Physician. 2012 May 1;85(9):890-896.</w:t>
      </w:r>
    </w:p>
    <w:p w14:paraId="491B62E2" w14:textId="77777777" w:rsidR="00C030CD" w:rsidRPr="00BC4E0D" w:rsidRDefault="00C030CD" w:rsidP="00C030CD">
      <w:pPr>
        <w:widowControl w:val="0"/>
        <w:numPr>
          <w:ilvl w:val="0"/>
          <w:numId w:val="10"/>
        </w:numPr>
        <w:ind w:left="450" w:right="-94" w:hanging="450"/>
        <w:rPr>
          <w:rFonts w:ascii="Arial" w:hAnsi="Arial" w:cs="Arial"/>
          <w:bCs/>
          <w:sz w:val="18"/>
          <w:szCs w:val="18"/>
        </w:rPr>
      </w:pPr>
      <w:r w:rsidRPr="00BC4E0D">
        <w:rPr>
          <w:rFonts w:ascii="Arial" w:hAnsi="Arial" w:cs="Arial"/>
          <w:bCs/>
          <w:sz w:val="18"/>
          <w:szCs w:val="18"/>
        </w:rPr>
        <w:t xml:space="preserve">National Institute for Health and Clinical Excellence. Attention deficit hyperactivity disorder: Diagnosis and management [guideline on the Internet]. London (UK). September 2019. Available at: https://www.nice.org.uk/guidance/ng87/. </w:t>
      </w:r>
    </w:p>
    <w:p w14:paraId="3AAD5C5B" w14:textId="69F1DDCC" w:rsidR="00C030CD" w:rsidRPr="00BC4E0D" w:rsidRDefault="00C030CD" w:rsidP="00C030CD">
      <w:pPr>
        <w:widowControl w:val="0"/>
        <w:numPr>
          <w:ilvl w:val="0"/>
          <w:numId w:val="10"/>
        </w:numPr>
        <w:ind w:left="450" w:right="-94" w:hanging="450"/>
        <w:rPr>
          <w:rFonts w:ascii="Arial" w:hAnsi="Arial" w:cs="Arial"/>
          <w:bCs/>
          <w:sz w:val="18"/>
          <w:szCs w:val="18"/>
        </w:rPr>
      </w:pPr>
      <w:r w:rsidRPr="00BC4E0D">
        <w:rPr>
          <w:rFonts w:ascii="Arial" w:hAnsi="Arial" w:cs="Arial"/>
          <w:bCs/>
          <w:sz w:val="18"/>
          <w:szCs w:val="18"/>
        </w:rPr>
        <w:t xml:space="preserve">Board AR, Guy G, Jones CM, Hoots B. Trends in stimulant dispensing by age, sex, state of residence, and prescriber specialty–United States, 2014-2019. Drug Alcohol Depend. 2020 Dec </w:t>
      </w:r>
      <w:proofErr w:type="gramStart"/>
      <w:r w:rsidRPr="00BC4E0D">
        <w:rPr>
          <w:rFonts w:ascii="Arial" w:hAnsi="Arial" w:cs="Arial"/>
          <w:bCs/>
          <w:sz w:val="18"/>
          <w:szCs w:val="18"/>
        </w:rPr>
        <w:t>1;217:108297</w:t>
      </w:r>
      <w:proofErr w:type="gramEnd"/>
      <w:r w:rsidRPr="00BC4E0D">
        <w:rPr>
          <w:rFonts w:ascii="Arial" w:hAnsi="Arial" w:cs="Arial"/>
          <w:bCs/>
          <w:sz w:val="18"/>
          <w:szCs w:val="18"/>
        </w:rPr>
        <w:t xml:space="preserve">. </w:t>
      </w:r>
      <w:proofErr w:type="spellStart"/>
      <w:r w:rsidRPr="00BC4E0D">
        <w:rPr>
          <w:rFonts w:ascii="Arial" w:hAnsi="Arial" w:cs="Arial"/>
          <w:bCs/>
          <w:sz w:val="18"/>
          <w:szCs w:val="18"/>
        </w:rPr>
        <w:t>doi</w:t>
      </w:r>
      <w:proofErr w:type="spellEnd"/>
      <w:r w:rsidRPr="00BC4E0D">
        <w:rPr>
          <w:rFonts w:ascii="Arial" w:hAnsi="Arial" w:cs="Arial"/>
          <w:bCs/>
          <w:sz w:val="18"/>
          <w:szCs w:val="18"/>
        </w:rPr>
        <w:t>: 10.1016/j.drugalcdep.2020.108297.</w:t>
      </w:r>
    </w:p>
    <w:p w14:paraId="1E0F61C7" w14:textId="77777777" w:rsidR="009D6AAA" w:rsidRDefault="009D6AAA" w:rsidP="009D4391">
      <w:pPr>
        <w:shd w:val="clear" w:color="auto" w:fill="FFFFFF"/>
        <w:rPr>
          <w:bCs/>
          <w:sz w:val="18"/>
          <w:szCs w:val="18"/>
        </w:rPr>
      </w:pPr>
    </w:p>
    <w:sectPr w:rsidR="009D6AAA" w:rsidSect="00A262A2">
      <w:type w:val="continuous"/>
      <w:pgSz w:w="12240" w:h="15840" w:code="1"/>
      <w:pgMar w:top="360" w:right="907" w:bottom="1080" w:left="907" w:header="720" w:footer="576"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8E331B" w14:textId="77777777" w:rsidR="007326EC" w:rsidRDefault="007326EC" w:rsidP="00492602">
      <w:r>
        <w:separator/>
      </w:r>
    </w:p>
  </w:endnote>
  <w:endnote w:type="continuationSeparator" w:id="0">
    <w:p w14:paraId="4E0C2604" w14:textId="77777777" w:rsidR="007326EC" w:rsidRDefault="007326EC"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DE61D" w14:textId="77777777" w:rsidR="00AF19BA" w:rsidRDefault="00A330FD" w:rsidP="00AF19BA">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00AF19BA" w:rsidRPr="002D3600">
      <w:rPr>
        <w:rFonts w:ascii="Arial" w:hAnsi="Arial" w:cs="Arial"/>
        <w:iCs/>
        <w:sz w:val="18"/>
        <w:szCs w:val="18"/>
      </w:rPr>
      <w:t xml:space="preserve"> questions or comments</w:t>
    </w:r>
    <w:r>
      <w:rPr>
        <w:rFonts w:ascii="Arial" w:hAnsi="Arial" w:cs="Arial"/>
        <w:iCs/>
        <w:sz w:val="18"/>
        <w:szCs w:val="18"/>
      </w:rPr>
      <w:t xml:space="preserve"> (or </w:t>
    </w:r>
    <w:r w:rsidR="00AF19BA" w:rsidRPr="002D3600">
      <w:rPr>
        <w:rFonts w:ascii="Arial" w:hAnsi="Arial" w:cs="Arial"/>
        <w:iCs/>
        <w:sz w:val="18"/>
        <w:szCs w:val="18"/>
      </w:rPr>
      <w:t>to be removed from this fax distribution</w:t>
    </w:r>
    <w:r>
      <w:rPr>
        <w:rFonts w:ascii="Arial" w:hAnsi="Arial" w:cs="Arial"/>
        <w:iCs/>
        <w:sz w:val="18"/>
        <w:szCs w:val="18"/>
      </w:rPr>
      <w:t>)</w:t>
    </w:r>
    <w:r w:rsidR="00AF19BA" w:rsidRPr="002D3600">
      <w:rPr>
        <w:rFonts w:ascii="Arial" w:hAnsi="Arial" w:cs="Arial"/>
        <w:iCs/>
        <w:sz w:val="18"/>
        <w:szCs w:val="18"/>
      </w:rPr>
      <w:t xml:space="preserve"> </w:t>
    </w:r>
    <w:r w:rsidR="00183133">
      <w:rPr>
        <w:rFonts w:ascii="Arial" w:hAnsi="Arial" w:cs="Arial"/>
        <w:iCs/>
        <w:sz w:val="18"/>
        <w:szCs w:val="18"/>
      </w:rPr>
      <w:t>to</w:t>
    </w:r>
  </w:p>
  <w:p w14:paraId="7611DF64" w14:textId="4225519E" w:rsidR="00AF19BA" w:rsidRPr="00E24139" w:rsidRDefault="00BD7581" w:rsidP="00AF19BA">
    <w:pPr>
      <w:tabs>
        <w:tab w:val="left" w:pos="-90"/>
      </w:tabs>
      <w:autoSpaceDE w:val="0"/>
      <w:autoSpaceDN w:val="0"/>
      <w:adjustRightInd w:val="0"/>
      <w:jc w:val="center"/>
      <w:textAlignment w:val="baseline"/>
    </w:pPr>
    <w:hyperlink r:id="rId1" w:history="1">
      <w:r w:rsidR="00A330FD" w:rsidRPr="00386AF8">
        <w:rPr>
          <w:rStyle w:val="Hyperlink"/>
          <w:rFonts w:ascii="Arial" w:hAnsi="Arial" w:cs="Arial"/>
          <w:iCs/>
          <w:sz w:val="18"/>
          <w:szCs w:val="18"/>
        </w:rPr>
        <w:t>PharmFactsMA@Conduent.com</w:t>
      </w:r>
    </w:hyperlink>
    <w:r w:rsidR="00216BF0">
      <w:rPr>
        <w:rStyle w:val="Hyperlink"/>
        <w:rFonts w:ascii="Arial" w:hAnsi="Arial" w:cs="Arial"/>
        <w:iCs/>
        <w:sz w:val="18"/>
        <w:szCs w:val="18"/>
        <w:u w:val="none"/>
      </w:rPr>
      <w:t>.</w:t>
    </w:r>
    <w:r w:rsidR="00A330FD">
      <w:rPr>
        <w:rFonts w:ascii="Arial" w:hAnsi="Arial" w:cs="Arial"/>
        <w:iCs/>
        <w:sz w:val="18"/>
        <w:szCs w:val="18"/>
      </w:rPr>
      <w:t xml:space="preserve"> </w:t>
    </w:r>
  </w:p>
  <w:p w14:paraId="26B3FF02" w14:textId="77777777" w:rsidR="00637A67" w:rsidRDefault="006D3B5F" w:rsidP="00AF19BA">
    <w:pPr>
      <w:pStyle w:val="Foote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1C125" w14:textId="77777777" w:rsidR="00637A67" w:rsidRDefault="00637A67">
    <w:pPr>
      <w:pStyle w:val="Footer"/>
    </w:pPr>
    <w:r>
      <w:t>[Type text]</w:t>
    </w:r>
  </w:p>
  <w:p w14:paraId="1D4B9191" w14:textId="77777777" w:rsidR="00637A67" w:rsidRDefault="00637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BD33F" w14:textId="77777777" w:rsidR="007326EC" w:rsidRDefault="007326EC" w:rsidP="00492602">
      <w:r>
        <w:separator/>
      </w:r>
    </w:p>
  </w:footnote>
  <w:footnote w:type="continuationSeparator" w:id="0">
    <w:p w14:paraId="2A6C5C31" w14:textId="77777777" w:rsidR="007326EC" w:rsidRDefault="007326EC"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C34C6" w14:textId="77777777" w:rsidR="00492602" w:rsidRDefault="00492602" w:rsidP="00492602">
    <w:pPr>
      <w:pStyle w:val="Header"/>
    </w:pPr>
  </w:p>
  <w:p w14:paraId="7FC1742E" w14:textId="77777777" w:rsidR="00492602" w:rsidRDefault="00492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B561AD"/>
    <w:multiLevelType w:val="hybridMultilevel"/>
    <w:tmpl w:val="DA68553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2"/>
  </w:num>
  <w:num w:numId="5">
    <w:abstractNumId w:val="4"/>
  </w:num>
  <w:num w:numId="6">
    <w:abstractNumId w:val="6"/>
  </w:num>
  <w:num w:numId="7">
    <w:abstractNumId w:val="9"/>
  </w:num>
  <w:num w:numId="8">
    <w:abstractNumId w:val="1"/>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177AD"/>
    <w:rsid w:val="00032F24"/>
    <w:rsid w:val="0005108C"/>
    <w:rsid w:val="00054839"/>
    <w:rsid w:val="00074014"/>
    <w:rsid w:val="00081E8E"/>
    <w:rsid w:val="000D1502"/>
    <w:rsid w:val="00137D3D"/>
    <w:rsid w:val="00140D08"/>
    <w:rsid w:val="00147437"/>
    <w:rsid w:val="00157A49"/>
    <w:rsid w:val="001721D8"/>
    <w:rsid w:val="00183133"/>
    <w:rsid w:val="0018357E"/>
    <w:rsid w:val="001864A9"/>
    <w:rsid w:val="001C1481"/>
    <w:rsid w:val="001C17CD"/>
    <w:rsid w:val="001E0E7A"/>
    <w:rsid w:val="001F701D"/>
    <w:rsid w:val="00216BF0"/>
    <w:rsid w:val="002509E9"/>
    <w:rsid w:val="00276F3A"/>
    <w:rsid w:val="00286CBE"/>
    <w:rsid w:val="002C3773"/>
    <w:rsid w:val="002C54C4"/>
    <w:rsid w:val="002C7C67"/>
    <w:rsid w:val="002D390F"/>
    <w:rsid w:val="002D738C"/>
    <w:rsid w:val="003152DA"/>
    <w:rsid w:val="0033053B"/>
    <w:rsid w:val="00360067"/>
    <w:rsid w:val="0036343A"/>
    <w:rsid w:val="0037373E"/>
    <w:rsid w:val="00382054"/>
    <w:rsid w:val="003B3B03"/>
    <w:rsid w:val="003B6839"/>
    <w:rsid w:val="00410B13"/>
    <w:rsid w:val="00417EB4"/>
    <w:rsid w:val="0043707B"/>
    <w:rsid w:val="004417DC"/>
    <w:rsid w:val="00447A5F"/>
    <w:rsid w:val="004664D3"/>
    <w:rsid w:val="00492602"/>
    <w:rsid w:val="004A3BAA"/>
    <w:rsid w:val="004A7395"/>
    <w:rsid w:val="004C4924"/>
    <w:rsid w:val="004F5612"/>
    <w:rsid w:val="00516394"/>
    <w:rsid w:val="005314A6"/>
    <w:rsid w:val="005502E1"/>
    <w:rsid w:val="0056481B"/>
    <w:rsid w:val="00571898"/>
    <w:rsid w:val="00574F07"/>
    <w:rsid w:val="00581E50"/>
    <w:rsid w:val="005842A0"/>
    <w:rsid w:val="005958DD"/>
    <w:rsid w:val="005A57BA"/>
    <w:rsid w:val="00623469"/>
    <w:rsid w:val="00637A67"/>
    <w:rsid w:val="006421B9"/>
    <w:rsid w:val="00650095"/>
    <w:rsid w:val="00651CA7"/>
    <w:rsid w:val="00674418"/>
    <w:rsid w:val="00674428"/>
    <w:rsid w:val="00686C26"/>
    <w:rsid w:val="00690023"/>
    <w:rsid w:val="0069772F"/>
    <w:rsid w:val="006D3B5F"/>
    <w:rsid w:val="006E0C20"/>
    <w:rsid w:val="006E22A3"/>
    <w:rsid w:val="006F35F9"/>
    <w:rsid w:val="007319D7"/>
    <w:rsid w:val="00731FAF"/>
    <w:rsid w:val="007326EC"/>
    <w:rsid w:val="007426BF"/>
    <w:rsid w:val="00760FDF"/>
    <w:rsid w:val="007757E7"/>
    <w:rsid w:val="007A41F5"/>
    <w:rsid w:val="007B7425"/>
    <w:rsid w:val="007C290F"/>
    <w:rsid w:val="007F5417"/>
    <w:rsid w:val="00812480"/>
    <w:rsid w:val="00821937"/>
    <w:rsid w:val="008403CA"/>
    <w:rsid w:val="0085395A"/>
    <w:rsid w:val="00853F8E"/>
    <w:rsid w:val="00861844"/>
    <w:rsid w:val="00872E7F"/>
    <w:rsid w:val="00880FA9"/>
    <w:rsid w:val="008930F1"/>
    <w:rsid w:val="00893F45"/>
    <w:rsid w:val="008978FF"/>
    <w:rsid w:val="008C5414"/>
    <w:rsid w:val="008E62B4"/>
    <w:rsid w:val="008F0130"/>
    <w:rsid w:val="008F2307"/>
    <w:rsid w:val="008F2E4C"/>
    <w:rsid w:val="00906EEC"/>
    <w:rsid w:val="009166DF"/>
    <w:rsid w:val="009204C7"/>
    <w:rsid w:val="00922030"/>
    <w:rsid w:val="00941258"/>
    <w:rsid w:val="00942245"/>
    <w:rsid w:val="00956812"/>
    <w:rsid w:val="009725E5"/>
    <w:rsid w:val="00981567"/>
    <w:rsid w:val="009C3981"/>
    <w:rsid w:val="009D4391"/>
    <w:rsid w:val="009D6AAA"/>
    <w:rsid w:val="009F0440"/>
    <w:rsid w:val="00A01DE3"/>
    <w:rsid w:val="00A11371"/>
    <w:rsid w:val="00A120E1"/>
    <w:rsid w:val="00A262A2"/>
    <w:rsid w:val="00A330FD"/>
    <w:rsid w:val="00A343A9"/>
    <w:rsid w:val="00A405B4"/>
    <w:rsid w:val="00A5239C"/>
    <w:rsid w:val="00A650DC"/>
    <w:rsid w:val="00A84255"/>
    <w:rsid w:val="00A87E7D"/>
    <w:rsid w:val="00A91725"/>
    <w:rsid w:val="00AC1AC7"/>
    <w:rsid w:val="00AD18B8"/>
    <w:rsid w:val="00AD4750"/>
    <w:rsid w:val="00AD7369"/>
    <w:rsid w:val="00AE21FC"/>
    <w:rsid w:val="00AF19BA"/>
    <w:rsid w:val="00AF3D5A"/>
    <w:rsid w:val="00B01BAA"/>
    <w:rsid w:val="00B07BD7"/>
    <w:rsid w:val="00B3099B"/>
    <w:rsid w:val="00B54AB5"/>
    <w:rsid w:val="00B92C96"/>
    <w:rsid w:val="00BA68F0"/>
    <w:rsid w:val="00BD08CA"/>
    <w:rsid w:val="00BD7581"/>
    <w:rsid w:val="00C030CD"/>
    <w:rsid w:val="00C31421"/>
    <w:rsid w:val="00C33753"/>
    <w:rsid w:val="00C35B94"/>
    <w:rsid w:val="00C671DE"/>
    <w:rsid w:val="00C82FA4"/>
    <w:rsid w:val="00CA0669"/>
    <w:rsid w:val="00CB0030"/>
    <w:rsid w:val="00CB7178"/>
    <w:rsid w:val="00CC3C2D"/>
    <w:rsid w:val="00CC57AC"/>
    <w:rsid w:val="00CC776C"/>
    <w:rsid w:val="00CE1E17"/>
    <w:rsid w:val="00D2695E"/>
    <w:rsid w:val="00D4030C"/>
    <w:rsid w:val="00D63E59"/>
    <w:rsid w:val="00D81121"/>
    <w:rsid w:val="00D93833"/>
    <w:rsid w:val="00E24139"/>
    <w:rsid w:val="00E60ABB"/>
    <w:rsid w:val="00E67713"/>
    <w:rsid w:val="00E92E47"/>
    <w:rsid w:val="00E9576D"/>
    <w:rsid w:val="00EC08AC"/>
    <w:rsid w:val="00EC2856"/>
    <w:rsid w:val="00EF7C8A"/>
    <w:rsid w:val="00F03AE8"/>
    <w:rsid w:val="00F053E2"/>
    <w:rsid w:val="00F25E7F"/>
    <w:rsid w:val="00F76D69"/>
    <w:rsid w:val="00F906CF"/>
    <w:rsid w:val="00FA5147"/>
    <w:rsid w:val="00FB0C11"/>
    <w:rsid w:val="00FB39E3"/>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4E25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2">
    <w:name w:val="Body Text2"/>
    <w:basedOn w:val="Normal"/>
    <w:rsid w:val="00410B13"/>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character" w:styleId="Emphasis">
    <w:name w:val="Emphasis"/>
    <w:basedOn w:val="DefaultParagraphFont"/>
    <w:qFormat/>
    <w:rsid w:val="00861844"/>
    <w:rPr>
      <w:i/>
      <w:iCs/>
    </w:rPr>
  </w:style>
  <w:style w:type="character" w:styleId="Hyperlink">
    <w:name w:val="Hyperlink"/>
    <w:basedOn w:val="DefaultParagraphFont"/>
    <w:unhideWhenUsed/>
    <w:rsid w:val="00A330FD"/>
    <w:rPr>
      <w:color w:val="0000FF" w:themeColor="hyperlink"/>
      <w:u w:val="single"/>
    </w:rPr>
  </w:style>
  <w:style w:type="paragraph" w:styleId="ListParagraph">
    <w:name w:val="List Paragraph"/>
    <w:basedOn w:val="Normal"/>
    <w:uiPriority w:val="34"/>
    <w:qFormat/>
    <w:rsid w:val="00C030C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940722784">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masshealth/pharma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83F95-AA02-4047-8BF3-1E5A2E8CC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2022-10-20T15:21:00Z</dcterms:created>
  <dcterms:modified xsi:type="dcterms:W3CDTF">2022-10-20T15:21:00Z</dcterms:modified>
</cp:coreProperties>
</file>