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rPr>
      </w:pPr>
      <w:r>
        <w:rPr>
          <w:rFonts w:ascii="Times New Roman"/>
        </w:rPr>
        <w:pict>
          <v:group style="width:549.6pt;height:94.9pt;mso-position-horizontal-relative:char;mso-position-vertical-relative:line" coordorigin="0,0" coordsize="10992,1898">
            <v:shape style="position:absolute;left:0;top:0;width:10992;height:1878" type="#_x0000_t75" stroked="false">
              <v:imagedata r:id="rId5" o:title=""/>
            </v:shape>
            <v:line style="position:absolute" from="144,1888" to="10757,1888" stroked="true" strokeweight=".95996pt" strokecolor="#000000">
              <v:stroke dashstyle="solid"/>
            </v:line>
            <v:shapetype id="_x0000_t202" o:spt="202" coordsize="21600,21600" path="m,l,21600r21600,l21600,xe">
              <v:stroke joinstyle="miter"/>
              <v:path gradientshapeok="t" o:connecttype="rect"/>
            </v:shapetype>
            <v:shape style="position:absolute;left:864;top:972;width:1079;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19</w:t>
                    </w:r>
                  </w:p>
                  <w:p>
                    <w:pPr>
                      <w:spacing w:before="44"/>
                      <w:ind w:left="0" w:right="0" w:firstLine="0"/>
                      <w:jc w:val="left"/>
                      <w:rPr>
                        <w:rFonts w:ascii="Arial Narrow"/>
                        <w:b/>
                        <w:sz w:val="20"/>
                      </w:rPr>
                    </w:pPr>
                    <w:r>
                      <w:rPr>
                        <w:rFonts w:ascii="Arial Narrow"/>
                        <w:b/>
                        <w:sz w:val="20"/>
                      </w:rPr>
                      <w:t>April 13, 2006</w:t>
                    </w:r>
                  </w:p>
                </w:txbxContent>
              </v:textbox>
              <w10:wrap type="none"/>
            </v:shape>
          </v:group>
        </w:pict>
      </w:r>
      <w:r>
        <w:rPr>
          <w:rFonts w:ascii="Times New Roman"/>
        </w:rPr>
      </w:r>
    </w:p>
    <w:p>
      <w:pPr>
        <w:pStyle w:val="ListParagraph"/>
        <w:numPr>
          <w:ilvl w:val="0"/>
          <w:numId w:val="1"/>
        </w:numPr>
        <w:tabs>
          <w:tab w:pos="2556" w:val="left" w:leader="none"/>
        </w:tabs>
        <w:spacing w:line="231" w:lineRule="exact" w:before="0" w:after="0"/>
        <w:ind w:left="2555" w:right="0" w:hanging="149"/>
        <w:jc w:val="left"/>
        <w:rPr>
          <w:rFonts w:ascii="Arial Black" w:hAnsi="Arial Black"/>
          <w:b/>
          <w:sz w:val="18"/>
        </w:rPr>
      </w:pPr>
      <w:r>
        <w:rPr>
          <w:sz w:val="18"/>
        </w:rPr>
        <w:t>Editor: Vic Vangel </w:t>
      </w:r>
      <w:r>
        <w:rPr>
          <w:rFonts w:ascii="Arial Black" w:hAnsi="Arial Black"/>
          <w:b/>
          <w:sz w:val="18"/>
        </w:rPr>
        <w:t>• </w:t>
      </w:r>
      <w:r>
        <w:rPr>
          <w:sz w:val="18"/>
        </w:rPr>
        <w:t>Contributors: Chris Burke, Gary Gilmore, Paul Jeffrey, James Monahan </w:t>
      </w:r>
      <w:r>
        <w:rPr>
          <w:rFonts w:ascii="Arial Black" w:hAnsi="Arial Black"/>
          <w:b/>
          <w:sz w:val="18"/>
        </w:rPr>
        <w:t>•</w:t>
      </w:r>
    </w:p>
    <w:p>
      <w:pPr>
        <w:pStyle w:val="BodyText"/>
        <w:rPr>
          <w:rFonts w:ascii="Arial Black"/>
          <w:b/>
          <w:sz w:val="12"/>
        </w:rPr>
      </w:pPr>
    </w:p>
    <w:p>
      <w:pPr>
        <w:spacing w:after="0"/>
        <w:rPr>
          <w:rFonts w:ascii="Arial Black"/>
          <w:sz w:val="12"/>
        </w:rPr>
        <w:sectPr>
          <w:type w:val="continuous"/>
          <w:pgSz w:w="12240" w:h="15840"/>
          <w:pgMar w:top="360" w:bottom="0" w:left="600" w:right="240"/>
        </w:sectPr>
      </w:pPr>
    </w:p>
    <w:p>
      <w:pPr>
        <w:pStyle w:val="Heading1"/>
        <w:spacing w:before="100"/>
        <w:ind w:left="372" w:right="633"/>
        <w:rPr>
          <w:b/>
        </w:rPr>
      </w:pPr>
      <w:r>
        <w:rPr/>
        <w:pict>
          <v:group style="position:absolute;margin-left:42.700001pt;margin-top:-6.023801pt;width:531.65pt;height:610.050pt;mso-position-horizontal-relative:page;mso-position-vertical-relative:paragraph;z-index:-3328" coordorigin="854,-120" coordsize="10633,12201">
            <v:line style="position:absolute" from="864,-110" to="6169,-110" stroked="true" strokeweight=".95996pt" strokecolor="#000000">
              <v:stroke dashstyle="solid"/>
            </v:line>
            <v:line style="position:absolute" from="6169,-100" to="6179,-100" stroked="true" strokeweight=".060059pt" strokecolor="#000000">
              <v:stroke dashstyle="solid"/>
            </v:line>
            <v:line style="position:absolute" from="6169,-110" to="11477,-110" stroked="true" strokeweight=".95996pt" strokecolor="#000000">
              <v:stroke dashstyle="solid"/>
            </v:line>
            <v:line style="position:absolute" from="6174,-100" to="6174,12076" stroked="true" strokeweight=".48001pt" strokecolor="#000000">
              <v:stroke dashstyle="solid"/>
            </v:line>
            <w10:wrap type="none"/>
          </v:group>
        </w:pict>
      </w:r>
      <w:r>
        <w:rPr>
          <w:b/>
        </w:rPr>
        <w:t>MassHealth Drug List Changes in Prior Authorization Status</w:t>
      </w:r>
    </w:p>
    <w:p>
      <w:pPr>
        <w:pStyle w:val="BodyText"/>
        <w:spacing w:line="249" w:lineRule="auto" w:before="207"/>
        <w:ind w:left="372" w:right="52"/>
      </w:pPr>
      <w:r>
        <w:rPr/>
        <w:t>MassHealth has changed the prior-authorization requirements for the following medications effective April 17, 2006.</w:t>
      </w:r>
    </w:p>
    <w:p>
      <w:pPr>
        <w:pStyle w:val="BodyText"/>
        <w:spacing w:before="110"/>
        <w:ind w:left="659"/>
        <w:rPr>
          <w:b/>
        </w:rPr>
      </w:pPr>
      <w:r>
        <w:rPr/>
        <w:t>Adoxa (doxycycline) – </w:t>
      </w:r>
      <w:r>
        <w:rPr>
          <w:b/>
        </w:rPr>
        <w:t>PA</w:t>
      </w:r>
    </w:p>
    <w:p>
      <w:pPr>
        <w:spacing w:line="208" w:lineRule="auto" w:before="35"/>
        <w:ind w:left="1019" w:right="52" w:hanging="360"/>
        <w:jc w:val="left"/>
        <w:rPr>
          <w:b/>
          <w:sz w:val="20"/>
        </w:rPr>
      </w:pPr>
      <w:r>
        <w:rPr>
          <w:sz w:val="20"/>
        </w:rPr>
        <w:t>Relenza (zanamivir) – </w:t>
      </w:r>
      <w:r>
        <w:rPr>
          <w:b/>
          <w:sz w:val="20"/>
        </w:rPr>
        <w:t>PA all quantities (June 1</w:t>
      </w:r>
      <w:r>
        <w:rPr>
          <w:b/>
          <w:position w:val="10"/>
          <w:sz w:val="13"/>
        </w:rPr>
        <w:t>st </w:t>
      </w:r>
      <w:r>
        <w:rPr>
          <w:b/>
          <w:sz w:val="20"/>
        </w:rPr>
        <w:t>to September 30</w:t>
      </w:r>
      <w:r>
        <w:rPr>
          <w:b/>
          <w:position w:val="10"/>
          <w:sz w:val="13"/>
        </w:rPr>
        <w:t>th</w:t>
      </w:r>
      <w:r>
        <w:rPr>
          <w:b/>
          <w:sz w:val="20"/>
        </w:rPr>
        <w:t>); PA &gt; 20 inhalations/month and 40 inhalations/season (October 1</w:t>
      </w:r>
      <w:r>
        <w:rPr>
          <w:b/>
          <w:position w:val="10"/>
          <w:sz w:val="13"/>
        </w:rPr>
        <w:t>st </w:t>
      </w:r>
      <w:r>
        <w:rPr>
          <w:b/>
          <w:sz w:val="20"/>
        </w:rPr>
        <w:t>to May 31</w:t>
      </w:r>
      <w:r>
        <w:rPr>
          <w:b/>
          <w:position w:val="10"/>
          <w:sz w:val="13"/>
        </w:rPr>
        <w:t>st</w:t>
      </w:r>
      <w:r>
        <w:rPr>
          <w:b/>
          <w:sz w:val="20"/>
        </w:rPr>
        <w:t>)</w:t>
      </w:r>
    </w:p>
    <w:p>
      <w:pPr>
        <w:pStyle w:val="Heading2"/>
        <w:spacing w:line="218" w:lineRule="auto" w:before="24"/>
        <w:ind w:right="31" w:hanging="361"/>
      </w:pPr>
      <w:r>
        <w:rPr>
          <w:b w:val="0"/>
        </w:rPr>
        <w:t>Tamiflu (oseltamivir) – </w:t>
      </w:r>
      <w:r>
        <w:rPr/>
        <w:t>PA all quantities (June 1</w:t>
      </w:r>
      <w:r>
        <w:rPr>
          <w:position w:val="10"/>
          <w:sz w:val="13"/>
        </w:rPr>
        <w:t>st </w:t>
      </w:r>
      <w:r>
        <w:rPr/>
        <w:t>to September 30</w:t>
      </w:r>
      <w:r>
        <w:rPr>
          <w:position w:val="10"/>
          <w:sz w:val="13"/>
        </w:rPr>
        <w:t>th</w:t>
      </w:r>
      <w:r>
        <w:rPr/>
        <w:t>); PA &gt; 10 capsules or 75 ml per month and PA &gt; 20 capsules or 150 ml per season (October 1</w:t>
      </w:r>
      <w:r>
        <w:rPr>
          <w:position w:val="10"/>
          <w:sz w:val="13"/>
        </w:rPr>
        <w:t>st </w:t>
      </w:r>
      <w:r>
        <w:rPr/>
        <w:t>to May 31</w:t>
      </w:r>
      <w:r>
        <w:rPr>
          <w:position w:val="10"/>
          <w:sz w:val="13"/>
        </w:rPr>
        <w:t>st</w:t>
      </w:r>
      <w:r>
        <w:rPr/>
        <w:t>)</w:t>
      </w:r>
    </w:p>
    <w:p>
      <w:pPr>
        <w:pStyle w:val="BodyText"/>
        <w:spacing w:before="38"/>
        <w:ind w:left="660"/>
      </w:pPr>
      <w:r>
        <w:rPr/>
        <w:t>Zofran ODT (ondansetron, orally disintegrating tablet)</w:t>
      </w:r>
    </w:p>
    <w:p>
      <w:pPr>
        <w:spacing w:before="0"/>
        <w:ind w:left="1020" w:right="0" w:firstLine="0"/>
        <w:jc w:val="left"/>
        <w:rPr>
          <w:b/>
          <w:sz w:val="20"/>
        </w:rPr>
      </w:pPr>
      <w:r>
        <w:rPr>
          <w:sz w:val="20"/>
        </w:rPr>
        <w:t>– </w:t>
      </w:r>
      <w:r>
        <w:rPr>
          <w:b/>
          <w:sz w:val="20"/>
        </w:rPr>
        <w:t>PA</w:t>
      </w:r>
    </w:p>
    <w:p>
      <w:pPr>
        <w:pStyle w:val="BodyText"/>
        <w:spacing w:before="3"/>
        <w:rPr>
          <w:b/>
          <w:sz w:val="18"/>
        </w:rPr>
      </w:pPr>
    </w:p>
    <w:p>
      <w:pPr>
        <w:pStyle w:val="BodyText"/>
        <w:spacing w:line="249" w:lineRule="auto"/>
        <w:ind w:left="371" w:right="42"/>
      </w:pPr>
      <w:r>
        <w:rPr/>
        <w:t>MassHealth has changed the PA requirements of certain cerebral stimulants effective April 17, 2006.  The following long-acting medications require prior authorization for quantities greater than 60 units/month separately or in combination with the cerebral stimulants listed here.</w:t>
      </w:r>
    </w:p>
    <w:p>
      <w:pPr>
        <w:pStyle w:val="BodyText"/>
        <w:spacing w:before="110"/>
        <w:ind w:left="659"/>
      </w:pPr>
      <w:r>
        <w:rPr/>
        <w:t>Adderall XR (amphetamine salts extended-release) –</w:t>
      </w:r>
    </w:p>
    <w:p>
      <w:pPr>
        <w:pStyle w:val="Heading2"/>
      </w:pPr>
      <w:r>
        <w:rPr/>
        <w:t>PA &gt; 60 units per month</w:t>
      </w:r>
    </w:p>
    <w:p>
      <w:pPr>
        <w:spacing w:before="38"/>
        <w:ind w:left="1019" w:right="26" w:hanging="360"/>
        <w:jc w:val="left"/>
        <w:rPr>
          <w:b/>
          <w:sz w:val="20"/>
        </w:rPr>
      </w:pPr>
      <w:r>
        <w:rPr>
          <w:sz w:val="20"/>
        </w:rPr>
        <w:t>Concerta (methylphenidate extended-release) – </w:t>
      </w:r>
      <w:r>
        <w:rPr>
          <w:b/>
          <w:sz w:val="20"/>
        </w:rPr>
        <w:t>PA &gt; 60 units per month</w:t>
      </w:r>
    </w:p>
    <w:p>
      <w:pPr>
        <w:pStyle w:val="BodyText"/>
        <w:spacing w:before="38"/>
        <w:ind w:left="659"/>
      </w:pPr>
      <w:r>
        <w:rPr/>
        <w:t>Focalin XR (dexmethylphenidate extended-release ) –</w:t>
      </w:r>
    </w:p>
    <w:p>
      <w:pPr>
        <w:pStyle w:val="Heading2"/>
      </w:pPr>
      <w:r>
        <w:rPr/>
        <w:t>PA &gt; 60 units per month</w:t>
      </w:r>
    </w:p>
    <w:p>
      <w:pPr>
        <w:pStyle w:val="BodyText"/>
        <w:spacing w:before="39"/>
        <w:ind w:left="659"/>
      </w:pPr>
      <w:r>
        <w:rPr/>
        <w:t>Metadate CD (methylphenidate extended-release) –</w:t>
      </w:r>
    </w:p>
    <w:p>
      <w:pPr>
        <w:pStyle w:val="Heading2"/>
      </w:pPr>
      <w:r>
        <w:rPr/>
        <w:t>PA &gt; 60 units per month</w:t>
      </w:r>
    </w:p>
    <w:p>
      <w:pPr>
        <w:spacing w:before="38"/>
        <w:ind w:left="1019" w:right="-19" w:hanging="360"/>
        <w:jc w:val="left"/>
        <w:rPr>
          <w:b/>
          <w:sz w:val="20"/>
        </w:rPr>
      </w:pPr>
      <w:r>
        <w:rPr>
          <w:sz w:val="20"/>
        </w:rPr>
        <w:t>Ritalin LA (methylphenidate extended-release) – </w:t>
      </w:r>
      <w:r>
        <w:rPr>
          <w:b/>
          <w:sz w:val="20"/>
        </w:rPr>
        <w:t>PA &gt; 60 units per month</w:t>
      </w:r>
    </w:p>
    <w:p>
      <w:pPr>
        <w:pStyle w:val="BodyText"/>
        <w:spacing w:before="2"/>
        <w:rPr>
          <w:b/>
          <w:sz w:val="18"/>
        </w:rPr>
      </w:pPr>
    </w:p>
    <w:p>
      <w:pPr>
        <w:pStyle w:val="BodyText"/>
        <w:spacing w:line="252" w:lineRule="auto"/>
        <w:ind w:left="371" w:right="30" w:firstLine="14"/>
      </w:pPr>
      <w:r>
        <w:rPr/>
        <w:t>The following short-acting and intermediate-acting medications require prior authorization for quantities greater than 90 units/month, whether used individually or in combination with the cerebral stimulants listed here.</w:t>
      </w:r>
    </w:p>
    <w:p>
      <w:pPr>
        <w:spacing w:before="128"/>
        <w:ind w:left="757" w:right="787" w:hanging="270"/>
        <w:jc w:val="left"/>
        <w:rPr>
          <w:b/>
          <w:sz w:val="20"/>
        </w:rPr>
      </w:pPr>
      <w:r>
        <w:rPr/>
        <w:br w:type="column"/>
      </w:r>
      <w:r>
        <w:rPr>
          <w:sz w:val="20"/>
        </w:rPr>
        <w:t>Adderall # (amphetamine salts) – </w:t>
      </w:r>
      <w:r>
        <w:rPr>
          <w:b/>
          <w:sz w:val="20"/>
        </w:rPr>
        <w:t>PA &gt; 90 units per month</w:t>
      </w:r>
    </w:p>
    <w:p>
      <w:pPr>
        <w:spacing w:before="38"/>
        <w:ind w:left="757" w:right="887" w:hanging="270"/>
        <w:jc w:val="left"/>
        <w:rPr>
          <w:b/>
          <w:sz w:val="20"/>
        </w:rPr>
      </w:pPr>
      <w:r>
        <w:rPr>
          <w:sz w:val="20"/>
        </w:rPr>
        <w:t>Dexedrine # (dextroamphetamine) – </w:t>
      </w:r>
      <w:r>
        <w:rPr>
          <w:b/>
          <w:sz w:val="20"/>
        </w:rPr>
        <w:t>PA &gt; 90 units per month</w:t>
      </w:r>
    </w:p>
    <w:p>
      <w:pPr>
        <w:spacing w:before="38"/>
        <w:ind w:left="757" w:right="931" w:hanging="270"/>
        <w:jc w:val="left"/>
        <w:rPr>
          <w:b/>
          <w:sz w:val="20"/>
        </w:rPr>
      </w:pPr>
      <w:r>
        <w:rPr>
          <w:sz w:val="20"/>
        </w:rPr>
        <w:t>Focalin (dexmethylphenidate) – </w:t>
      </w:r>
      <w:r>
        <w:rPr>
          <w:b/>
          <w:sz w:val="20"/>
        </w:rPr>
        <w:t>PA &gt; 90 units per month</w:t>
      </w:r>
    </w:p>
    <w:p>
      <w:pPr>
        <w:pStyle w:val="BodyText"/>
        <w:spacing w:before="38"/>
        <w:ind w:left="487"/>
      </w:pPr>
      <w:r>
        <w:rPr/>
        <w:t>Metadate ER # (methylphenidate extended-release) –</w:t>
      </w:r>
    </w:p>
    <w:p>
      <w:pPr>
        <w:pStyle w:val="Heading2"/>
        <w:ind w:left="757"/>
      </w:pPr>
      <w:r>
        <w:rPr/>
        <w:t>PA &gt; 90 units per month</w:t>
      </w:r>
    </w:p>
    <w:p>
      <w:pPr>
        <w:spacing w:before="38"/>
        <w:ind w:left="757" w:right="1154" w:hanging="270"/>
        <w:jc w:val="left"/>
        <w:rPr>
          <w:b/>
          <w:sz w:val="20"/>
        </w:rPr>
      </w:pPr>
      <w:r>
        <w:rPr>
          <w:sz w:val="20"/>
        </w:rPr>
        <w:t>Methylin (methylphenidate) – </w:t>
      </w:r>
      <w:r>
        <w:rPr>
          <w:b/>
          <w:sz w:val="20"/>
        </w:rPr>
        <w:t>PA &gt; 90 units per month</w:t>
      </w:r>
    </w:p>
    <w:p>
      <w:pPr>
        <w:spacing w:before="38"/>
        <w:ind w:left="757" w:right="1176" w:hanging="270"/>
        <w:jc w:val="left"/>
        <w:rPr>
          <w:b/>
          <w:sz w:val="20"/>
        </w:rPr>
      </w:pPr>
      <w:r>
        <w:rPr>
          <w:sz w:val="20"/>
        </w:rPr>
        <w:t>Ritalin # (methylphenidate) – </w:t>
      </w:r>
      <w:r>
        <w:rPr>
          <w:b/>
          <w:sz w:val="20"/>
        </w:rPr>
        <w:t>PA &gt; 90 units per month</w:t>
      </w:r>
    </w:p>
    <w:p>
      <w:pPr>
        <w:pStyle w:val="BodyText"/>
        <w:spacing w:before="38"/>
        <w:ind w:left="487"/>
      </w:pPr>
      <w:r>
        <w:rPr/>
        <w:t>Ritalin SR # (methylphenidate extended-release) –</w:t>
      </w:r>
    </w:p>
    <w:p>
      <w:pPr>
        <w:pStyle w:val="Heading2"/>
        <w:ind w:left="757"/>
      </w:pPr>
      <w:r>
        <w:rPr/>
        <w:t>PA &gt; 90 units per month</w:t>
      </w:r>
    </w:p>
    <w:p>
      <w:pPr>
        <w:pStyle w:val="BodyText"/>
        <w:spacing w:before="5"/>
        <w:rPr>
          <w:b/>
          <w:sz w:val="17"/>
        </w:rPr>
      </w:pPr>
    </w:p>
    <w:p>
      <w:pPr>
        <w:spacing w:before="1"/>
        <w:ind w:left="195" w:right="0" w:firstLine="0"/>
        <w:jc w:val="left"/>
        <w:rPr>
          <w:rFonts w:ascii="Arial Black"/>
          <w:b/>
          <w:sz w:val="21"/>
        </w:rPr>
      </w:pPr>
      <w:r>
        <w:rPr>
          <w:rFonts w:ascii="Arial Black"/>
          <w:b/>
          <w:sz w:val="21"/>
        </w:rPr>
        <w:t>Written Prescription Requirements</w:t>
      </w:r>
    </w:p>
    <w:p>
      <w:pPr>
        <w:pStyle w:val="BodyText"/>
        <w:spacing w:line="249" w:lineRule="auto" w:before="207"/>
        <w:ind w:left="195" w:right="739"/>
      </w:pPr>
      <w:r>
        <w:rPr/>
        <w:t>Prescriptions for over-the-counter drugs require a </w:t>
      </w:r>
      <w:r>
        <w:rPr>
          <w:i/>
        </w:rPr>
        <w:t>valid </w:t>
      </w:r>
      <w:r>
        <w:rPr/>
        <w:t>prescription, which is not necessarily a </w:t>
      </w:r>
      <w:r>
        <w:rPr>
          <w:b/>
          <w:i/>
        </w:rPr>
        <w:t>written </w:t>
      </w:r>
      <w:r>
        <w:rPr/>
        <w:t>prescription. A valid prescription may be written, oral, facsimile, or electronic as permitted by state and federal laws. When filling a prescription for a brand-name product when a generic equivalent is available, a written prescription </w:t>
      </w:r>
      <w:r>
        <w:rPr>
          <w:b/>
        </w:rPr>
        <w:t>is </w:t>
      </w:r>
      <w:r>
        <w:rPr/>
        <w:t>required. On the face of the prescription, in the prescriber’s own handwriting, the words "brand name medically necessary" under the words "no substitution" must be written out in full and may not be abbreviated.</w:t>
      </w:r>
    </w:p>
    <w:p>
      <w:pPr>
        <w:pStyle w:val="Heading1"/>
        <w:spacing w:before="192"/>
        <w:ind w:right="623"/>
        <w:rPr>
          <w:b/>
        </w:rPr>
      </w:pPr>
      <w:r>
        <w:rPr>
          <w:b/>
        </w:rPr>
        <w:t>Medicare Part D Prescription Drug Coverage Update</w:t>
      </w:r>
    </w:p>
    <w:p>
      <w:pPr>
        <w:pStyle w:val="BodyText"/>
        <w:spacing w:line="249" w:lineRule="auto" w:before="207"/>
        <w:ind w:left="195" w:right="636"/>
      </w:pPr>
      <w:r>
        <w:rPr/>
        <w:t>A reminder that MassHealth will provide limited assistance for Part D drugs for dual eligible members when a Part D plan will not cover the medication at the time the prescription is presented.  These procedures were summarized in Pharmacy Facts #17 and #18. If a Part D plan denies a claim because the drug is not available on the plan’s formulary or due to the plan's prior authorization, submit the claim to MassHealth using Other Coverage Code 3, along with the appropriate</w:t>
      </w:r>
      <w:r>
        <w:rPr>
          <w:spacing w:val="-10"/>
        </w:rPr>
        <w:t> </w:t>
      </w:r>
      <w:r>
        <w:rPr/>
        <w:t>reject code.  These reject codes include Reject Codes 70</w:t>
      </w:r>
      <w:r>
        <w:rPr>
          <w:spacing w:val="-21"/>
        </w:rPr>
        <w:t> </w:t>
      </w:r>
      <w:r>
        <w:rPr/>
        <w:t>and</w:t>
      </w:r>
    </w:p>
    <w:p>
      <w:pPr>
        <w:pStyle w:val="BodyText"/>
        <w:spacing w:line="249" w:lineRule="auto"/>
        <w:ind w:left="195" w:right="787"/>
      </w:pPr>
      <w:r>
        <w:rPr/>
        <w:t>75. The claim will still be subject to all of MassHealth’s other billing procedures and requirements, with the exception of prior authorization.</w:t>
      </w:r>
    </w:p>
    <w:p>
      <w:pPr>
        <w:spacing w:after="0" w:line="249" w:lineRule="auto"/>
        <w:sectPr>
          <w:type w:val="continuous"/>
          <w:pgSz w:w="12240" w:h="15840"/>
          <w:pgMar w:top="360" w:bottom="0" w:left="600" w:right="240"/>
          <w:cols w:num="2" w:equalWidth="0">
            <w:col w:w="5447" w:space="40"/>
            <w:col w:w="5913"/>
          </w:cols>
        </w:sectPr>
      </w:pPr>
    </w:p>
    <w:p>
      <w:pPr>
        <w:pStyle w:val="BodyText"/>
      </w:pPr>
    </w:p>
    <w:p>
      <w:pPr>
        <w:pStyle w:val="BodyText"/>
      </w:pPr>
    </w:p>
    <w:p>
      <w:pPr>
        <w:pStyle w:val="BodyText"/>
      </w:pPr>
    </w:p>
    <w:p>
      <w:pPr>
        <w:pStyle w:val="BodyText"/>
      </w:pPr>
    </w:p>
    <w:p>
      <w:pPr>
        <w:pStyle w:val="BodyText"/>
        <w:spacing w:before="6"/>
        <w:rPr>
          <w:sz w:val="23"/>
        </w:rPr>
      </w:pPr>
    </w:p>
    <w:p>
      <w:pPr>
        <w:pStyle w:val="BodyText"/>
        <w:spacing w:line="41" w:lineRule="exact"/>
        <w:ind w:left="293"/>
        <w:rPr>
          <w:sz w:val="4"/>
        </w:rPr>
      </w:pPr>
      <w:r>
        <w:rPr>
          <w:position w:val="0"/>
          <w:sz w:val="4"/>
        </w:rPr>
        <w:pict>
          <v:group style="width:549.7pt;height:2.1pt;mso-position-horizontal-relative:char;mso-position-vertical-relative:line" coordorigin="0,0" coordsize="10994,42">
            <v:line style="position:absolute" from="7,7" to="10987,7" stroked="true" strokeweight=".66pt" strokecolor="#000000">
              <v:stroke dashstyle="solid"/>
            </v:line>
            <v:line style="position:absolute" from="7,35" to="10987,35" stroked="true" strokeweight=".66pt" strokecolor="#000000">
              <v:stroke dashstyle="solid"/>
            </v:line>
          </v:group>
        </w:pict>
      </w:r>
      <w:r>
        <w:rPr>
          <w:position w:val="0"/>
          <w:sz w:val="4"/>
        </w:rPr>
      </w:r>
    </w:p>
    <w:p>
      <w:pPr>
        <w:spacing w:line="241" w:lineRule="exact" w:before="87"/>
        <w:ind w:left="1920" w:right="1561" w:firstLine="0"/>
        <w:jc w:val="center"/>
        <w:rPr>
          <w:sz w:val="21"/>
        </w:rPr>
      </w:pPr>
      <w:r>
        <w:rPr>
          <w:sz w:val="21"/>
        </w:rPr>
        <w:t>Please direct any questions or comments (or to be taken off of this fax distribution) to</w:t>
      </w:r>
    </w:p>
    <w:p>
      <w:pPr>
        <w:spacing w:line="296" w:lineRule="exact" w:before="0"/>
        <w:ind w:left="1919" w:right="1561" w:firstLine="0"/>
        <w:jc w:val="center"/>
        <w:rPr>
          <w:sz w:val="21"/>
        </w:rPr>
      </w:pPr>
      <w:r>
        <w:rPr>
          <w:rFonts w:ascii="Arial Black"/>
          <w:b/>
          <w:sz w:val="21"/>
        </w:rPr>
        <w:t>Victor Moquin </w:t>
      </w:r>
      <w:r>
        <w:rPr>
          <w:sz w:val="21"/>
        </w:rPr>
        <w:t>of ACS at 617-423-9830.</w:t>
      </w:r>
    </w:p>
    <w:sectPr>
      <w:type w:val="continuous"/>
      <w:pgSz w:w="12240" w:h="15840"/>
      <w:pgMar w:top="360" w:bottom="0" w:left="6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55" w:hanging="150"/>
      </w:pPr>
      <w:rPr>
        <w:rFonts w:hint="default" w:ascii="Arial Black" w:hAnsi="Arial Black" w:eastAsia="Arial Black" w:cs="Arial Black"/>
        <w:b/>
        <w:bCs/>
        <w:w w:val="100"/>
        <w:sz w:val="18"/>
        <w:szCs w:val="18"/>
      </w:rPr>
    </w:lvl>
    <w:lvl w:ilvl="1">
      <w:start w:val="0"/>
      <w:numFmt w:val="bullet"/>
      <w:lvlText w:val="•"/>
      <w:lvlJc w:val="left"/>
      <w:pPr>
        <w:ind w:left="3444" w:hanging="150"/>
      </w:pPr>
      <w:rPr>
        <w:rFonts w:hint="default"/>
      </w:rPr>
    </w:lvl>
    <w:lvl w:ilvl="2">
      <w:start w:val="0"/>
      <w:numFmt w:val="bullet"/>
      <w:lvlText w:val="•"/>
      <w:lvlJc w:val="left"/>
      <w:pPr>
        <w:ind w:left="4328" w:hanging="150"/>
      </w:pPr>
      <w:rPr>
        <w:rFonts w:hint="default"/>
      </w:rPr>
    </w:lvl>
    <w:lvl w:ilvl="3">
      <w:start w:val="0"/>
      <w:numFmt w:val="bullet"/>
      <w:lvlText w:val="•"/>
      <w:lvlJc w:val="left"/>
      <w:pPr>
        <w:ind w:left="5212" w:hanging="150"/>
      </w:pPr>
      <w:rPr>
        <w:rFonts w:hint="default"/>
      </w:rPr>
    </w:lvl>
    <w:lvl w:ilvl="4">
      <w:start w:val="0"/>
      <w:numFmt w:val="bullet"/>
      <w:lvlText w:val="•"/>
      <w:lvlJc w:val="left"/>
      <w:pPr>
        <w:ind w:left="6096" w:hanging="150"/>
      </w:pPr>
      <w:rPr>
        <w:rFonts w:hint="default"/>
      </w:rPr>
    </w:lvl>
    <w:lvl w:ilvl="5">
      <w:start w:val="0"/>
      <w:numFmt w:val="bullet"/>
      <w:lvlText w:val="•"/>
      <w:lvlJc w:val="left"/>
      <w:pPr>
        <w:ind w:left="6980" w:hanging="150"/>
      </w:pPr>
      <w:rPr>
        <w:rFonts w:hint="default"/>
      </w:rPr>
    </w:lvl>
    <w:lvl w:ilvl="6">
      <w:start w:val="0"/>
      <w:numFmt w:val="bullet"/>
      <w:lvlText w:val="•"/>
      <w:lvlJc w:val="left"/>
      <w:pPr>
        <w:ind w:left="7864" w:hanging="150"/>
      </w:pPr>
      <w:rPr>
        <w:rFonts w:hint="default"/>
      </w:rPr>
    </w:lvl>
    <w:lvl w:ilvl="7">
      <w:start w:val="0"/>
      <w:numFmt w:val="bullet"/>
      <w:lvlText w:val="•"/>
      <w:lvlJc w:val="left"/>
      <w:pPr>
        <w:ind w:left="8748" w:hanging="150"/>
      </w:pPr>
      <w:rPr>
        <w:rFonts w:hint="default"/>
      </w:rPr>
    </w:lvl>
    <w:lvl w:ilvl="8">
      <w:start w:val="0"/>
      <w:numFmt w:val="bullet"/>
      <w:lvlText w:val="•"/>
      <w:lvlJc w:val="left"/>
      <w:pPr>
        <w:ind w:left="9632"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
      <w:ind w:left="195"/>
      <w:outlineLvl w:val="1"/>
    </w:pPr>
    <w:rPr>
      <w:rFonts w:ascii="Arial Black" w:hAnsi="Arial Black" w:eastAsia="Arial Black" w:cs="Arial Black"/>
      <w:b/>
      <w:bCs/>
      <w:sz w:val="21"/>
      <w:szCs w:val="21"/>
    </w:rPr>
  </w:style>
  <w:style w:styleId="Heading2" w:type="paragraph">
    <w:name w:val="Heading 2"/>
    <w:basedOn w:val="Normal"/>
    <w:uiPriority w:val="1"/>
    <w:qFormat/>
    <w:pPr>
      <w:spacing w:before="1"/>
      <w:ind w:left="1019"/>
      <w:outlineLvl w:val="2"/>
    </w:pPr>
    <w:rPr>
      <w:rFonts w:ascii="Arial" w:hAnsi="Arial" w:eastAsia="Arial" w:cs="Arial"/>
      <w:b/>
      <w:bCs/>
      <w:sz w:val="20"/>
      <w:szCs w:val="20"/>
    </w:rPr>
  </w:style>
  <w:style w:styleId="ListParagraph" w:type="paragraph">
    <w:name w:val="List Paragraph"/>
    <w:basedOn w:val="Normal"/>
    <w:uiPriority w:val="1"/>
    <w:qFormat/>
    <w:pPr>
      <w:spacing w:line="231" w:lineRule="exact"/>
      <w:ind w:left="2555" w:hanging="149"/>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lcolella</dc:creator>
  <dc:title>Microsoft Word - Pharmacy Facts 19_FINAL.doc</dc:title>
  <dcterms:created xsi:type="dcterms:W3CDTF">2017-11-16T09:24:31Z</dcterms:created>
  <dcterms:modified xsi:type="dcterms:W3CDTF">2017-11-16T09:24:31Z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2006-04-13T00:00:00Z</vt:filetime>
  </property>
  <property fmtid="{D5CDD505-2E9C-101B-9397-08002B2CF9AE}" pid="3" name="Creator">
    <vt:lpwstr>PScript5.dll Version 5.2.2</vt:lpwstr>
  </property>
  <property fmtid="{D5CDD505-2E9C-101B-9397-08002B2CF9AE}" pid="4" name="LastSaved">
    <vt:filetime>2017-11-16T00:00:00Z</vt:filetime>
  </property>
</Properties>
</file>