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8BE7" w14:textId="3FF2A61C" w:rsidR="007E4380" w:rsidRPr="00CC6B1A" w:rsidRDefault="007E4380" w:rsidP="007E4380">
      <w:pPr>
        <w:pStyle w:val="Noparagraphstyle"/>
        <w:rPr>
          <w:rFonts w:ascii="Arial Narrow" w:hAnsi="Arial Narrow"/>
          <w:b/>
          <w:color w:val="auto"/>
          <w:sz w:val="20"/>
          <w:szCs w:val="20"/>
        </w:rPr>
      </w:pPr>
      <w:r w:rsidRPr="00CC6B1A">
        <w:rPr>
          <w:rFonts w:ascii="Arial Narrow" w:hAnsi="Arial Narrow"/>
          <w:b/>
          <w:color w:val="auto"/>
          <w:sz w:val="20"/>
          <w:szCs w:val="20"/>
        </w:rPr>
        <w:t xml:space="preserve">Number </w:t>
      </w:r>
      <w:r w:rsidR="00CC6B1A" w:rsidRPr="00CC6B1A">
        <w:rPr>
          <w:rFonts w:ascii="Arial Narrow" w:hAnsi="Arial Narrow"/>
          <w:b/>
          <w:color w:val="auto"/>
          <w:sz w:val="20"/>
          <w:szCs w:val="20"/>
        </w:rPr>
        <w:t>196</w:t>
      </w:r>
      <w:r w:rsidRPr="00CC6B1A">
        <w:rPr>
          <w:rFonts w:ascii="Arial Narrow" w:hAnsi="Arial Narrow"/>
          <w:b/>
          <w:color w:val="auto"/>
          <w:sz w:val="20"/>
          <w:szCs w:val="20"/>
        </w:rPr>
        <w:t xml:space="preserve">, </w:t>
      </w:r>
      <w:r w:rsidR="00CC6B1A" w:rsidRPr="00CC6B1A">
        <w:rPr>
          <w:rFonts w:ascii="Arial Narrow" w:hAnsi="Arial Narrow"/>
          <w:b/>
          <w:color w:val="auto"/>
          <w:sz w:val="20"/>
          <w:szCs w:val="20"/>
        </w:rPr>
        <w:t>March 24, 2023</w:t>
      </w:r>
    </w:p>
    <w:p w14:paraId="2024A76B" w14:textId="77777777" w:rsidR="006F35F9" w:rsidRDefault="00F44518" w:rsidP="00E44D32">
      <w:pPr>
        <w:tabs>
          <w:tab w:val="left" w:pos="10530"/>
        </w:tabs>
        <w:spacing w:after="240"/>
        <w:ind w:left="-144" w:right="720"/>
        <w:rPr>
          <w:rFonts w:ascii="Arial" w:hAnsi="Arial" w:cs="Arial"/>
          <w:color w:val="000000"/>
          <w:sz w:val="21"/>
          <w:szCs w:val="21"/>
        </w:rPr>
      </w:pPr>
      <w:r>
        <w:rPr>
          <w:rFonts w:ascii="Arial" w:hAnsi="Arial" w:cs="Arial"/>
          <w:noProof/>
          <w:color w:val="000000"/>
          <w:sz w:val="21"/>
          <w:szCs w:val="21"/>
        </w:rPr>
        <w:drawing>
          <wp:inline distT="0" distB="0" distL="0" distR="0" wp14:anchorId="2A8643BA" wp14:editId="5A7DD454">
            <wp:extent cx="6828817" cy="16675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9506" cy="1672630"/>
                    </a:xfrm>
                    <a:prstGeom prst="rect">
                      <a:avLst/>
                    </a:prstGeom>
                  </pic:spPr>
                </pic:pic>
              </a:graphicData>
            </a:graphic>
          </wp:inline>
        </w:drawing>
      </w:r>
    </w:p>
    <w:p w14:paraId="090C92B7" w14:textId="1063F3D0" w:rsidR="00CC6B1A" w:rsidRPr="00270795" w:rsidRDefault="00CC6B1A" w:rsidP="00A57BE5">
      <w:pPr>
        <w:pStyle w:val="BodyText"/>
        <w:spacing w:after="0"/>
        <w:ind w:left="115" w:right="117"/>
        <w:rPr>
          <w:rFonts w:ascii="Arial" w:hAnsi="Arial" w:cs="Arial"/>
        </w:rPr>
      </w:pPr>
      <w:r w:rsidRPr="00270795">
        <w:rPr>
          <w:rFonts w:ascii="Arial" w:hAnsi="Arial" w:cs="Arial"/>
        </w:rPr>
        <w:t xml:space="preserve">This Pharmacy Facts </w:t>
      </w:r>
      <w:r w:rsidR="00B029BF">
        <w:rPr>
          <w:rFonts w:ascii="Arial" w:hAnsi="Arial" w:cs="Arial"/>
        </w:rPr>
        <w:t>includes</w:t>
      </w:r>
      <w:r w:rsidRPr="00270795">
        <w:rPr>
          <w:rFonts w:ascii="Arial" w:hAnsi="Arial" w:cs="Arial"/>
        </w:rPr>
        <w:t xml:space="preserve"> important information from MassHealth for all providers about continuity of care </w:t>
      </w:r>
      <w:r w:rsidR="00B029BF">
        <w:rPr>
          <w:rFonts w:ascii="Arial" w:hAnsi="Arial" w:cs="Arial"/>
        </w:rPr>
        <w:t>(</w:t>
      </w:r>
      <w:proofErr w:type="spellStart"/>
      <w:r w:rsidR="00B029BF">
        <w:rPr>
          <w:rFonts w:ascii="Arial" w:hAnsi="Arial" w:cs="Arial"/>
        </w:rPr>
        <w:t>CoC</w:t>
      </w:r>
      <w:proofErr w:type="spellEnd"/>
      <w:r w:rsidR="00B029BF">
        <w:rPr>
          <w:rFonts w:ascii="Arial" w:hAnsi="Arial" w:cs="Arial"/>
        </w:rPr>
        <w:t xml:space="preserve">) </w:t>
      </w:r>
      <w:r w:rsidRPr="00270795">
        <w:rPr>
          <w:rFonts w:ascii="Arial" w:hAnsi="Arial" w:cs="Arial"/>
        </w:rPr>
        <w:t xml:space="preserve">during the MassHealth transition to new managed care arrangements. Pharmacy providers, including specialty pharmacies, should carefully review this document. </w:t>
      </w:r>
    </w:p>
    <w:p w14:paraId="76097D51" w14:textId="77777777" w:rsidR="00A57BE5" w:rsidRPr="00270795" w:rsidRDefault="00A57BE5" w:rsidP="00A57BE5">
      <w:pPr>
        <w:pStyle w:val="BodyText"/>
        <w:spacing w:after="0"/>
        <w:ind w:left="115" w:right="117"/>
        <w:rPr>
          <w:rFonts w:ascii="Arial" w:hAnsi="Arial" w:cs="Arial"/>
        </w:rPr>
      </w:pPr>
    </w:p>
    <w:p w14:paraId="42653DE3" w14:textId="32E94930" w:rsidR="00CC6B1A" w:rsidRPr="00270795" w:rsidRDefault="00CC6B1A" w:rsidP="00A57BE5">
      <w:pPr>
        <w:ind w:left="115"/>
        <w:rPr>
          <w:rFonts w:ascii="Arial" w:hAnsi="Arial" w:cs="Arial"/>
        </w:rPr>
      </w:pPr>
      <w:r w:rsidRPr="00270795">
        <w:rPr>
          <w:rFonts w:ascii="Arial" w:hAnsi="Arial" w:cs="Arial"/>
        </w:rPr>
        <w:t xml:space="preserve">Effective April 1, 2023, new MassHealth health plans will be available to MassHealth members as a result of the </w:t>
      </w:r>
      <w:proofErr w:type="spellStart"/>
      <w:r w:rsidRPr="00270795">
        <w:rPr>
          <w:rFonts w:ascii="Arial" w:hAnsi="Arial" w:cs="Arial"/>
        </w:rPr>
        <w:t>reprocurement</w:t>
      </w:r>
      <w:proofErr w:type="spellEnd"/>
      <w:r w:rsidRPr="00270795">
        <w:rPr>
          <w:rFonts w:ascii="Arial" w:hAnsi="Arial" w:cs="Arial"/>
        </w:rPr>
        <w:t xml:space="preserve"> of the MassHealth Accountable Care Organization (ACO) program. ACOs </w:t>
      </w:r>
      <w:r w:rsidR="00B029BF">
        <w:rPr>
          <w:rFonts w:ascii="Arial" w:hAnsi="Arial" w:cs="Arial"/>
        </w:rPr>
        <w:t>comprise</w:t>
      </w:r>
      <w:r w:rsidRPr="00270795">
        <w:rPr>
          <w:rFonts w:ascii="Arial" w:hAnsi="Arial" w:cs="Arial"/>
        </w:rPr>
        <w:t xml:space="preserve"> integrated networks of physicians, hospitals, and other community-based health care providers. These organizations are accountable for the quality, cost, and member experience of care for 1.3 million MassHealth members; and responsible for providing high-value, cross-continuum care across a range of measures.</w:t>
      </w:r>
    </w:p>
    <w:p w14:paraId="41040B46" w14:textId="77777777" w:rsidR="00CC6B1A" w:rsidRPr="00270795" w:rsidRDefault="00CC6B1A" w:rsidP="00A57BE5">
      <w:pPr>
        <w:ind w:left="115"/>
        <w:rPr>
          <w:rFonts w:ascii="Arial" w:hAnsi="Arial" w:cs="Arial"/>
        </w:rPr>
      </w:pPr>
    </w:p>
    <w:p w14:paraId="53316627" w14:textId="29B4C275" w:rsidR="00CC6B1A" w:rsidRDefault="00CC6B1A" w:rsidP="00A57BE5">
      <w:pPr>
        <w:pStyle w:val="ListParagraph"/>
        <w:ind w:left="115"/>
        <w:rPr>
          <w:rFonts w:ascii="Arial" w:hAnsi="Arial" w:cs="Arial"/>
        </w:rPr>
      </w:pPr>
      <w:r w:rsidRPr="00270795">
        <w:rPr>
          <w:rFonts w:ascii="Arial" w:hAnsi="Arial" w:cs="Arial"/>
        </w:rPr>
        <w:t>Fifteen of the newly reprocured ACOs are accountable partnership plans (ACPPs)</w:t>
      </w:r>
      <w:r w:rsidR="00B029BF">
        <w:rPr>
          <w:rFonts w:ascii="Arial" w:hAnsi="Arial" w:cs="Arial"/>
        </w:rPr>
        <w:t>,</w:t>
      </w:r>
      <w:r w:rsidRPr="00270795">
        <w:rPr>
          <w:rFonts w:ascii="Arial" w:hAnsi="Arial" w:cs="Arial"/>
        </w:rPr>
        <w:t xml:space="preserve"> and two are primary care accountable care organizations (PCACOs). MassHealth members will continue to have access to the two existing managed care organizations (MCOs), as well as the Primary Care Clinician (PCC) Plan. </w:t>
      </w:r>
    </w:p>
    <w:p w14:paraId="5D8C041A" w14:textId="77777777" w:rsidR="00270795" w:rsidRPr="00270795" w:rsidRDefault="00270795" w:rsidP="00A57BE5">
      <w:pPr>
        <w:pStyle w:val="ListParagraph"/>
        <w:ind w:left="115"/>
        <w:rPr>
          <w:rFonts w:ascii="Arial" w:hAnsi="Arial" w:cs="Arial"/>
        </w:rPr>
      </w:pPr>
    </w:p>
    <w:p w14:paraId="2928CB53" w14:textId="77777777" w:rsidR="00CC6B1A" w:rsidRPr="00270795" w:rsidRDefault="00CC6B1A" w:rsidP="00A57BE5">
      <w:pPr>
        <w:pStyle w:val="ListParagraph"/>
        <w:ind w:left="115"/>
        <w:rPr>
          <w:rFonts w:ascii="Arial" w:hAnsi="Arial" w:cs="Arial"/>
        </w:rPr>
      </w:pPr>
      <w:r w:rsidRPr="00270795">
        <w:rPr>
          <w:rFonts w:ascii="Arial" w:hAnsi="Arial" w:cs="Arial"/>
        </w:rPr>
        <w:t xml:space="preserve">The sections below provide responses to key questions about the new MassHealth health plans that will be available to members on April 1, 2023. </w:t>
      </w:r>
    </w:p>
    <w:p w14:paraId="1D0CEADF" w14:textId="77777777" w:rsidR="00CC6B1A" w:rsidRDefault="00CC6B1A" w:rsidP="00CC6B1A">
      <w:pPr>
        <w:pStyle w:val="CommentText"/>
      </w:pPr>
    </w:p>
    <w:p w14:paraId="139B3DF0" w14:textId="734A4B76" w:rsidR="00CC6B1A" w:rsidRDefault="00CC6B1A" w:rsidP="00F720C0">
      <w:pPr>
        <w:rPr>
          <w:rFonts w:ascii="Arial Black" w:hAnsi="Arial Black" w:cs="Arial"/>
          <w:b/>
        </w:rPr>
      </w:pPr>
      <w:r w:rsidRPr="00F720C0">
        <w:rPr>
          <w:rFonts w:ascii="Arial Black" w:hAnsi="Arial Black" w:cs="Arial"/>
          <w:b/>
        </w:rPr>
        <w:t>Authorizations and Emergency Overrides</w:t>
      </w:r>
    </w:p>
    <w:p w14:paraId="043DF09F" w14:textId="77777777" w:rsidR="00F720C0" w:rsidRPr="00F720C0" w:rsidRDefault="00F720C0" w:rsidP="00F720C0">
      <w:pPr>
        <w:rPr>
          <w:rFonts w:ascii="Arial Black" w:hAnsi="Arial Black" w:cs="Arial"/>
          <w:b/>
        </w:rPr>
      </w:pPr>
    </w:p>
    <w:p w14:paraId="45A3DA42" w14:textId="5F1564EF" w:rsidR="00CC6B1A" w:rsidRPr="00270795" w:rsidRDefault="00CC6B1A" w:rsidP="00A57BE5">
      <w:pPr>
        <w:pStyle w:val="ListParagraph"/>
        <w:numPr>
          <w:ilvl w:val="0"/>
          <w:numId w:val="27"/>
        </w:numPr>
        <w:contextualSpacing/>
        <w:rPr>
          <w:rFonts w:ascii="Arial" w:eastAsia="Calibri" w:hAnsi="Arial" w:cs="Arial"/>
          <w:b/>
        </w:rPr>
      </w:pPr>
      <w:r w:rsidRPr="00270795">
        <w:rPr>
          <w:rFonts w:ascii="Arial" w:eastAsia="Calibri" w:hAnsi="Arial" w:cs="Arial"/>
          <w:b/>
        </w:rPr>
        <w:t>If a member has an existing prior authorization (PA) and switched plans on April 1, will the new plan honor the existing PA?</w:t>
      </w:r>
    </w:p>
    <w:p w14:paraId="39F8E70D" w14:textId="17303889" w:rsidR="00CC6B1A" w:rsidRPr="00270795" w:rsidRDefault="00CC6B1A" w:rsidP="00CC6B1A">
      <w:pPr>
        <w:ind w:left="360"/>
        <w:rPr>
          <w:rFonts w:ascii="Arial" w:eastAsia="Calibri" w:hAnsi="Arial" w:cs="Arial"/>
        </w:rPr>
      </w:pPr>
      <w:r w:rsidRPr="00270795">
        <w:rPr>
          <w:rFonts w:ascii="Arial" w:eastAsia="Calibri" w:hAnsi="Arial" w:cs="Arial"/>
        </w:rPr>
        <w:t xml:space="preserve">Yes, the existing PA will be honored by the new plan for at least the 90-day </w:t>
      </w:r>
      <w:proofErr w:type="spellStart"/>
      <w:r w:rsidRPr="00270795">
        <w:rPr>
          <w:rFonts w:ascii="Arial" w:eastAsia="Calibri" w:hAnsi="Arial" w:cs="Arial"/>
        </w:rPr>
        <w:t>CoC</w:t>
      </w:r>
      <w:proofErr w:type="spellEnd"/>
      <w:r w:rsidRPr="00270795">
        <w:rPr>
          <w:rFonts w:ascii="Arial" w:eastAsia="Calibri" w:hAnsi="Arial" w:cs="Arial"/>
        </w:rPr>
        <w:t xml:space="preserve"> period, which starts on April 1, 2023, or until the end date of the PA, whichever is first. </w:t>
      </w:r>
    </w:p>
    <w:p w14:paraId="1CC4A5BB" w14:textId="77777777" w:rsidR="00CC6B1A" w:rsidRPr="00270795" w:rsidRDefault="00CC6B1A" w:rsidP="00CC6B1A">
      <w:pPr>
        <w:ind w:left="360"/>
        <w:rPr>
          <w:rFonts w:ascii="Arial" w:eastAsia="Calibri" w:hAnsi="Arial" w:cs="Arial"/>
          <w:highlight w:val="yellow"/>
        </w:rPr>
      </w:pPr>
    </w:p>
    <w:p w14:paraId="3F16BFC4" w14:textId="321DD03E" w:rsidR="00CC6B1A" w:rsidRPr="00270795" w:rsidRDefault="00CC6B1A" w:rsidP="00A57BE5">
      <w:pPr>
        <w:pStyle w:val="ListParagraph"/>
        <w:widowControl w:val="0"/>
        <w:numPr>
          <w:ilvl w:val="0"/>
          <w:numId w:val="27"/>
        </w:numPr>
        <w:tabs>
          <w:tab w:val="left" w:pos="840"/>
        </w:tabs>
        <w:ind w:right="331"/>
        <w:contextualSpacing/>
        <w:rPr>
          <w:rFonts w:ascii="Arial" w:eastAsia="Arial" w:hAnsi="Arial" w:cs="Arial"/>
        </w:rPr>
      </w:pPr>
      <w:r w:rsidRPr="00270795">
        <w:rPr>
          <w:rFonts w:ascii="Arial" w:eastAsia="Arial" w:hAnsi="Arial" w:cs="Arial"/>
          <w:b/>
          <w:bCs/>
        </w:rPr>
        <w:t>If</w:t>
      </w:r>
      <w:r w:rsidRPr="00270795">
        <w:rPr>
          <w:rFonts w:ascii="Arial" w:eastAsia="Arial" w:hAnsi="Arial" w:cs="Arial"/>
          <w:b/>
          <w:bCs/>
          <w:spacing w:val="3"/>
        </w:rPr>
        <w:t xml:space="preserve"> </w:t>
      </w:r>
      <w:r w:rsidRPr="00270795">
        <w:rPr>
          <w:rFonts w:ascii="Arial" w:eastAsia="Arial" w:hAnsi="Arial" w:cs="Arial"/>
          <w:b/>
          <w:bCs/>
        </w:rPr>
        <w:t>a</w:t>
      </w:r>
      <w:r w:rsidRPr="00270795">
        <w:rPr>
          <w:rFonts w:ascii="Arial" w:eastAsia="Arial" w:hAnsi="Arial" w:cs="Arial"/>
          <w:b/>
          <w:bCs/>
          <w:spacing w:val="3"/>
        </w:rPr>
        <w:t xml:space="preserve"> prescription </w:t>
      </w:r>
      <w:r w:rsidRPr="00270795">
        <w:rPr>
          <w:rFonts w:ascii="Arial" w:eastAsia="Arial" w:hAnsi="Arial" w:cs="Arial"/>
          <w:b/>
          <w:bCs/>
          <w:spacing w:val="-1"/>
        </w:rPr>
        <w:t>lacks the required PA, what should the pharmacy do?</w:t>
      </w:r>
    </w:p>
    <w:p w14:paraId="66C78AF5" w14:textId="2FF59CB0" w:rsidR="00CC6B1A" w:rsidRPr="00270795" w:rsidRDefault="00CC6B1A" w:rsidP="00CC6B1A">
      <w:pPr>
        <w:widowControl w:val="0"/>
        <w:ind w:left="360" w:right="331"/>
        <w:rPr>
          <w:rFonts w:ascii="Arial" w:eastAsia="Arial" w:hAnsi="Arial" w:cs="Arial"/>
        </w:rPr>
      </w:pPr>
      <w:r w:rsidRPr="00270795">
        <w:rPr>
          <w:rFonts w:ascii="Arial" w:eastAsia="Arial" w:hAnsi="Arial" w:cs="Arial"/>
          <w:spacing w:val="3"/>
        </w:rPr>
        <w:t xml:space="preserve">The </w:t>
      </w:r>
      <w:r w:rsidRPr="00270795">
        <w:rPr>
          <w:rFonts w:ascii="Arial" w:eastAsia="Arial" w:hAnsi="Arial" w:cs="Arial"/>
        </w:rPr>
        <w:t>pharmacist</w:t>
      </w:r>
      <w:r w:rsidRPr="00270795">
        <w:rPr>
          <w:rFonts w:ascii="Arial" w:eastAsia="Arial" w:hAnsi="Arial" w:cs="Arial"/>
          <w:spacing w:val="3"/>
        </w:rPr>
        <w:t xml:space="preserve"> </w:t>
      </w:r>
      <w:r w:rsidRPr="00270795">
        <w:rPr>
          <w:rFonts w:ascii="Arial" w:eastAsia="Arial" w:hAnsi="Arial" w:cs="Arial"/>
        </w:rPr>
        <w:t>must</w:t>
      </w:r>
      <w:r w:rsidRPr="00270795">
        <w:rPr>
          <w:rFonts w:ascii="Arial" w:eastAsia="Arial" w:hAnsi="Arial" w:cs="Arial"/>
          <w:spacing w:val="3"/>
        </w:rPr>
        <w:t xml:space="preserve"> </w:t>
      </w:r>
      <w:r w:rsidRPr="00270795">
        <w:rPr>
          <w:rFonts w:ascii="Arial" w:eastAsia="Arial" w:hAnsi="Arial" w:cs="Arial"/>
        </w:rPr>
        <w:t>notify</w:t>
      </w:r>
      <w:r w:rsidRPr="00270795">
        <w:rPr>
          <w:rFonts w:ascii="Arial" w:eastAsia="Arial" w:hAnsi="Arial" w:cs="Arial"/>
          <w:spacing w:val="4"/>
        </w:rPr>
        <w:t xml:space="preserve"> </w:t>
      </w:r>
      <w:r w:rsidR="00B029BF">
        <w:rPr>
          <w:rFonts w:ascii="Arial" w:eastAsia="Arial" w:hAnsi="Arial" w:cs="Arial"/>
          <w:spacing w:val="4"/>
        </w:rPr>
        <w:t xml:space="preserve">both </w:t>
      </w:r>
      <w:r w:rsidRPr="00270795">
        <w:rPr>
          <w:rFonts w:ascii="Arial" w:eastAsia="Arial" w:hAnsi="Arial" w:cs="Arial"/>
        </w:rPr>
        <w:t>the</w:t>
      </w:r>
      <w:r w:rsidRPr="00270795">
        <w:rPr>
          <w:rFonts w:ascii="Arial" w:eastAsia="Arial" w:hAnsi="Arial" w:cs="Arial"/>
          <w:spacing w:val="3"/>
        </w:rPr>
        <w:t xml:space="preserve"> </w:t>
      </w:r>
      <w:r w:rsidRPr="00270795">
        <w:rPr>
          <w:rFonts w:ascii="Arial" w:eastAsia="Arial" w:hAnsi="Arial" w:cs="Arial"/>
        </w:rPr>
        <w:t>member</w:t>
      </w:r>
      <w:r w:rsidRPr="00270795">
        <w:rPr>
          <w:rFonts w:ascii="Arial" w:eastAsia="Arial" w:hAnsi="Arial" w:cs="Arial"/>
          <w:spacing w:val="3"/>
        </w:rPr>
        <w:t xml:space="preserve"> and the prescriber </w:t>
      </w:r>
      <w:r w:rsidRPr="00270795">
        <w:rPr>
          <w:rFonts w:ascii="Arial" w:eastAsia="Arial" w:hAnsi="Arial" w:cs="Arial"/>
        </w:rPr>
        <w:t>of</w:t>
      </w:r>
      <w:r w:rsidRPr="00270795">
        <w:rPr>
          <w:rFonts w:ascii="Arial" w:eastAsia="Arial" w:hAnsi="Arial" w:cs="Arial"/>
          <w:spacing w:val="3"/>
        </w:rPr>
        <w:t xml:space="preserve"> </w:t>
      </w:r>
      <w:r w:rsidRPr="00270795">
        <w:rPr>
          <w:rFonts w:ascii="Arial" w:eastAsia="Arial" w:hAnsi="Arial" w:cs="Arial"/>
        </w:rPr>
        <w:t>the</w:t>
      </w:r>
      <w:r w:rsidRPr="00270795">
        <w:rPr>
          <w:rFonts w:ascii="Arial" w:eastAsia="Arial" w:hAnsi="Arial" w:cs="Arial"/>
          <w:spacing w:val="4"/>
        </w:rPr>
        <w:t xml:space="preserve"> </w:t>
      </w:r>
      <w:r w:rsidRPr="00270795">
        <w:rPr>
          <w:rFonts w:ascii="Arial" w:eastAsia="Arial" w:hAnsi="Arial" w:cs="Arial"/>
        </w:rPr>
        <w:t>PA requirement.</w:t>
      </w:r>
      <w:r w:rsidRPr="00270795">
        <w:rPr>
          <w:rFonts w:ascii="Arial" w:eastAsia="Arial" w:hAnsi="Arial" w:cs="Arial"/>
          <w:spacing w:val="8"/>
        </w:rPr>
        <w:t xml:space="preserve"> Additionally, the pharmacist should ensure that the prescriber is aware of the member’s </w:t>
      </w:r>
      <w:r w:rsidR="00F351AE">
        <w:rPr>
          <w:rFonts w:ascii="Arial" w:eastAsia="Arial" w:hAnsi="Arial" w:cs="Arial"/>
          <w:spacing w:val="8"/>
        </w:rPr>
        <w:t>new</w:t>
      </w:r>
      <w:r w:rsidR="000971F3">
        <w:rPr>
          <w:rFonts w:ascii="Arial" w:eastAsia="Arial" w:hAnsi="Arial" w:cs="Arial"/>
          <w:spacing w:val="8"/>
        </w:rPr>
        <w:t xml:space="preserve"> </w:t>
      </w:r>
      <w:r w:rsidRPr="00270795">
        <w:rPr>
          <w:rFonts w:ascii="Arial" w:eastAsia="Arial" w:hAnsi="Arial" w:cs="Arial"/>
          <w:spacing w:val="8"/>
        </w:rPr>
        <w:t xml:space="preserve">plan </w:t>
      </w:r>
      <w:r w:rsidR="00B029BF">
        <w:rPr>
          <w:rFonts w:ascii="Arial" w:eastAsia="Arial" w:hAnsi="Arial" w:cs="Arial"/>
          <w:spacing w:val="8"/>
        </w:rPr>
        <w:t>so</w:t>
      </w:r>
      <w:r w:rsidRPr="00270795">
        <w:rPr>
          <w:rFonts w:ascii="Arial" w:eastAsia="Arial" w:hAnsi="Arial" w:cs="Arial"/>
          <w:spacing w:val="8"/>
        </w:rPr>
        <w:t xml:space="preserve"> that the PA is submitted appropriately</w:t>
      </w:r>
      <w:r w:rsidRPr="00270795">
        <w:rPr>
          <w:rFonts w:ascii="Arial" w:eastAsia="Arial" w:hAnsi="Arial" w:cs="Arial"/>
        </w:rPr>
        <w:t>.</w:t>
      </w:r>
      <w:r w:rsidRPr="00270795">
        <w:rPr>
          <w:rFonts w:ascii="Arial" w:eastAsia="Arial" w:hAnsi="Arial" w:cs="Arial"/>
          <w:spacing w:val="5"/>
        </w:rPr>
        <w:t xml:space="preserve"> </w:t>
      </w:r>
      <w:r w:rsidRPr="00270795">
        <w:rPr>
          <w:rFonts w:ascii="Arial" w:eastAsia="Arial" w:hAnsi="Arial" w:cs="Arial"/>
        </w:rPr>
        <w:t>Please</w:t>
      </w:r>
      <w:r w:rsidRPr="00270795">
        <w:rPr>
          <w:rFonts w:ascii="Arial" w:eastAsia="Arial" w:hAnsi="Arial" w:cs="Arial"/>
          <w:spacing w:val="5"/>
        </w:rPr>
        <w:t xml:space="preserve"> </w:t>
      </w:r>
      <w:r w:rsidRPr="00270795">
        <w:rPr>
          <w:rFonts w:ascii="Arial" w:eastAsia="Arial" w:hAnsi="Arial" w:cs="Arial"/>
        </w:rPr>
        <w:t>note:</w:t>
      </w:r>
      <w:r w:rsidRPr="00270795">
        <w:rPr>
          <w:rFonts w:ascii="Arial" w:eastAsia="Arial" w:hAnsi="Arial" w:cs="Arial"/>
          <w:spacing w:val="5"/>
        </w:rPr>
        <w:t xml:space="preserve"> </w:t>
      </w:r>
      <w:r w:rsidRPr="00270795">
        <w:rPr>
          <w:rFonts w:ascii="Arial" w:eastAsia="Arial" w:hAnsi="Arial" w:cs="Arial"/>
        </w:rPr>
        <w:t>the</w:t>
      </w:r>
      <w:r w:rsidRPr="00270795">
        <w:rPr>
          <w:rFonts w:ascii="Arial" w:eastAsia="Arial" w:hAnsi="Arial" w:cs="Arial"/>
          <w:spacing w:val="5"/>
        </w:rPr>
        <w:t xml:space="preserve"> </w:t>
      </w:r>
      <w:r w:rsidRPr="00270795">
        <w:rPr>
          <w:rFonts w:ascii="Arial" w:eastAsia="Arial" w:hAnsi="Arial" w:cs="Arial"/>
        </w:rPr>
        <w:t>pharmacist should</w:t>
      </w:r>
      <w:r w:rsidRPr="00270795">
        <w:rPr>
          <w:rFonts w:ascii="Arial" w:eastAsia="Arial" w:hAnsi="Arial" w:cs="Arial"/>
          <w:spacing w:val="5"/>
        </w:rPr>
        <w:t xml:space="preserve"> </w:t>
      </w:r>
      <w:r w:rsidRPr="00270795">
        <w:rPr>
          <w:rFonts w:ascii="Arial" w:eastAsia="Arial" w:hAnsi="Arial" w:cs="Arial"/>
        </w:rPr>
        <w:t>bill</w:t>
      </w:r>
      <w:r w:rsidRPr="00270795">
        <w:rPr>
          <w:rFonts w:ascii="Arial" w:eastAsia="Arial" w:hAnsi="Arial" w:cs="Arial"/>
          <w:spacing w:val="5"/>
        </w:rPr>
        <w:t xml:space="preserve"> </w:t>
      </w:r>
      <w:r w:rsidRPr="00270795">
        <w:rPr>
          <w:rFonts w:ascii="Arial" w:eastAsia="Arial" w:hAnsi="Arial" w:cs="Arial"/>
        </w:rPr>
        <w:t>an</w:t>
      </w:r>
      <w:r w:rsidRPr="00270795">
        <w:rPr>
          <w:rFonts w:ascii="Arial" w:eastAsia="Arial" w:hAnsi="Arial" w:cs="Arial"/>
          <w:spacing w:val="5"/>
        </w:rPr>
        <w:t xml:space="preserve"> </w:t>
      </w:r>
      <w:r w:rsidRPr="00270795">
        <w:rPr>
          <w:rFonts w:ascii="Arial" w:eastAsia="Arial" w:hAnsi="Arial" w:cs="Arial"/>
          <w:spacing w:val="-1"/>
        </w:rPr>
        <w:t>emergency</w:t>
      </w:r>
      <w:r w:rsidRPr="00270795">
        <w:rPr>
          <w:rFonts w:ascii="Arial" w:eastAsia="Arial" w:hAnsi="Arial" w:cs="Arial"/>
          <w:spacing w:val="30"/>
          <w:w w:val="101"/>
        </w:rPr>
        <w:t xml:space="preserve"> </w:t>
      </w:r>
      <w:r w:rsidRPr="00270795">
        <w:rPr>
          <w:rFonts w:ascii="Arial" w:eastAsia="Arial" w:hAnsi="Arial" w:cs="Arial"/>
        </w:rPr>
        <w:t>override</w:t>
      </w:r>
      <w:r w:rsidRPr="00270795">
        <w:rPr>
          <w:rFonts w:ascii="Arial" w:eastAsia="Arial" w:hAnsi="Arial" w:cs="Arial"/>
          <w:spacing w:val="5"/>
        </w:rPr>
        <w:t xml:space="preserve"> </w:t>
      </w:r>
      <w:r w:rsidRPr="00270795">
        <w:rPr>
          <w:rFonts w:ascii="Arial" w:eastAsia="Arial" w:hAnsi="Arial" w:cs="Arial"/>
        </w:rPr>
        <w:t>for</w:t>
      </w:r>
      <w:r w:rsidRPr="00270795">
        <w:rPr>
          <w:rFonts w:ascii="Arial" w:eastAsia="Arial" w:hAnsi="Arial" w:cs="Arial"/>
          <w:spacing w:val="6"/>
        </w:rPr>
        <w:t xml:space="preserve"> </w:t>
      </w:r>
      <w:r w:rsidRPr="00270795">
        <w:rPr>
          <w:rFonts w:ascii="Arial" w:eastAsia="Arial" w:hAnsi="Arial" w:cs="Arial"/>
        </w:rPr>
        <w:t>the</w:t>
      </w:r>
      <w:r w:rsidRPr="00270795">
        <w:rPr>
          <w:rFonts w:ascii="Arial" w:eastAsia="Arial" w:hAnsi="Arial" w:cs="Arial"/>
          <w:spacing w:val="5"/>
        </w:rPr>
        <w:t xml:space="preserve"> </w:t>
      </w:r>
      <w:r w:rsidRPr="00270795">
        <w:rPr>
          <w:rFonts w:ascii="Arial" w:eastAsia="Arial" w:hAnsi="Arial" w:cs="Arial"/>
        </w:rPr>
        <w:t>medication to the new plan, if appropriate,</w:t>
      </w:r>
      <w:r w:rsidRPr="00270795">
        <w:rPr>
          <w:rFonts w:ascii="Arial" w:eastAsia="Arial" w:hAnsi="Arial" w:cs="Arial"/>
          <w:spacing w:val="5"/>
        </w:rPr>
        <w:t xml:space="preserve"> </w:t>
      </w:r>
      <w:r w:rsidRPr="00270795">
        <w:rPr>
          <w:rFonts w:ascii="Arial" w:eastAsia="Arial" w:hAnsi="Arial" w:cs="Arial"/>
        </w:rPr>
        <w:t>while</w:t>
      </w:r>
      <w:r w:rsidRPr="00270795">
        <w:rPr>
          <w:rFonts w:ascii="Arial" w:eastAsia="Arial" w:hAnsi="Arial" w:cs="Arial"/>
          <w:spacing w:val="6"/>
        </w:rPr>
        <w:t xml:space="preserve"> </w:t>
      </w:r>
      <w:r w:rsidRPr="00270795">
        <w:rPr>
          <w:rFonts w:ascii="Arial" w:eastAsia="Arial" w:hAnsi="Arial" w:cs="Arial"/>
        </w:rPr>
        <w:t>the</w:t>
      </w:r>
      <w:r w:rsidRPr="00270795">
        <w:rPr>
          <w:rFonts w:ascii="Arial" w:eastAsia="Arial" w:hAnsi="Arial" w:cs="Arial"/>
          <w:spacing w:val="5"/>
        </w:rPr>
        <w:t xml:space="preserve"> </w:t>
      </w:r>
      <w:r w:rsidRPr="00270795">
        <w:rPr>
          <w:rFonts w:ascii="Arial" w:eastAsia="Arial" w:hAnsi="Arial" w:cs="Arial"/>
          <w:spacing w:val="-1"/>
        </w:rPr>
        <w:t>prescriber</w:t>
      </w:r>
      <w:r w:rsidRPr="00270795">
        <w:rPr>
          <w:rFonts w:ascii="Arial" w:eastAsia="Arial" w:hAnsi="Arial" w:cs="Arial"/>
          <w:spacing w:val="6"/>
        </w:rPr>
        <w:t xml:space="preserve"> </w:t>
      </w:r>
      <w:r w:rsidRPr="00270795">
        <w:rPr>
          <w:rFonts w:ascii="Arial" w:eastAsia="Arial" w:hAnsi="Arial" w:cs="Arial"/>
        </w:rPr>
        <w:t>works</w:t>
      </w:r>
      <w:r w:rsidRPr="00270795">
        <w:rPr>
          <w:rFonts w:ascii="Arial" w:eastAsia="Arial" w:hAnsi="Arial" w:cs="Arial"/>
          <w:spacing w:val="5"/>
        </w:rPr>
        <w:t xml:space="preserve"> </w:t>
      </w:r>
      <w:r w:rsidRPr="00270795">
        <w:rPr>
          <w:rFonts w:ascii="Arial" w:eastAsia="Arial" w:hAnsi="Arial" w:cs="Arial"/>
        </w:rPr>
        <w:t>on</w:t>
      </w:r>
      <w:r w:rsidR="00B029BF">
        <w:rPr>
          <w:rFonts w:ascii="Arial" w:eastAsia="Arial" w:hAnsi="Arial" w:cs="Arial"/>
        </w:rPr>
        <w:t xml:space="preserve"> getting</w:t>
      </w:r>
      <w:r w:rsidRPr="00270795">
        <w:rPr>
          <w:rFonts w:ascii="Arial" w:eastAsia="Arial" w:hAnsi="Arial" w:cs="Arial"/>
          <w:spacing w:val="6"/>
        </w:rPr>
        <w:t xml:space="preserve"> </w:t>
      </w:r>
      <w:r w:rsidRPr="00270795">
        <w:rPr>
          <w:rFonts w:ascii="Arial" w:eastAsia="Arial" w:hAnsi="Arial" w:cs="Arial"/>
        </w:rPr>
        <w:t xml:space="preserve">the PA. </w:t>
      </w:r>
    </w:p>
    <w:p w14:paraId="102AC128" w14:textId="77777777" w:rsidR="00CC6B1A" w:rsidRPr="00270795" w:rsidRDefault="00CC6B1A" w:rsidP="00CC6B1A">
      <w:pPr>
        <w:widowControl w:val="0"/>
        <w:ind w:left="360" w:right="331"/>
        <w:rPr>
          <w:rFonts w:ascii="Arial" w:eastAsia="Arial" w:hAnsi="Arial" w:cs="Arial"/>
        </w:rPr>
      </w:pPr>
    </w:p>
    <w:p w14:paraId="5340E170" w14:textId="77777777" w:rsidR="00CC6B1A" w:rsidRPr="00270795" w:rsidRDefault="00CC6B1A" w:rsidP="000971F3">
      <w:pPr>
        <w:pStyle w:val="ListParagraph"/>
        <w:numPr>
          <w:ilvl w:val="0"/>
          <w:numId w:val="27"/>
        </w:numPr>
        <w:jc w:val="both"/>
        <w:rPr>
          <w:rFonts w:ascii="Arial" w:eastAsia="Arial" w:hAnsi="Arial" w:cs="Arial"/>
        </w:rPr>
      </w:pPr>
      <w:r w:rsidRPr="00270795">
        <w:rPr>
          <w:rFonts w:ascii="Arial" w:eastAsia="Arial" w:hAnsi="Arial" w:cs="Arial"/>
          <w:b/>
          <w:bCs/>
        </w:rPr>
        <w:t>How long can a pharmacy provide an emergency supply using the “emergency override” mechanism?</w:t>
      </w:r>
    </w:p>
    <w:p w14:paraId="7B157195" w14:textId="6273B97C" w:rsidR="00CC6B1A" w:rsidRPr="00270795" w:rsidRDefault="00CC6B1A" w:rsidP="000971F3">
      <w:pPr>
        <w:pStyle w:val="ListParagraph"/>
        <w:ind w:left="360"/>
        <w:rPr>
          <w:rFonts w:ascii="Arial" w:eastAsia="Arial" w:hAnsi="Arial" w:cs="Arial"/>
          <w:spacing w:val="-3"/>
        </w:rPr>
      </w:pPr>
      <w:r w:rsidRPr="00270795">
        <w:rPr>
          <w:rFonts w:ascii="Arial" w:eastAsia="Arial" w:hAnsi="Arial" w:cs="Arial"/>
        </w:rPr>
        <w:t xml:space="preserve">MassHealth </w:t>
      </w:r>
      <w:r w:rsidR="00533072">
        <w:rPr>
          <w:rFonts w:ascii="Arial" w:eastAsia="Arial" w:hAnsi="Arial" w:cs="Arial"/>
        </w:rPr>
        <w:t xml:space="preserve">(for </w:t>
      </w:r>
      <w:r w:rsidRPr="00270795">
        <w:rPr>
          <w:rFonts w:ascii="Arial" w:eastAsia="Arial" w:hAnsi="Arial" w:cs="Arial"/>
        </w:rPr>
        <w:t>the PCC Plan</w:t>
      </w:r>
      <w:r w:rsidR="00533072">
        <w:rPr>
          <w:rFonts w:ascii="Arial" w:eastAsia="Arial" w:hAnsi="Arial" w:cs="Arial"/>
        </w:rPr>
        <w:t xml:space="preserve"> and Primary Care ACOs)</w:t>
      </w:r>
      <w:r w:rsidRPr="00270795">
        <w:rPr>
          <w:rFonts w:ascii="Arial" w:eastAsia="Arial" w:hAnsi="Arial" w:cs="Arial"/>
        </w:rPr>
        <w:t>, ACPPs,</w:t>
      </w:r>
      <w:r w:rsidR="000971F3">
        <w:rPr>
          <w:rFonts w:ascii="Arial" w:eastAsia="Arial" w:hAnsi="Arial" w:cs="Arial"/>
        </w:rPr>
        <w:t xml:space="preserve"> </w:t>
      </w:r>
      <w:r w:rsidRPr="00270795">
        <w:rPr>
          <w:rFonts w:ascii="Arial" w:eastAsia="Arial" w:hAnsi="Arial" w:cs="Arial"/>
        </w:rPr>
        <w:t>and</w:t>
      </w:r>
      <w:r w:rsidRPr="00270795">
        <w:rPr>
          <w:rFonts w:ascii="Arial" w:eastAsia="Arial" w:hAnsi="Arial" w:cs="Arial"/>
          <w:spacing w:val="57"/>
        </w:rPr>
        <w:t xml:space="preserve"> </w:t>
      </w:r>
      <w:r w:rsidRPr="00270795">
        <w:rPr>
          <w:rFonts w:ascii="Arial" w:eastAsia="Arial" w:hAnsi="Arial" w:cs="Arial"/>
        </w:rPr>
        <w:t>MCOs</w:t>
      </w:r>
      <w:r w:rsidRPr="00270795">
        <w:rPr>
          <w:rFonts w:ascii="Arial" w:eastAsia="Arial" w:hAnsi="Arial" w:cs="Arial"/>
          <w:spacing w:val="56"/>
        </w:rPr>
        <w:t xml:space="preserve"> </w:t>
      </w:r>
      <w:r w:rsidRPr="00270795">
        <w:rPr>
          <w:rFonts w:ascii="Arial" w:eastAsia="Arial" w:hAnsi="Arial" w:cs="Arial"/>
          <w:spacing w:val="-3"/>
        </w:rPr>
        <w:t>are</w:t>
      </w:r>
      <w:r w:rsidRPr="00270795">
        <w:rPr>
          <w:rFonts w:ascii="Arial" w:eastAsia="Arial" w:hAnsi="Arial" w:cs="Arial"/>
          <w:spacing w:val="57"/>
        </w:rPr>
        <w:t xml:space="preserve"> </w:t>
      </w:r>
      <w:r w:rsidRPr="00270795">
        <w:rPr>
          <w:rFonts w:ascii="Arial" w:eastAsia="Arial" w:hAnsi="Arial" w:cs="Arial"/>
        </w:rPr>
        <w:t>working</w:t>
      </w:r>
      <w:r w:rsidRPr="00270795">
        <w:rPr>
          <w:rFonts w:ascii="Arial" w:eastAsia="Arial" w:hAnsi="Arial" w:cs="Arial"/>
          <w:spacing w:val="57"/>
        </w:rPr>
        <w:t xml:space="preserve"> </w:t>
      </w:r>
      <w:r w:rsidRPr="00270795">
        <w:rPr>
          <w:rFonts w:ascii="Arial" w:eastAsia="Arial" w:hAnsi="Arial" w:cs="Arial"/>
        </w:rPr>
        <w:t>to</w:t>
      </w:r>
      <w:r w:rsidRPr="00270795">
        <w:rPr>
          <w:rFonts w:ascii="Arial" w:eastAsia="Arial" w:hAnsi="Arial" w:cs="Arial"/>
          <w:spacing w:val="56"/>
        </w:rPr>
        <w:t xml:space="preserve"> </w:t>
      </w:r>
      <w:r w:rsidRPr="00270795">
        <w:rPr>
          <w:rFonts w:ascii="Arial" w:eastAsia="Arial" w:hAnsi="Arial" w:cs="Arial"/>
        </w:rPr>
        <w:t>add</w:t>
      </w:r>
      <w:r w:rsidRPr="00270795">
        <w:rPr>
          <w:rFonts w:ascii="Arial" w:eastAsia="Arial" w:hAnsi="Arial" w:cs="Arial"/>
          <w:spacing w:val="57"/>
        </w:rPr>
        <w:t xml:space="preserve"> </w:t>
      </w:r>
      <w:r w:rsidRPr="00270795">
        <w:rPr>
          <w:rFonts w:ascii="Arial" w:eastAsia="Arial" w:hAnsi="Arial" w:cs="Arial"/>
          <w:spacing w:val="-1"/>
        </w:rPr>
        <w:t>approved</w:t>
      </w:r>
      <w:r w:rsidRPr="00270795">
        <w:rPr>
          <w:rFonts w:ascii="Arial" w:eastAsia="Arial" w:hAnsi="Arial" w:cs="Arial"/>
          <w:spacing w:val="57"/>
        </w:rPr>
        <w:t xml:space="preserve"> </w:t>
      </w:r>
      <w:r w:rsidRPr="00270795">
        <w:rPr>
          <w:rFonts w:ascii="Arial" w:eastAsia="Arial" w:hAnsi="Arial" w:cs="Arial"/>
        </w:rPr>
        <w:t>PAs</w:t>
      </w:r>
      <w:r w:rsidRPr="00270795">
        <w:rPr>
          <w:rFonts w:ascii="Arial" w:eastAsia="Arial" w:hAnsi="Arial" w:cs="Arial"/>
          <w:spacing w:val="19"/>
        </w:rPr>
        <w:t xml:space="preserve"> </w:t>
      </w:r>
      <w:r w:rsidRPr="00270795">
        <w:rPr>
          <w:rFonts w:ascii="Arial" w:eastAsia="Arial" w:hAnsi="Arial" w:cs="Arial"/>
        </w:rPr>
        <w:t>into</w:t>
      </w:r>
      <w:r w:rsidRPr="00270795">
        <w:rPr>
          <w:rFonts w:ascii="Arial" w:eastAsia="Arial" w:hAnsi="Arial" w:cs="Arial"/>
          <w:spacing w:val="20"/>
        </w:rPr>
        <w:t xml:space="preserve"> </w:t>
      </w:r>
      <w:r w:rsidRPr="00270795">
        <w:rPr>
          <w:rFonts w:ascii="Arial" w:eastAsia="Arial" w:hAnsi="Arial" w:cs="Arial"/>
        </w:rPr>
        <w:t>their</w:t>
      </w:r>
      <w:r w:rsidRPr="00270795">
        <w:rPr>
          <w:rFonts w:ascii="Arial" w:eastAsia="Arial" w:hAnsi="Arial" w:cs="Arial"/>
          <w:spacing w:val="20"/>
        </w:rPr>
        <w:t xml:space="preserve"> </w:t>
      </w:r>
      <w:r w:rsidRPr="00270795">
        <w:rPr>
          <w:rFonts w:ascii="Arial" w:eastAsia="Arial" w:hAnsi="Arial" w:cs="Arial"/>
        </w:rPr>
        <w:t>pharmacy</w:t>
      </w:r>
      <w:r w:rsidRPr="00270795">
        <w:rPr>
          <w:rFonts w:ascii="Arial" w:eastAsia="Arial" w:hAnsi="Arial" w:cs="Arial"/>
          <w:spacing w:val="20"/>
        </w:rPr>
        <w:t xml:space="preserve"> </w:t>
      </w:r>
      <w:r w:rsidRPr="00270795">
        <w:rPr>
          <w:rFonts w:ascii="Arial" w:eastAsia="Arial" w:hAnsi="Arial" w:cs="Arial"/>
        </w:rPr>
        <w:t>claims</w:t>
      </w:r>
      <w:r w:rsidRPr="00270795">
        <w:rPr>
          <w:rFonts w:ascii="Arial" w:eastAsia="Arial" w:hAnsi="Arial" w:cs="Arial"/>
          <w:spacing w:val="20"/>
        </w:rPr>
        <w:t xml:space="preserve"> </w:t>
      </w:r>
      <w:r w:rsidRPr="00270795">
        <w:rPr>
          <w:rFonts w:ascii="Arial" w:eastAsia="Arial" w:hAnsi="Arial" w:cs="Arial"/>
        </w:rPr>
        <w:t>systems</w:t>
      </w:r>
      <w:r w:rsidRPr="00270795">
        <w:rPr>
          <w:rFonts w:ascii="Arial" w:eastAsia="Arial" w:hAnsi="Arial" w:cs="Arial"/>
          <w:spacing w:val="20"/>
        </w:rPr>
        <w:t xml:space="preserve"> </w:t>
      </w:r>
      <w:r w:rsidRPr="00270795">
        <w:rPr>
          <w:rFonts w:ascii="Arial" w:eastAsia="Arial" w:hAnsi="Arial" w:cs="Arial"/>
        </w:rPr>
        <w:t>for</w:t>
      </w:r>
      <w:r w:rsidRPr="00270795">
        <w:rPr>
          <w:rFonts w:ascii="Arial" w:eastAsia="Arial" w:hAnsi="Arial" w:cs="Arial"/>
          <w:spacing w:val="20"/>
        </w:rPr>
        <w:t xml:space="preserve"> </w:t>
      </w:r>
      <w:r w:rsidRPr="00270795">
        <w:rPr>
          <w:rFonts w:ascii="Arial" w:eastAsia="Arial" w:hAnsi="Arial" w:cs="Arial"/>
        </w:rPr>
        <w:t>members</w:t>
      </w:r>
      <w:r w:rsidRPr="00270795">
        <w:rPr>
          <w:rFonts w:ascii="Arial" w:eastAsia="Arial" w:hAnsi="Arial" w:cs="Arial"/>
          <w:spacing w:val="20"/>
        </w:rPr>
        <w:t xml:space="preserve"> </w:t>
      </w:r>
      <w:r w:rsidRPr="00270795">
        <w:rPr>
          <w:rFonts w:ascii="Arial" w:eastAsia="Arial" w:hAnsi="Arial" w:cs="Arial"/>
        </w:rPr>
        <w:t>who</w:t>
      </w:r>
      <w:r w:rsidRPr="00270795">
        <w:rPr>
          <w:rFonts w:ascii="Arial" w:eastAsia="Arial" w:hAnsi="Arial" w:cs="Arial"/>
          <w:spacing w:val="19"/>
        </w:rPr>
        <w:t xml:space="preserve"> </w:t>
      </w:r>
      <w:r w:rsidRPr="00270795">
        <w:rPr>
          <w:rFonts w:ascii="Arial" w:eastAsia="Arial" w:hAnsi="Arial" w:cs="Arial"/>
          <w:spacing w:val="-3"/>
        </w:rPr>
        <w:t>are</w:t>
      </w:r>
      <w:r w:rsidRPr="00270795">
        <w:rPr>
          <w:rFonts w:ascii="Arial" w:eastAsia="Arial" w:hAnsi="Arial" w:cs="Arial"/>
          <w:spacing w:val="20"/>
        </w:rPr>
        <w:t xml:space="preserve"> </w:t>
      </w:r>
      <w:r w:rsidRPr="00270795">
        <w:rPr>
          <w:rFonts w:ascii="Arial" w:eastAsia="Arial" w:hAnsi="Arial" w:cs="Arial"/>
        </w:rPr>
        <w:t>transitioning</w:t>
      </w:r>
      <w:r w:rsidRPr="00270795">
        <w:rPr>
          <w:rFonts w:ascii="Arial" w:eastAsia="Arial" w:hAnsi="Arial" w:cs="Arial"/>
          <w:spacing w:val="20"/>
        </w:rPr>
        <w:t xml:space="preserve"> </w:t>
      </w:r>
      <w:r w:rsidRPr="00270795">
        <w:rPr>
          <w:rFonts w:ascii="Arial" w:eastAsia="Arial" w:hAnsi="Arial" w:cs="Arial"/>
        </w:rPr>
        <w:t>between</w:t>
      </w:r>
      <w:r w:rsidRPr="00270795">
        <w:rPr>
          <w:rFonts w:ascii="Arial" w:eastAsia="Arial" w:hAnsi="Arial" w:cs="Arial"/>
          <w:spacing w:val="20"/>
        </w:rPr>
        <w:t xml:space="preserve"> </w:t>
      </w:r>
      <w:r w:rsidRPr="00270795">
        <w:rPr>
          <w:rFonts w:ascii="Arial" w:eastAsia="Arial" w:hAnsi="Arial" w:cs="Arial"/>
        </w:rPr>
        <w:t xml:space="preserve">plans; </w:t>
      </w:r>
      <w:r w:rsidRPr="00270795">
        <w:rPr>
          <w:rFonts w:ascii="Arial" w:eastAsia="Arial" w:hAnsi="Arial" w:cs="Arial"/>
          <w:spacing w:val="-3"/>
        </w:rPr>
        <w:t xml:space="preserve">however, there may be a delay in PA transfers for members transitioning to </w:t>
      </w:r>
      <w:r w:rsidR="00F351AE">
        <w:rPr>
          <w:rFonts w:ascii="Arial" w:eastAsia="Arial" w:hAnsi="Arial" w:cs="Arial"/>
          <w:spacing w:val="-3"/>
        </w:rPr>
        <w:t>a new plan</w:t>
      </w:r>
      <w:r w:rsidRPr="00270795">
        <w:rPr>
          <w:rFonts w:ascii="Arial" w:eastAsia="Arial" w:hAnsi="Arial" w:cs="Arial"/>
          <w:spacing w:val="-3"/>
        </w:rPr>
        <w:t>.</w:t>
      </w:r>
    </w:p>
    <w:p w14:paraId="00B3508D" w14:textId="77777777" w:rsidR="00CC6B1A" w:rsidRPr="00270795" w:rsidRDefault="00CC6B1A" w:rsidP="000971F3">
      <w:pPr>
        <w:pStyle w:val="ListParagraph"/>
        <w:ind w:left="450"/>
        <w:rPr>
          <w:rFonts w:ascii="Arial" w:eastAsia="Arial" w:hAnsi="Arial" w:cs="Arial"/>
          <w:spacing w:val="-3"/>
        </w:rPr>
      </w:pPr>
    </w:p>
    <w:p w14:paraId="3614E259" w14:textId="7C88D943" w:rsidR="00C23E74" w:rsidRPr="00270795" w:rsidRDefault="00CC6B1A" w:rsidP="00056D4F">
      <w:pPr>
        <w:pStyle w:val="ListParagraph"/>
        <w:ind w:left="360"/>
        <w:rPr>
          <w:rStyle w:val="eop"/>
          <w:rFonts w:ascii="Arial" w:eastAsiaTheme="majorEastAsia" w:hAnsi="Arial" w:cs="Arial"/>
          <w:color w:val="000000"/>
          <w:shd w:val="clear" w:color="auto" w:fill="FFFFFF"/>
        </w:rPr>
      </w:pPr>
      <w:r w:rsidRPr="00270795">
        <w:rPr>
          <w:rStyle w:val="eop"/>
          <w:rFonts w:ascii="Arial" w:eastAsiaTheme="majorEastAsia" w:hAnsi="Arial" w:cs="Arial"/>
          <w:color w:val="000000"/>
          <w:shd w:val="clear" w:color="auto" w:fill="FFFFFF"/>
        </w:rPr>
        <w:t xml:space="preserve">All MassHealth </w:t>
      </w:r>
      <w:r w:rsidR="000971F3">
        <w:rPr>
          <w:rStyle w:val="eop"/>
          <w:rFonts w:ascii="Arial" w:eastAsiaTheme="majorEastAsia" w:hAnsi="Arial" w:cs="Arial"/>
          <w:color w:val="000000"/>
          <w:shd w:val="clear" w:color="auto" w:fill="FFFFFF"/>
        </w:rPr>
        <w:t>p</w:t>
      </w:r>
      <w:r w:rsidRPr="00270795">
        <w:rPr>
          <w:rStyle w:val="eop"/>
          <w:rFonts w:ascii="Arial" w:eastAsiaTheme="majorEastAsia" w:hAnsi="Arial" w:cs="Arial"/>
          <w:color w:val="000000"/>
          <w:shd w:val="clear" w:color="auto" w:fill="FFFFFF"/>
        </w:rPr>
        <w:t xml:space="preserve">lans will coordinate with their pharmacy networks and pharmacy benefit managers (PBMs), as applicable, to ensure </w:t>
      </w:r>
      <w:r w:rsidR="000971F3">
        <w:rPr>
          <w:rStyle w:val="eop"/>
          <w:rFonts w:ascii="Arial" w:eastAsiaTheme="majorEastAsia" w:hAnsi="Arial" w:cs="Arial"/>
          <w:color w:val="000000"/>
          <w:shd w:val="clear" w:color="auto" w:fill="FFFFFF"/>
        </w:rPr>
        <w:t xml:space="preserve">that </w:t>
      </w:r>
      <w:r w:rsidRPr="00270795">
        <w:rPr>
          <w:rStyle w:val="eop"/>
          <w:rFonts w:ascii="Arial" w:eastAsiaTheme="majorEastAsia" w:hAnsi="Arial" w:cs="Arial"/>
          <w:color w:val="000000"/>
          <w:shd w:val="clear" w:color="auto" w:fill="FFFFFF"/>
        </w:rPr>
        <w:t xml:space="preserve">pharmacies are able to dispense (and be </w:t>
      </w:r>
      <w:r w:rsidRPr="00270795">
        <w:rPr>
          <w:rStyle w:val="eop"/>
          <w:rFonts w:ascii="Arial" w:eastAsiaTheme="majorEastAsia" w:hAnsi="Arial" w:cs="Arial"/>
          <w:color w:val="000000"/>
          <w:shd w:val="clear" w:color="auto" w:fill="FFFFFF"/>
        </w:rPr>
        <w:lastRenderedPageBreak/>
        <w:t xml:space="preserve">reimbursed for) a seven-to-30-day supply of medications, as appropriate, using an emergency override, if a member’s current pharmacy-related PA information is not yet available. This policy must be in place until </w:t>
      </w:r>
      <w:r w:rsidR="00C23E74" w:rsidRPr="00270795">
        <w:rPr>
          <w:rStyle w:val="eop"/>
          <w:rFonts w:ascii="Arial" w:eastAsiaTheme="majorEastAsia" w:hAnsi="Arial" w:cs="Arial"/>
          <w:color w:val="000000"/>
          <w:shd w:val="clear" w:color="auto" w:fill="FFFFFF"/>
        </w:rPr>
        <w:t xml:space="preserve">members’ current PA information is stored in the health plans’ systems, as described above, which is anticipated to be on or around April 7, 2023. </w:t>
      </w:r>
    </w:p>
    <w:p w14:paraId="5A3C4EAA" w14:textId="77777777" w:rsidR="00C23E74" w:rsidRPr="00270795" w:rsidRDefault="00C23E74" w:rsidP="00C23E74">
      <w:pPr>
        <w:pStyle w:val="ListParagraph"/>
        <w:ind w:left="450"/>
        <w:rPr>
          <w:rFonts w:ascii="Arial" w:eastAsiaTheme="majorEastAsia" w:hAnsi="Arial" w:cs="Arial"/>
          <w:color w:val="000000"/>
          <w:shd w:val="clear" w:color="auto" w:fill="FFFFFF"/>
        </w:rPr>
      </w:pPr>
    </w:p>
    <w:p w14:paraId="56A2C3E5" w14:textId="2903CA90" w:rsidR="00C23E74" w:rsidRPr="00270795" w:rsidRDefault="00C23E74" w:rsidP="00C23E74">
      <w:pPr>
        <w:widowControl w:val="0"/>
        <w:tabs>
          <w:tab w:val="left" w:pos="840"/>
        </w:tabs>
        <w:ind w:left="389" w:right="221"/>
        <w:rPr>
          <w:rFonts w:ascii="Arial" w:eastAsia="Arial" w:hAnsi="Arial" w:cs="Arial"/>
        </w:rPr>
      </w:pPr>
      <w:r w:rsidRPr="00270795">
        <w:rPr>
          <w:rFonts w:ascii="Arial" w:eastAsia="Arial" w:hAnsi="Arial" w:cs="Arial"/>
        </w:rPr>
        <w:t xml:space="preserve">During the 90-day CoC period, plans must allow up to a 30-day emergency supply. </w:t>
      </w:r>
      <w:r w:rsidR="00B029BF">
        <w:rPr>
          <w:rFonts w:ascii="Arial" w:eastAsia="Arial" w:hAnsi="Arial" w:cs="Arial"/>
        </w:rPr>
        <w:t>After that</w:t>
      </w:r>
      <w:r w:rsidRPr="00270795">
        <w:rPr>
          <w:rFonts w:ascii="Arial" w:eastAsia="Arial" w:hAnsi="Arial" w:cs="Arial"/>
        </w:rPr>
        <w:t>, an emergency override must be for at least a 72-hour supply of medicine.</w:t>
      </w:r>
    </w:p>
    <w:p w14:paraId="3D4216DC" w14:textId="77777777" w:rsidR="00C23E74" w:rsidRPr="00270795" w:rsidRDefault="00C23E74" w:rsidP="00C23E74">
      <w:pPr>
        <w:widowControl w:val="0"/>
        <w:tabs>
          <w:tab w:val="left" w:pos="360"/>
        </w:tabs>
        <w:ind w:right="221"/>
        <w:rPr>
          <w:rFonts w:ascii="Arial" w:eastAsia="Arial" w:hAnsi="Arial" w:cs="Arial"/>
        </w:rPr>
      </w:pPr>
    </w:p>
    <w:p w14:paraId="2B73DAA1" w14:textId="77777777" w:rsidR="00C23E74" w:rsidRPr="00270795" w:rsidRDefault="00C23E74" w:rsidP="00C23E74">
      <w:pPr>
        <w:pStyle w:val="ListParagraph"/>
        <w:numPr>
          <w:ilvl w:val="0"/>
          <w:numId w:val="27"/>
        </w:numPr>
        <w:rPr>
          <w:rFonts w:ascii="Arial" w:eastAsia="Calibri" w:hAnsi="Arial" w:cs="Arial"/>
          <w:b/>
        </w:rPr>
      </w:pPr>
      <w:r w:rsidRPr="00270795">
        <w:rPr>
          <w:rFonts w:ascii="Arial" w:eastAsia="Calibri" w:hAnsi="Arial" w:cs="Arial"/>
          <w:b/>
        </w:rPr>
        <w:t>How can a pharmacy submit emergency override claims?</w:t>
      </w:r>
    </w:p>
    <w:p w14:paraId="16970AC3" w14:textId="117ECD75" w:rsidR="00C23E74" w:rsidRPr="00270795" w:rsidRDefault="00C23E74" w:rsidP="00C23E74">
      <w:pPr>
        <w:ind w:left="360"/>
        <w:rPr>
          <w:rFonts w:ascii="Arial" w:eastAsia="Calibri" w:hAnsi="Arial" w:cs="Arial"/>
        </w:rPr>
      </w:pPr>
      <w:r w:rsidRPr="00270795">
        <w:rPr>
          <w:rFonts w:ascii="Arial" w:eastAsia="Calibri" w:hAnsi="Arial" w:cs="Arial"/>
        </w:rPr>
        <w:t xml:space="preserve">For members in the MassHealth PCC plan or a PCACO, pharmacies can submit claims for an emergency supply by placing an “03” in the Level of Service field </w:t>
      </w:r>
      <w:r w:rsidR="00B029BF">
        <w:rPr>
          <w:rFonts w:ascii="Arial" w:eastAsia="Calibri" w:hAnsi="Arial" w:cs="Arial"/>
        </w:rPr>
        <w:t>(</w:t>
      </w:r>
      <w:r w:rsidRPr="00270795">
        <w:rPr>
          <w:rFonts w:ascii="Arial" w:eastAsia="Calibri" w:hAnsi="Arial" w:cs="Arial"/>
        </w:rPr>
        <w:t xml:space="preserve">418). After the prescription is adjudicated, the pharmacy should remove the “03” from the Level of Service field before the next fill. The MassHealth Drug Utilization Review (DUR) unit can be reached during normal business hours at (800) 745-7318 to obtain PA for additional refills. </w:t>
      </w:r>
    </w:p>
    <w:p w14:paraId="3B849E20" w14:textId="77777777" w:rsidR="00C23E74" w:rsidRPr="00270795" w:rsidRDefault="00C23E74" w:rsidP="00C23E74">
      <w:pPr>
        <w:ind w:left="360"/>
        <w:rPr>
          <w:rFonts w:ascii="Arial" w:eastAsia="Calibri" w:hAnsi="Arial" w:cs="Arial"/>
        </w:rPr>
      </w:pPr>
    </w:p>
    <w:p w14:paraId="69B30FCF" w14:textId="77777777" w:rsidR="00C23E74" w:rsidRPr="00270795" w:rsidRDefault="00C23E74" w:rsidP="00C23E74">
      <w:pPr>
        <w:ind w:left="360"/>
        <w:rPr>
          <w:rFonts w:ascii="Arial" w:eastAsia="Calibri" w:hAnsi="Arial" w:cs="Arial"/>
        </w:rPr>
      </w:pPr>
      <w:r w:rsidRPr="00270795">
        <w:rPr>
          <w:rFonts w:ascii="Arial" w:eastAsia="Calibri" w:hAnsi="Arial" w:cs="Arial"/>
        </w:rPr>
        <w:t>For members in ACPPs and MCOs, pharmacies should follow the specific directions listed in Appendix B to submit emergency override claims.</w:t>
      </w:r>
    </w:p>
    <w:p w14:paraId="15725E68" w14:textId="77777777" w:rsidR="00C23E74" w:rsidRPr="00270795" w:rsidRDefault="00C23E74" w:rsidP="00C23E74">
      <w:pPr>
        <w:ind w:left="360"/>
        <w:rPr>
          <w:rFonts w:ascii="Arial" w:eastAsia="Calibri" w:hAnsi="Arial" w:cs="Arial"/>
        </w:rPr>
      </w:pPr>
    </w:p>
    <w:p w14:paraId="5F9C65F7" w14:textId="77777777" w:rsidR="00C23E74" w:rsidRPr="00270795" w:rsidRDefault="00C23E74" w:rsidP="00C23E74">
      <w:pPr>
        <w:pStyle w:val="ListParagraph"/>
        <w:numPr>
          <w:ilvl w:val="0"/>
          <w:numId w:val="27"/>
        </w:numPr>
        <w:contextualSpacing/>
        <w:rPr>
          <w:rFonts w:ascii="Arial" w:eastAsia="Calibri" w:hAnsi="Arial" w:cs="Arial"/>
          <w:b/>
        </w:rPr>
      </w:pPr>
      <w:r w:rsidRPr="00270795">
        <w:rPr>
          <w:rFonts w:ascii="Arial" w:eastAsia="Calibri" w:hAnsi="Arial" w:cs="Arial"/>
          <w:b/>
        </w:rPr>
        <w:t xml:space="preserve">What if a member switches to a new plan that does not contract with their previous pharmacy provider? </w:t>
      </w:r>
    </w:p>
    <w:p w14:paraId="0E0098B0" w14:textId="1944F58F" w:rsidR="00C23E74" w:rsidRPr="00270795" w:rsidRDefault="00C23E74" w:rsidP="00C23E74">
      <w:pPr>
        <w:ind w:left="360"/>
        <w:rPr>
          <w:rFonts w:ascii="Arial" w:eastAsia="Calibri" w:hAnsi="Arial" w:cs="Arial"/>
        </w:rPr>
      </w:pPr>
      <w:r w:rsidRPr="00270795">
        <w:rPr>
          <w:rFonts w:ascii="Arial" w:eastAsia="Calibri" w:hAnsi="Arial" w:cs="Arial"/>
        </w:rPr>
        <w:t>During the 90-day CoC period starting April 1, 2023, members will be allowed to use their previous pharmacy even if it is out of network</w:t>
      </w:r>
      <w:r w:rsidR="00533072">
        <w:rPr>
          <w:rFonts w:ascii="Arial" w:eastAsia="Calibri" w:hAnsi="Arial" w:cs="Arial"/>
        </w:rPr>
        <w:t xml:space="preserve"> for the member’s new plan</w:t>
      </w:r>
      <w:r w:rsidRPr="00270795">
        <w:rPr>
          <w:rFonts w:ascii="Arial" w:eastAsia="Calibri" w:hAnsi="Arial" w:cs="Arial"/>
        </w:rPr>
        <w:t xml:space="preserve">. This includes specialty pharmacy networks. </w:t>
      </w:r>
    </w:p>
    <w:p w14:paraId="47EE5740" w14:textId="77777777" w:rsidR="00C23E74" w:rsidRPr="00270795" w:rsidRDefault="00C23E74" w:rsidP="00C23E74">
      <w:pPr>
        <w:ind w:left="360"/>
        <w:rPr>
          <w:rFonts w:ascii="Arial" w:eastAsia="Calibri" w:hAnsi="Arial" w:cs="Arial"/>
        </w:rPr>
      </w:pPr>
    </w:p>
    <w:p w14:paraId="1D961EC0" w14:textId="4017912D" w:rsidR="00C23E74" w:rsidRDefault="00C23E74" w:rsidP="00C23E74">
      <w:pPr>
        <w:ind w:left="360"/>
        <w:rPr>
          <w:rFonts w:ascii="Arial" w:eastAsia="Calibri" w:hAnsi="Arial" w:cs="Arial"/>
        </w:rPr>
      </w:pPr>
      <w:r w:rsidRPr="00270795">
        <w:rPr>
          <w:rFonts w:ascii="Arial" w:eastAsia="Calibri" w:hAnsi="Arial" w:cs="Arial"/>
        </w:rPr>
        <w:t xml:space="preserve">If a pharmacy is not part of the new plan’s network, the pharmacy will need to make appropriate arrangements with the member’s new plan in order to be paid by the new plan during the CoC period. </w:t>
      </w:r>
    </w:p>
    <w:p w14:paraId="63293E97" w14:textId="77777777" w:rsidR="00056D4F" w:rsidRPr="00270795" w:rsidRDefault="00056D4F" w:rsidP="00C23E74">
      <w:pPr>
        <w:ind w:left="360"/>
        <w:rPr>
          <w:rFonts w:ascii="Arial" w:eastAsia="Calibri" w:hAnsi="Arial" w:cs="Arial"/>
        </w:rPr>
      </w:pPr>
    </w:p>
    <w:p w14:paraId="23265FD4" w14:textId="77777777" w:rsidR="00C23E74" w:rsidRPr="00270795" w:rsidRDefault="00C23E74" w:rsidP="00C23E74">
      <w:pPr>
        <w:ind w:left="360"/>
        <w:rPr>
          <w:rFonts w:ascii="Arial" w:eastAsia="Calibri" w:hAnsi="Arial" w:cs="Arial"/>
        </w:rPr>
      </w:pPr>
      <w:r w:rsidRPr="00270795">
        <w:rPr>
          <w:rFonts w:ascii="Arial" w:eastAsia="Calibri" w:hAnsi="Arial" w:cs="Arial"/>
        </w:rPr>
        <w:t>For any other questions regarding pharmacy networks, including specialty pharmacies, pharmacists should call the Pharmacy Help Desk phone numbers listed in Appendix A of this Pharmacy Facts.</w:t>
      </w:r>
    </w:p>
    <w:p w14:paraId="123704B6" w14:textId="77777777" w:rsidR="00C23E74" w:rsidRPr="00270795" w:rsidRDefault="00C23E74" w:rsidP="00C23E74">
      <w:pPr>
        <w:ind w:left="360"/>
        <w:rPr>
          <w:rFonts w:ascii="Arial" w:eastAsia="Calibri" w:hAnsi="Arial" w:cs="Arial"/>
        </w:rPr>
      </w:pPr>
    </w:p>
    <w:p w14:paraId="25C0298A" w14:textId="77777777" w:rsidR="00830686" w:rsidRPr="00270795" w:rsidRDefault="00830686" w:rsidP="00830686">
      <w:pPr>
        <w:rPr>
          <w:rFonts w:ascii="Arial" w:hAnsi="Arial" w:cs="Arial"/>
          <w:b/>
        </w:rPr>
      </w:pPr>
      <w:r w:rsidRPr="00270795">
        <w:rPr>
          <w:rFonts w:ascii="Arial" w:hAnsi="Arial" w:cs="Arial"/>
          <w:b/>
        </w:rPr>
        <w:t>Eligibility Verification and Billing Operations</w:t>
      </w:r>
    </w:p>
    <w:p w14:paraId="58064A6E" w14:textId="77777777" w:rsidR="00830686" w:rsidRPr="00270795" w:rsidRDefault="00830686" w:rsidP="00830686">
      <w:pPr>
        <w:rPr>
          <w:rFonts w:ascii="Arial" w:eastAsia="Calibri" w:hAnsi="Arial" w:cs="Arial"/>
        </w:rPr>
      </w:pPr>
    </w:p>
    <w:p w14:paraId="046239C1" w14:textId="77777777" w:rsidR="00830686" w:rsidRPr="00270795" w:rsidRDefault="00830686" w:rsidP="00830686">
      <w:pPr>
        <w:pStyle w:val="ListParagraph"/>
        <w:numPr>
          <w:ilvl w:val="0"/>
          <w:numId w:val="27"/>
        </w:numPr>
        <w:ind w:left="270" w:hanging="270"/>
        <w:rPr>
          <w:rFonts w:ascii="Arial" w:eastAsia="Calibri" w:hAnsi="Arial" w:cs="Arial"/>
          <w:b/>
        </w:rPr>
      </w:pPr>
      <w:r w:rsidRPr="00270795">
        <w:rPr>
          <w:rFonts w:ascii="Arial" w:eastAsia="Calibri" w:hAnsi="Arial" w:cs="Arial"/>
          <w:b/>
        </w:rPr>
        <w:t xml:space="preserve"> What changes in enrollment can members expect after April 1, 2023? </w:t>
      </w:r>
    </w:p>
    <w:p w14:paraId="474E41C8" w14:textId="27F0E3D3" w:rsidR="00830686" w:rsidRDefault="00830686" w:rsidP="00830686">
      <w:pPr>
        <w:ind w:left="360"/>
        <w:rPr>
          <w:rFonts w:ascii="Arial" w:eastAsia="Calibri" w:hAnsi="Arial" w:cs="Arial"/>
        </w:rPr>
      </w:pPr>
      <w:r w:rsidRPr="00270795">
        <w:rPr>
          <w:rFonts w:ascii="Arial" w:eastAsia="Calibri" w:hAnsi="Arial" w:cs="Arial"/>
        </w:rPr>
        <w:t xml:space="preserve">Members will be enrolled in the plan that their primary care practice (PCP) participates in. This may result in a significant number of members shifting to a different plan </w:t>
      </w:r>
      <w:r w:rsidR="00F351AE">
        <w:rPr>
          <w:rFonts w:ascii="Arial" w:eastAsia="Calibri" w:hAnsi="Arial" w:cs="Arial"/>
        </w:rPr>
        <w:t>as of April 1, 2023</w:t>
      </w:r>
      <w:r w:rsidRPr="00270795">
        <w:rPr>
          <w:rFonts w:ascii="Arial" w:eastAsia="Calibri" w:hAnsi="Arial" w:cs="Arial"/>
        </w:rPr>
        <w:t xml:space="preserve">. </w:t>
      </w:r>
    </w:p>
    <w:p w14:paraId="4FEBE92F" w14:textId="77777777" w:rsidR="00056D4F" w:rsidRPr="00270795" w:rsidRDefault="00056D4F" w:rsidP="00830686">
      <w:pPr>
        <w:ind w:left="360"/>
        <w:rPr>
          <w:rFonts w:ascii="Arial" w:eastAsia="Calibri" w:hAnsi="Arial" w:cs="Arial"/>
        </w:rPr>
      </w:pPr>
    </w:p>
    <w:p w14:paraId="203E76FE" w14:textId="405DA641" w:rsidR="00830686" w:rsidRPr="00270795" w:rsidRDefault="00830686" w:rsidP="00830686">
      <w:pPr>
        <w:ind w:left="360"/>
        <w:rPr>
          <w:rFonts w:ascii="Arial" w:eastAsia="Calibri" w:hAnsi="Arial" w:cs="Arial"/>
        </w:rPr>
      </w:pPr>
      <w:r w:rsidRPr="00270795">
        <w:rPr>
          <w:rFonts w:ascii="Arial" w:eastAsia="Calibri" w:hAnsi="Arial" w:cs="Arial"/>
        </w:rPr>
        <w:t xml:space="preserve">Members </w:t>
      </w:r>
      <w:r w:rsidR="00B029BF">
        <w:rPr>
          <w:rFonts w:ascii="Arial" w:eastAsia="Calibri" w:hAnsi="Arial" w:cs="Arial"/>
        </w:rPr>
        <w:t>may</w:t>
      </w:r>
      <w:r w:rsidRPr="00270795">
        <w:rPr>
          <w:rFonts w:ascii="Arial" w:eastAsia="Calibri" w:hAnsi="Arial" w:cs="Arial"/>
        </w:rPr>
        <w:t xml:space="preserve"> switch plans </w:t>
      </w:r>
      <w:r w:rsidR="00533072">
        <w:rPr>
          <w:rFonts w:ascii="Arial" w:eastAsia="Calibri" w:hAnsi="Arial" w:cs="Arial"/>
        </w:rPr>
        <w:t>for any reason</w:t>
      </w:r>
      <w:r w:rsidR="00533072" w:rsidRPr="00270795">
        <w:rPr>
          <w:rFonts w:ascii="Arial" w:eastAsia="Calibri" w:hAnsi="Arial" w:cs="Arial"/>
        </w:rPr>
        <w:t xml:space="preserve"> </w:t>
      </w:r>
      <w:r w:rsidRPr="00270795">
        <w:rPr>
          <w:rFonts w:ascii="Arial" w:eastAsia="Calibri" w:hAnsi="Arial" w:cs="Arial"/>
        </w:rPr>
        <w:t xml:space="preserve">for the first 90 days of their enrollment. Members who are enrolled in the PCC Plan </w:t>
      </w:r>
      <w:r w:rsidR="00B029BF">
        <w:rPr>
          <w:rFonts w:ascii="Arial" w:eastAsia="Calibri" w:hAnsi="Arial" w:cs="Arial"/>
        </w:rPr>
        <w:t>may</w:t>
      </w:r>
      <w:r w:rsidR="00B029BF" w:rsidRPr="00270795">
        <w:rPr>
          <w:rFonts w:ascii="Arial" w:eastAsia="Calibri" w:hAnsi="Arial" w:cs="Arial"/>
        </w:rPr>
        <w:t xml:space="preserve"> </w:t>
      </w:r>
      <w:r w:rsidRPr="00270795">
        <w:rPr>
          <w:rFonts w:ascii="Arial" w:eastAsia="Calibri" w:hAnsi="Arial" w:cs="Arial"/>
        </w:rPr>
        <w:t xml:space="preserve">switch into an ACO or MCO at any time. </w:t>
      </w:r>
    </w:p>
    <w:p w14:paraId="17679FE1" w14:textId="77777777" w:rsidR="00830686" w:rsidRPr="00270795" w:rsidRDefault="00830686" w:rsidP="00830686">
      <w:pPr>
        <w:ind w:left="360"/>
        <w:rPr>
          <w:rFonts w:ascii="Arial" w:eastAsia="Calibri" w:hAnsi="Arial" w:cs="Arial"/>
        </w:rPr>
      </w:pPr>
    </w:p>
    <w:p w14:paraId="7D6D37A7" w14:textId="77777777" w:rsidR="00830686" w:rsidRPr="00270795" w:rsidRDefault="00830686" w:rsidP="00830686">
      <w:pPr>
        <w:ind w:left="360"/>
        <w:rPr>
          <w:rFonts w:ascii="Arial" w:eastAsia="Calibri" w:hAnsi="Arial" w:cs="Arial"/>
        </w:rPr>
      </w:pPr>
      <w:r w:rsidRPr="00270795">
        <w:rPr>
          <w:rFonts w:ascii="Arial" w:eastAsia="Calibri" w:hAnsi="Arial" w:cs="Arial"/>
        </w:rPr>
        <w:t>Members who changed plans on April 1, 2023, may also experience a change in their PBM. Please see Appendix A for Pharmacy Help Desk numbers for each ACO plan and their respective PBM.</w:t>
      </w:r>
    </w:p>
    <w:p w14:paraId="61FCF55B" w14:textId="77777777" w:rsidR="00830686" w:rsidRPr="00270795" w:rsidRDefault="00830686" w:rsidP="003F738F">
      <w:pPr>
        <w:ind w:left="360"/>
        <w:rPr>
          <w:rFonts w:ascii="Arial" w:eastAsia="Calibri" w:hAnsi="Arial" w:cs="Arial"/>
        </w:rPr>
      </w:pPr>
    </w:p>
    <w:p w14:paraId="405D8F48" w14:textId="77777777" w:rsidR="00830686" w:rsidRPr="00270795" w:rsidRDefault="00830686" w:rsidP="00830686">
      <w:pPr>
        <w:numPr>
          <w:ilvl w:val="0"/>
          <w:numId w:val="27"/>
        </w:numPr>
        <w:rPr>
          <w:rFonts w:ascii="Arial" w:eastAsia="Calibri" w:hAnsi="Arial" w:cs="Arial"/>
          <w:b/>
        </w:rPr>
      </w:pPr>
      <w:r w:rsidRPr="00270795">
        <w:rPr>
          <w:rFonts w:ascii="Arial" w:eastAsia="Calibri" w:hAnsi="Arial" w:cs="Arial"/>
          <w:b/>
        </w:rPr>
        <w:t>How can a pharmacy know which plan a member is enrolled in after April 1?</w:t>
      </w:r>
    </w:p>
    <w:p w14:paraId="604E9439" w14:textId="77777777" w:rsidR="00830686" w:rsidRPr="00270795" w:rsidRDefault="00830686" w:rsidP="00830686">
      <w:pPr>
        <w:ind w:left="360"/>
        <w:rPr>
          <w:rFonts w:ascii="Arial" w:eastAsia="Calibri" w:hAnsi="Arial" w:cs="Arial"/>
        </w:rPr>
      </w:pPr>
      <w:r w:rsidRPr="00270795">
        <w:rPr>
          <w:rFonts w:ascii="Arial" w:eastAsia="Calibri" w:hAnsi="Arial" w:cs="Arial"/>
        </w:rPr>
        <w:lastRenderedPageBreak/>
        <w:t>Pharmacies can continue using members’ plan-specific enrollment cards to verify eligibility</w:t>
      </w:r>
      <w:r w:rsidRPr="00270795">
        <w:rPr>
          <w:rFonts w:ascii="Arial" w:eastAsia="Calibri" w:hAnsi="Arial" w:cs="Arial"/>
          <w:i/>
        </w:rPr>
        <w:t xml:space="preserve">. </w:t>
      </w:r>
      <w:r w:rsidRPr="00270795">
        <w:rPr>
          <w:rFonts w:ascii="Arial" w:eastAsia="Calibri" w:hAnsi="Arial" w:cs="Arial"/>
        </w:rPr>
        <w:t>Each plan will issue its own unique card to its members, which should be presented at the pharmacy. BIN/PCN/group number combinations are provided on these cards.</w:t>
      </w:r>
    </w:p>
    <w:p w14:paraId="41992B18" w14:textId="77777777" w:rsidR="00830686" w:rsidRPr="00270795" w:rsidRDefault="00830686" w:rsidP="00830686">
      <w:pPr>
        <w:ind w:left="360"/>
        <w:rPr>
          <w:rFonts w:ascii="Arial" w:eastAsia="Calibri" w:hAnsi="Arial" w:cs="Arial"/>
        </w:rPr>
      </w:pPr>
    </w:p>
    <w:p w14:paraId="2C171023" w14:textId="77777777" w:rsidR="00830686" w:rsidRPr="00270795" w:rsidRDefault="00830686" w:rsidP="00830686">
      <w:pPr>
        <w:numPr>
          <w:ilvl w:val="0"/>
          <w:numId w:val="27"/>
        </w:numPr>
        <w:rPr>
          <w:rFonts w:ascii="Arial" w:eastAsia="Calibri" w:hAnsi="Arial" w:cs="Arial"/>
          <w:b/>
        </w:rPr>
      </w:pPr>
      <w:r w:rsidRPr="00270795">
        <w:rPr>
          <w:rFonts w:ascii="Arial" w:eastAsia="Calibri" w:hAnsi="Arial" w:cs="Arial"/>
          <w:b/>
        </w:rPr>
        <w:t>What if a MassHealth member does not have their membership ID card available at the pharmacy?</w:t>
      </w:r>
    </w:p>
    <w:p w14:paraId="37DDB000" w14:textId="01983535" w:rsidR="00844E6F" w:rsidRPr="00270795" w:rsidRDefault="00830686" w:rsidP="00270795">
      <w:pPr>
        <w:ind w:left="360"/>
        <w:rPr>
          <w:rFonts w:ascii="Arial" w:eastAsia="Calibri" w:hAnsi="Arial" w:cs="Arial"/>
        </w:rPr>
      </w:pPr>
      <w:r w:rsidRPr="00270795">
        <w:rPr>
          <w:rFonts w:ascii="Arial" w:eastAsia="Calibri" w:hAnsi="Arial" w:cs="Arial"/>
        </w:rPr>
        <w:t>If the member does not have the card available when requesting service at a pharmacy (or if the BIN/PCN/group is unavailable for any reason), there are three ways to confirm MassHealth eligibility and plan enrollment:</w:t>
      </w:r>
      <w:r w:rsidR="00270795">
        <w:rPr>
          <w:rFonts w:ascii="Arial" w:eastAsia="Calibri" w:hAnsi="Arial" w:cs="Arial"/>
        </w:rPr>
        <w:t xml:space="preserve"> </w:t>
      </w:r>
    </w:p>
    <w:p w14:paraId="3C3528F1" w14:textId="1D13248C" w:rsidR="00830686" w:rsidRPr="00B029BF" w:rsidRDefault="00830686" w:rsidP="00B029BF">
      <w:pPr>
        <w:pStyle w:val="ListParagraph"/>
        <w:numPr>
          <w:ilvl w:val="0"/>
          <w:numId w:val="28"/>
        </w:numPr>
        <w:ind w:right="-180"/>
        <w:contextualSpacing/>
        <w:rPr>
          <w:rFonts w:ascii="Arial" w:eastAsia="Calibri" w:hAnsi="Arial" w:cs="Arial"/>
        </w:rPr>
      </w:pPr>
      <w:r w:rsidRPr="00B029BF">
        <w:rPr>
          <w:rFonts w:ascii="Arial" w:eastAsia="Calibri" w:hAnsi="Arial" w:cs="Arial"/>
        </w:rPr>
        <w:t>See the list of BIN/PCN/Group number combinations in Appendix A.</w:t>
      </w:r>
    </w:p>
    <w:p w14:paraId="5E70763F" w14:textId="77777777" w:rsidR="00830686" w:rsidRPr="00270795" w:rsidRDefault="00830686" w:rsidP="00830686">
      <w:pPr>
        <w:numPr>
          <w:ilvl w:val="0"/>
          <w:numId w:val="28"/>
        </w:numPr>
        <w:rPr>
          <w:rFonts w:ascii="Arial" w:eastAsia="Calibri" w:hAnsi="Arial" w:cs="Arial"/>
        </w:rPr>
      </w:pPr>
      <w:r w:rsidRPr="00270795">
        <w:rPr>
          <w:rFonts w:ascii="Arial" w:eastAsia="Calibri" w:hAnsi="Arial" w:cs="Arial"/>
        </w:rPr>
        <w:t xml:space="preserve">Consult MassHealth’s Eligibility Verification System (EVS) at </w:t>
      </w:r>
      <w:hyperlink r:id="rId9" w:history="1">
        <w:r w:rsidRPr="00270795">
          <w:rPr>
            <w:rFonts w:ascii="Arial" w:eastAsia="Calibri" w:hAnsi="Arial" w:cs="Arial"/>
            <w:color w:val="0000FF"/>
            <w:u w:val="single"/>
          </w:rPr>
          <w:t>https://newmmis-portal.ehs.state.ma.us/EHSProviderPortal/providerLanding/providerLanding.jsf</w:t>
        </w:r>
      </w:hyperlink>
      <w:r w:rsidRPr="00270795">
        <w:rPr>
          <w:rFonts w:ascii="Arial" w:eastAsia="Calibri" w:hAnsi="Arial" w:cs="Arial"/>
          <w:color w:val="0000FF"/>
        </w:rPr>
        <w:t>.</w:t>
      </w:r>
    </w:p>
    <w:p w14:paraId="1B7540C8" w14:textId="77777777" w:rsidR="00830686" w:rsidRPr="00270795" w:rsidRDefault="00830686" w:rsidP="00830686">
      <w:pPr>
        <w:numPr>
          <w:ilvl w:val="0"/>
          <w:numId w:val="28"/>
        </w:numPr>
        <w:rPr>
          <w:rFonts w:ascii="Arial" w:eastAsia="Calibri" w:hAnsi="Arial" w:cs="Arial"/>
        </w:rPr>
      </w:pPr>
      <w:r w:rsidRPr="00270795">
        <w:rPr>
          <w:rFonts w:ascii="Arial" w:eastAsia="Calibri" w:hAnsi="Arial" w:cs="Arial"/>
        </w:rPr>
        <w:t xml:space="preserve">Submit a claim to MassHealth’s Pharmacy Online Processing System (POPS). If the pharmacy is unsure which plan a MassHealth member is in, it may bill POPS. If the member is enrolled in the PCC Plan or PCACO, the claim will be processed as usual. If the member is enrolled in an MCO or ACPP, POPS will send information back in the denial message to help the pharmacy identify the correct plan to bill. Once a member’s ACPP/MCO plan is identified, additional required information (such as the member’s plan-specific ID number) can be gathered using contact information in Appendix C. </w:t>
      </w:r>
    </w:p>
    <w:p w14:paraId="7C42EFBA" w14:textId="77777777" w:rsidR="00830686" w:rsidRPr="00270795" w:rsidRDefault="00830686" w:rsidP="00830686">
      <w:pPr>
        <w:ind w:left="1080"/>
        <w:rPr>
          <w:rFonts w:ascii="Arial" w:eastAsia="Calibri" w:hAnsi="Arial" w:cs="Arial"/>
        </w:rPr>
      </w:pPr>
    </w:p>
    <w:p w14:paraId="2EF39FD1" w14:textId="77777777" w:rsidR="00830686" w:rsidRPr="00270795" w:rsidRDefault="00830686" w:rsidP="00844E6F">
      <w:pPr>
        <w:pStyle w:val="ListParagraph"/>
        <w:numPr>
          <w:ilvl w:val="0"/>
          <w:numId w:val="27"/>
        </w:numPr>
        <w:rPr>
          <w:rFonts w:ascii="Arial" w:eastAsia="Calibri" w:hAnsi="Arial" w:cs="Arial"/>
          <w:b/>
        </w:rPr>
      </w:pPr>
      <w:r w:rsidRPr="00270795">
        <w:rPr>
          <w:rFonts w:ascii="Arial" w:eastAsia="Calibri" w:hAnsi="Arial" w:cs="Arial"/>
          <w:b/>
        </w:rPr>
        <w:t>What if the member’s new plan or PBM denies a pharmacy claim?</w:t>
      </w:r>
    </w:p>
    <w:p w14:paraId="5346E878" w14:textId="77777777" w:rsidR="00830686" w:rsidRPr="00270795" w:rsidRDefault="00830686" w:rsidP="00830686">
      <w:pPr>
        <w:ind w:left="360"/>
        <w:rPr>
          <w:rFonts w:ascii="Arial" w:eastAsia="Calibri" w:hAnsi="Arial" w:cs="Arial"/>
        </w:rPr>
      </w:pPr>
      <w:r w:rsidRPr="00270795">
        <w:rPr>
          <w:rFonts w:ascii="Arial" w:eastAsia="Calibri" w:hAnsi="Arial" w:cs="Arial"/>
        </w:rPr>
        <w:t>Pharmacists should call the new plan’s pharmacy help desk to address the issue. The contact information for all plans is listed in Appendix A.</w:t>
      </w:r>
    </w:p>
    <w:p w14:paraId="285A98AF" w14:textId="77777777" w:rsidR="00830686" w:rsidRPr="00270795" w:rsidRDefault="00830686" w:rsidP="00CC6B1A">
      <w:pPr>
        <w:pStyle w:val="ListParagraph"/>
        <w:ind w:left="360"/>
        <w:rPr>
          <w:rStyle w:val="eop"/>
          <w:rFonts w:ascii="Arial" w:eastAsiaTheme="majorEastAsia" w:hAnsi="Arial" w:cs="Arial"/>
          <w:color w:val="000000"/>
          <w:shd w:val="clear" w:color="auto" w:fill="FFFFFF"/>
        </w:rPr>
      </w:pPr>
    </w:p>
    <w:p w14:paraId="08859994" w14:textId="77777777" w:rsidR="00830686" w:rsidRPr="00270795" w:rsidRDefault="00830686" w:rsidP="00844E6F">
      <w:pPr>
        <w:numPr>
          <w:ilvl w:val="0"/>
          <w:numId w:val="27"/>
        </w:numPr>
        <w:rPr>
          <w:rFonts w:ascii="Arial" w:eastAsia="Calibri" w:hAnsi="Arial" w:cs="Arial"/>
          <w:b/>
        </w:rPr>
      </w:pPr>
      <w:r w:rsidRPr="00270795">
        <w:rPr>
          <w:rFonts w:ascii="Arial" w:eastAsia="Calibri" w:hAnsi="Arial" w:cs="Arial"/>
          <w:b/>
        </w:rPr>
        <w:t xml:space="preserve">Can a member switch </w:t>
      </w:r>
      <w:proofErr w:type="gramStart"/>
      <w:r w:rsidRPr="00270795">
        <w:rPr>
          <w:rFonts w:ascii="Arial" w:eastAsia="Calibri" w:hAnsi="Arial" w:cs="Arial"/>
          <w:b/>
        </w:rPr>
        <w:t>plans</w:t>
      </w:r>
      <w:proofErr w:type="gramEnd"/>
      <w:r w:rsidRPr="00270795">
        <w:rPr>
          <w:rFonts w:ascii="Arial" w:eastAsia="Calibri" w:hAnsi="Arial" w:cs="Arial"/>
          <w:b/>
        </w:rPr>
        <w:t xml:space="preserve"> if they are dissatisfied with the new plan or PBM?</w:t>
      </w:r>
    </w:p>
    <w:p w14:paraId="086174BF" w14:textId="77777777" w:rsidR="00830686" w:rsidRPr="00270795" w:rsidRDefault="00830686" w:rsidP="00830686">
      <w:pPr>
        <w:ind w:left="360"/>
        <w:rPr>
          <w:rFonts w:ascii="Arial" w:eastAsia="Calibri" w:hAnsi="Arial" w:cs="Arial"/>
        </w:rPr>
      </w:pPr>
      <w:r w:rsidRPr="00270795">
        <w:rPr>
          <w:rFonts w:ascii="Arial" w:eastAsia="Calibri" w:hAnsi="Arial" w:cs="Arial"/>
        </w:rPr>
        <w:t>All MassHealth members enrolled in an ACO or MCO as of April 1, 2023, may switch plans for any reason for 90 days. Members enrolled in the PCC Plan may switch to an ACO or MCO at any time.</w:t>
      </w:r>
    </w:p>
    <w:p w14:paraId="1DC87CC9" w14:textId="77777777" w:rsidR="00830686" w:rsidRPr="00270795" w:rsidRDefault="00830686" w:rsidP="00830686">
      <w:pPr>
        <w:ind w:left="360"/>
        <w:rPr>
          <w:rFonts w:ascii="Arial" w:eastAsia="Calibri" w:hAnsi="Arial" w:cs="Arial"/>
        </w:rPr>
      </w:pPr>
    </w:p>
    <w:p w14:paraId="2F67E3BE" w14:textId="77777777" w:rsidR="00830686" w:rsidRPr="00F720C0" w:rsidRDefault="00830686" w:rsidP="00830686">
      <w:pPr>
        <w:rPr>
          <w:rFonts w:ascii="Arial Black" w:hAnsi="Arial Black" w:cs="Arial"/>
          <w:b/>
        </w:rPr>
      </w:pPr>
      <w:r w:rsidRPr="00F720C0">
        <w:rPr>
          <w:rFonts w:ascii="Arial Black" w:hAnsi="Arial Black" w:cs="Arial"/>
          <w:b/>
        </w:rPr>
        <w:t>Continuity of Care</w:t>
      </w:r>
    </w:p>
    <w:p w14:paraId="3F98B6C2" w14:textId="77777777" w:rsidR="00830686" w:rsidRPr="00F6724E" w:rsidRDefault="00830686" w:rsidP="00830686">
      <w:pPr>
        <w:rPr>
          <w:rFonts w:eastAsia="Calibri"/>
          <w:b/>
        </w:rPr>
      </w:pPr>
    </w:p>
    <w:p w14:paraId="60A7F5EF" w14:textId="77777777" w:rsidR="00830686" w:rsidRPr="00270795" w:rsidRDefault="00830686" w:rsidP="003F5647">
      <w:pPr>
        <w:numPr>
          <w:ilvl w:val="0"/>
          <w:numId w:val="27"/>
        </w:numPr>
        <w:tabs>
          <w:tab w:val="left" w:pos="360"/>
        </w:tabs>
        <w:rPr>
          <w:rFonts w:ascii="Arial" w:eastAsia="Calibri" w:hAnsi="Arial" w:cs="Arial"/>
        </w:rPr>
      </w:pPr>
      <w:r w:rsidRPr="00270795">
        <w:rPr>
          <w:rFonts w:ascii="Arial" w:eastAsia="Calibri" w:hAnsi="Arial" w:cs="Arial"/>
          <w:b/>
        </w:rPr>
        <w:t>If a member cannot get an appointment with a physician to obtain a new prescription or PA within 90 days, what should the member do?</w:t>
      </w:r>
    </w:p>
    <w:p w14:paraId="2692BA47" w14:textId="77777777" w:rsidR="00830686" w:rsidRPr="00270795" w:rsidRDefault="00830686" w:rsidP="003F5647">
      <w:pPr>
        <w:ind w:left="360"/>
        <w:rPr>
          <w:rFonts w:ascii="Arial" w:eastAsia="Calibri" w:hAnsi="Arial" w:cs="Arial"/>
        </w:rPr>
      </w:pPr>
      <w:r w:rsidRPr="00270795">
        <w:rPr>
          <w:rFonts w:ascii="Arial" w:eastAsia="Calibri" w:hAnsi="Arial" w:cs="Arial"/>
        </w:rPr>
        <w:t xml:space="preserve">Members and pharmacists should contact the provider to get a new prescription on file as soon as possible. If a PA is needed, members and pharmacists should work with the provider to ensure that the necessary documentation is submitted to the new plan. Pharmacists should issue emergency overrides to ensure that appropriate continuity of care is provided while the authorization is in process. </w:t>
      </w:r>
    </w:p>
    <w:p w14:paraId="6600F136" w14:textId="77777777" w:rsidR="00830686" w:rsidRPr="00270795" w:rsidRDefault="00830686" w:rsidP="00830686">
      <w:pPr>
        <w:rPr>
          <w:rFonts w:ascii="Arial" w:eastAsia="Calibri" w:hAnsi="Arial" w:cs="Arial"/>
        </w:rPr>
      </w:pPr>
    </w:p>
    <w:p w14:paraId="4D328007" w14:textId="77777777" w:rsidR="00830686" w:rsidRPr="00270795" w:rsidRDefault="00830686" w:rsidP="003F5647">
      <w:pPr>
        <w:pStyle w:val="ListParagraph"/>
        <w:numPr>
          <w:ilvl w:val="0"/>
          <w:numId w:val="27"/>
        </w:numPr>
        <w:rPr>
          <w:rFonts w:ascii="Arial" w:eastAsia="Calibri" w:hAnsi="Arial" w:cs="Arial"/>
          <w:b/>
        </w:rPr>
      </w:pPr>
      <w:r w:rsidRPr="00270795">
        <w:rPr>
          <w:rFonts w:ascii="Arial" w:eastAsia="Calibri" w:hAnsi="Arial" w:cs="Arial"/>
          <w:b/>
        </w:rPr>
        <w:t xml:space="preserve">What should be done if a member has a PA on file for a medication, but the prescription is </w:t>
      </w:r>
      <w:proofErr w:type="gramStart"/>
      <w:r w:rsidRPr="00270795">
        <w:rPr>
          <w:rFonts w:ascii="Arial" w:eastAsia="Calibri" w:hAnsi="Arial" w:cs="Arial"/>
          <w:b/>
        </w:rPr>
        <w:t>expired</w:t>
      </w:r>
      <w:proofErr w:type="gramEnd"/>
      <w:r w:rsidRPr="00270795">
        <w:rPr>
          <w:rFonts w:ascii="Arial" w:eastAsia="Calibri" w:hAnsi="Arial" w:cs="Arial"/>
          <w:b/>
        </w:rPr>
        <w:t xml:space="preserve"> and the prescriber is not in the member’s new plan? </w:t>
      </w:r>
    </w:p>
    <w:p w14:paraId="25667D76" w14:textId="63BFE47A" w:rsidR="00830686" w:rsidRPr="00270795" w:rsidRDefault="00830686" w:rsidP="00830686">
      <w:pPr>
        <w:pStyle w:val="ListParagraph"/>
        <w:ind w:left="360"/>
        <w:rPr>
          <w:rFonts w:ascii="Arial" w:eastAsia="Calibri" w:hAnsi="Arial" w:cs="Arial"/>
          <w:b/>
        </w:rPr>
      </w:pPr>
      <w:r w:rsidRPr="00270795">
        <w:rPr>
          <w:rFonts w:ascii="Arial" w:eastAsia="Calibri" w:hAnsi="Arial" w:cs="Arial"/>
        </w:rPr>
        <w:t>If the prescriber is not in the new plan, members and their providers should contact their new plan to make appropriate arrangements. During the 90-day CoC period, the member can continue to see any provider with whom they have a preexisting relationship, even if the provider is not in the new plan’s network. If the member continue</w:t>
      </w:r>
      <w:r w:rsidR="00B029BF">
        <w:rPr>
          <w:rFonts w:ascii="Arial" w:eastAsia="Calibri" w:hAnsi="Arial" w:cs="Arial"/>
        </w:rPr>
        <w:t>s</w:t>
      </w:r>
      <w:r w:rsidRPr="00270795">
        <w:rPr>
          <w:rFonts w:ascii="Arial" w:eastAsia="Calibri" w:hAnsi="Arial" w:cs="Arial"/>
        </w:rPr>
        <w:t xml:space="preserve"> to need a new prescription every 30 days for the medication, a new PA may be required by the plan. Providers, members, and pharmacies should work together to ensure that the new plan has all of the necessary information. </w:t>
      </w:r>
    </w:p>
    <w:p w14:paraId="67E7E770" w14:textId="77777777" w:rsidR="00830686" w:rsidRDefault="00830686" w:rsidP="00830686">
      <w:pPr>
        <w:rPr>
          <w:rFonts w:ascii="Arial" w:eastAsia="Calibri" w:hAnsi="Arial" w:cs="Arial"/>
          <w:b/>
          <w:sz w:val="22"/>
          <w:szCs w:val="22"/>
        </w:rPr>
      </w:pPr>
    </w:p>
    <w:p w14:paraId="46A6B025" w14:textId="77777777" w:rsidR="00830686" w:rsidRPr="00F720C0" w:rsidRDefault="00830686" w:rsidP="003F738F">
      <w:pPr>
        <w:spacing w:before="1440"/>
        <w:rPr>
          <w:rFonts w:ascii="Arial Black" w:hAnsi="Arial Black" w:cs="Arial"/>
          <w:b/>
        </w:rPr>
      </w:pPr>
      <w:r w:rsidRPr="00F720C0">
        <w:rPr>
          <w:rFonts w:ascii="Arial Black" w:hAnsi="Arial Black" w:cs="Arial"/>
          <w:b/>
        </w:rPr>
        <w:t>Escalation Process</w:t>
      </w:r>
    </w:p>
    <w:p w14:paraId="03C049F8" w14:textId="77777777" w:rsidR="00830686" w:rsidRPr="00E8226C" w:rsidRDefault="00830686" w:rsidP="00830686">
      <w:pPr>
        <w:rPr>
          <w:rFonts w:eastAsia="Calibri"/>
          <w:b/>
        </w:rPr>
      </w:pPr>
    </w:p>
    <w:p w14:paraId="02E2705C" w14:textId="77777777" w:rsidR="00830686" w:rsidRPr="00270795" w:rsidRDefault="00830686" w:rsidP="003F5647">
      <w:pPr>
        <w:numPr>
          <w:ilvl w:val="0"/>
          <w:numId w:val="27"/>
        </w:numPr>
        <w:tabs>
          <w:tab w:val="left" w:pos="360"/>
        </w:tabs>
        <w:rPr>
          <w:rFonts w:ascii="Arial" w:eastAsia="Calibri" w:hAnsi="Arial" w:cs="Arial"/>
          <w:b/>
        </w:rPr>
      </w:pPr>
      <w:r w:rsidRPr="00270795">
        <w:rPr>
          <w:rFonts w:ascii="Arial" w:eastAsia="Calibri" w:hAnsi="Arial" w:cs="Arial"/>
          <w:b/>
        </w:rPr>
        <w:t xml:space="preserve">What should a pharmacist do if a member’s medication is denying? </w:t>
      </w:r>
    </w:p>
    <w:p w14:paraId="43FD34EA" w14:textId="77777777" w:rsidR="00830686" w:rsidRPr="00270795" w:rsidRDefault="00830686" w:rsidP="00830686">
      <w:pPr>
        <w:ind w:left="360"/>
        <w:rPr>
          <w:rFonts w:ascii="Arial" w:eastAsia="Calibri" w:hAnsi="Arial" w:cs="Arial"/>
        </w:rPr>
      </w:pPr>
      <w:r w:rsidRPr="00270795">
        <w:rPr>
          <w:rFonts w:ascii="Arial" w:eastAsia="Calibri" w:hAnsi="Arial" w:cs="Arial"/>
        </w:rPr>
        <w:t xml:space="preserve">Emergency override codes listed in Appendix B of this Pharmacy Facts can be used on claims. If the denial persists, pharmacists should call the member’s health plan PBM or DUR line at the phone numbers listed in Appendix A. If there is no resolution, pharmacists may contact the health plan directly at the phone numbers listed in Appendix C of this Pharmacy Facts. </w:t>
      </w:r>
    </w:p>
    <w:p w14:paraId="63E3D764" w14:textId="77777777" w:rsidR="00830686" w:rsidRPr="00270795" w:rsidRDefault="00830686" w:rsidP="00830686">
      <w:pPr>
        <w:ind w:left="360"/>
        <w:rPr>
          <w:rFonts w:ascii="Arial" w:eastAsia="Calibri" w:hAnsi="Arial" w:cs="Arial"/>
          <w:b/>
        </w:rPr>
      </w:pPr>
    </w:p>
    <w:p w14:paraId="18F85219" w14:textId="77777777" w:rsidR="00830686" w:rsidRPr="00270795" w:rsidRDefault="00830686" w:rsidP="003F5647">
      <w:pPr>
        <w:numPr>
          <w:ilvl w:val="0"/>
          <w:numId w:val="27"/>
        </w:numPr>
        <w:rPr>
          <w:rFonts w:ascii="Arial" w:eastAsia="Calibri" w:hAnsi="Arial" w:cs="Arial"/>
          <w:b/>
        </w:rPr>
      </w:pPr>
      <w:r w:rsidRPr="00270795">
        <w:rPr>
          <w:rFonts w:ascii="Arial" w:eastAsia="Calibri" w:hAnsi="Arial" w:cs="Arial"/>
          <w:b/>
        </w:rPr>
        <w:t xml:space="preserve">What should a pharmacist do if a member’s ACO or MCO plan isn’t responsive in addressing an issue? </w:t>
      </w:r>
    </w:p>
    <w:p w14:paraId="09725AD5" w14:textId="77777777" w:rsidR="00830686" w:rsidRPr="00270795" w:rsidRDefault="00830686" w:rsidP="00830686">
      <w:pPr>
        <w:ind w:left="360"/>
        <w:rPr>
          <w:rFonts w:ascii="Arial" w:eastAsia="Calibri" w:hAnsi="Arial" w:cs="Arial"/>
        </w:rPr>
      </w:pPr>
      <w:r w:rsidRPr="00270795">
        <w:rPr>
          <w:rFonts w:ascii="Arial" w:eastAsia="Calibri" w:hAnsi="Arial" w:cs="Arial"/>
        </w:rPr>
        <w:t>They should call MassHealth’s Customer Service Center at (800) 841-2900, TDD/TTY: 711.</w:t>
      </w:r>
    </w:p>
    <w:p w14:paraId="03135761" w14:textId="77777777" w:rsidR="00830686" w:rsidRPr="00270795" w:rsidRDefault="00830686" w:rsidP="00830686">
      <w:pPr>
        <w:rPr>
          <w:rFonts w:ascii="Arial" w:eastAsia="Calibri" w:hAnsi="Arial" w:cs="Arial"/>
          <w:b/>
        </w:rPr>
      </w:pPr>
    </w:p>
    <w:p w14:paraId="180BC7FB" w14:textId="1E3B8495" w:rsidR="00830686" w:rsidRPr="00F720C0" w:rsidRDefault="00830686" w:rsidP="00830686">
      <w:pPr>
        <w:rPr>
          <w:rFonts w:ascii="Arial Black" w:hAnsi="Arial Black" w:cs="Arial"/>
          <w:b/>
        </w:rPr>
      </w:pPr>
      <w:r w:rsidRPr="00F720C0">
        <w:rPr>
          <w:rFonts w:ascii="Arial Black" w:hAnsi="Arial Black" w:cs="Arial"/>
          <w:b/>
        </w:rPr>
        <w:t>Claims Submission and Adjudication</w:t>
      </w:r>
    </w:p>
    <w:p w14:paraId="1703B451" w14:textId="77777777" w:rsidR="00830686" w:rsidRDefault="00830686" w:rsidP="00830686">
      <w:pPr>
        <w:rPr>
          <w:rFonts w:eastAsia="Calibri"/>
          <w:b/>
        </w:rPr>
      </w:pPr>
    </w:p>
    <w:p w14:paraId="04294086" w14:textId="77777777" w:rsidR="00830686" w:rsidRPr="00123DCB" w:rsidRDefault="00830686" w:rsidP="003F5647">
      <w:pPr>
        <w:numPr>
          <w:ilvl w:val="0"/>
          <w:numId w:val="27"/>
        </w:numPr>
        <w:ind w:hanging="450"/>
        <w:rPr>
          <w:rFonts w:ascii="Arial" w:eastAsia="Calibri" w:hAnsi="Arial" w:cs="Arial"/>
          <w:b/>
        </w:rPr>
      </w:pPr>
      <w:r w:rsidRPr="00123DCB">
        <w:rPr>
          <w:rFonts w:ascii="Arial" w:eastAsia="Calibri" w:hAnsi="Arial" w:cs="Arial"/>
          <w:b/>
        </w:rPr>
        <w:t>How will pharmacies be reimbursed for claims after April 1, 2023?</w:t>
      </w:r>
    </w:p>
    <w:p w14:paraId="3D9D17E4" w14:textId="6A166B5C" w:rsidR="00830686" w:rsidRPr="00123DCB" w:rsidRDefault="00830686" w:rsidP="00830686">
      <w:pPr>
        <w:ind w:left="360"/>
        <w:rPr>
          <w:rFonts w:ascii="Arial" w:eastAsia="Calibri" w:hAnsi="Arial" w:cs="Arial"/>
        </w:rPr>
      </w:pPr>
      <w:r w:rsidRPr="00123DCB">
        <w:rPr>
          <w:rFonts w:ascii="Arial" w:eastAsia="Calibri" w:hAnsi="Arial" w:cs="Arial"/>
        </w:rPr>
        <w:t xml:space="preserve">If the member is in the PCC Plan or </w:t>
      </w:r>
      <w:r w:rsidR="00B029BF">
        <w:rPr>
          <w:rFonts w:ascii="Arial" w:eastAsia="Calibri" w:hAnsi="Arial" w:cs="Arial"/>
        </w:rPr>
        <w:t xml:space="preserve">in </w:t>
      </w:r>
      <w:r w:rsidRPr="00123DCB">
        <w:rPr>
          <w:rFonts w:ascii="Arial" w:eastAsia="Calibri" w:hAnsi="Arial" w:cs="Arial"/>
        </w:rPr>
        <w:t xml:space="preserve">a PCACO, the pharmacy </w:t>
      </w:r>
      <w:r w:rsidR="00B029BF">
        <w:rPr>
          <w:rFonts w:ascii="Arial" w:eastAsia="Calibri" w:hAnsi="Arial" w:cs="Arial"/>
        </w:rPr>
        <w:t>will be</w:t>
      </w:r>
      <w:r w:rsidR="00B029BF" w:rsidRPr="00123DCB">
        <w:rPr>
          <w:rFonts w:ascii="Arial" w:eastAsia="Calibri" w:hAnsi="Arial" w:cs="Arial"/>
        </w:rPr>
        <w:t xml:space="preserve"> </w:t>
      </w:r>
      <w:r w:rsidRPr="00123DCB">
        <w:rPr>
          <w:rFonts w:ascii="Arial" w:eastAsia="Calibri" w:hAnsi="Arial" w:cs="Arial"/>
        </w:rPr>
        <w:t xml:space="preserve">paid by MassHealth, according to the MassHealth rate methodology. Pharmacies should submit claims to the Pharmacy Online Processing System (POPS) as they have in the past. If the member in an MCO or an ACPP, the pharmacy </w:t>
      </w:r>
      <w:r w:rsidR="00EC1479">
        <w:rPr>
          <w:rFonts w:ascii="Arial" w:eastAsia="Calibri" w:hAnsi="Arial" w:cs="Arial"/>
        </w:rPr>
        <w:t>will be</w:t>
      </w:r>
      <w:r w:rsidR="00EC1479" w:rsidRPr="00123DCB">
        <w:rPr>
          <w:rFonts w:ascii="Arial" w:eastAsia="Calibri" w:hAnsi="Arial" w:cs="Arial"/>
        </w:rPr>
        <w:t xml:space="preserve"> </w:t>
      </w:r>
      <w:r w:rsidRPr="00123DCB">
        <w:rPr>
          <w:rFonts w:ascii="Arial" w:eastAsia="Calibri" w:hAnsi="Arial" w:cs="Arial"/>
        </w:rPr>
        <w:t xml:space="preserve">paid by the appropriate MCO or ACPP (or its PBM). Rates are based on contracts between the MCO or ACPP or its PBM and pharmacies. </w:t>
      </w:r>
    </w:p>
    <w:p w14:paraId="78C05951" w14:textId="77777777" w:rsidR="00830686" w:rsidRPr="00123DCB" w:rsidRDefault="00830686" w:rsidP="00830686">
      <w:pPr>
        <w:contextualSpacing/>
        <w:rPr>
          <w:rFonts w:ascii="Arial" w:eastAsia="Calibri" w:hAnsi="Arial" w:cs="Arial"/>
        </w:rPr>
      </w:pPr>
    </w:p>
    <w:p w14:paraId="64C0BAFE" w14:textId="3861A2C0" w:rsidR="00830686" w:rsidRPr="004838B1" w:rsidRDefault="00830686" w:rsidP="004838B1">
      <w:pPr>
        <w:pStyle w:val="ListParagraph"/>
        <w:numPr>
          <w:ilvl w:val="0"/>
          <w:numId w:val="27"/>
        </w:numPr>
        <w:ind w:hanging="450"/>
        <w:rPr>
          <w:rFonts w:ascii="Arial" w:hAnsi="Arial" w:cs="Arial"/>
        </w:rPr>
      </w:pPr>
      <w:r w:rsidRPr="004838B1">
        <w:rPr>
          <w:rFonts w:ascii="Arial" w:hAnsi="Arial" w:cs="Arial"/>
          <w:b/>
          <w:bCs/>
        </w:rPr>
        <w:t xml:space="preserve">Should the pharmacy bill the member’s new health plan during the </w:t>
      </w:r>
      <w:proofErr w:type="spellStart"/>
      <w:r w:rsidRPr="004838B1">
        <w:rPr>
          <w:rFonts w:ascii="Arial" w:hAnsi="Arial" w:cs="Arial"/>
          <w:b/>
          <w:bCs/>
        </w:rPr>
        <w:t>CoC</w:t>
      </w:r>
      <w:proofErr w:type="spellEnd"/>
      <w:r w:rsidRPr="004838B1">
        <w:rPr>
          <w:rFonts w:ascii="Arial" w:hAnsi="Arial" w:cs="Arial"/>
          <w:b/>
          <w:bCs/>
        </w:rPr>
        <w:t xml:space="preserve"> period?</w:t>
      </w:r>
    </w:p>
    <w:p w14:paraId="50D28421" w14:textId="77777777" w:rsidR="00830686" w:rsidRPr="00123DCB" w:rsidRDefault="00830686" w:rsidP="004838B1">
      <w:pPr>
        <w:pStyle w:val="ListParagraph"/>
        <w:ind w:left="360"/>
        <w:rPr>
          <w:rFonts w:ascii="Arial" w:hAnsi="Arial" w:cs="Arial"/>
        </w:rPr>
      </w:pPr>
      <w:r w:rsidRPr="00123DCB">
        <w:rPr>
          <w:rFonts w:ascii="Arial" w:hAnsi="Arial" w:cs="Arial"/>
        </w:rPr>
        <w:t>Pharmacies should bill claims with dates of service April 1, 2023, and later to the member’s new plan.</w:t>
      </w:r>
    </w:p>
    <w:p w14:paraId="3723C85F" w14:textId="77777777" w:rsidR="00830686" w:rsidRPr="00FA0141" w:rsidRDefault="00830686" w:rsidP="00830686">
      <w:pPr>
        <w:pStyle w:val="ListParagraph"/>
        <w:ind w:left="450"/>
      </w:pPr>
    </w:p>
    <w:p w14:paraId="72CAAAF1" w14:textId="77777777" w:rsidR="00830686" w:rsidRPr="00F720C0" w:rsidRDefault="00830686" w:rsidP="00830686">
      <w:pPr>
        <w:rPr>
          <w:rFonts w:ascii="Arial Black" w:hAnsi="Arial Black" w:cs="Arial"/>
          <w:b/>
        </w:rPr>
      </w:pPr>
      <w:r w:rsidRPr="00F720C0">
        <w:rPr>
          <w:rFonts w:ascii="Arial Black" w:hAnsi="Arial Black" w:cs="Arial"/>
          <w:b/>
        </w:rPr>
        <w:t>Other Questions</w:t>
      </w:r>
    </w:p>
    <w:p w14:paraId="640CD5DC" w14:textId="77777777" w:rsidR="00830686" w:rsidRPr="00EE519F" w:rsidRDefault="00830686" w:rsidP="00830686">
      <w:pPr>
        <w:rPr>
          <w:rFonts w:eastAsia="Calibri"/>
          <w:b/>
          <w:bCs/>
        </w:rPr>
      </w:pPr>
    </w:p>
    <w:p w14:paraId="5B7551EE" w14:textId="77777777" w:rsidR="00830686" w:rsidRPr="00123DCB" w:rsidRDefault="00830686" w:rsidP="003F5647">
      <w:pPr>
        <w:numPr>
          <w:ilvl w:val="0"/>
          <w:numId w:val="27"/>
        </w:numPr>
        <w:ind w:hanging="450"/>
        <w:rPr>
          <w:rFonts w:ascii="Arial" w:eastAsia="Calibri" w:hAnsi="Arial" w:cs="Arial"/>
          <w:b/>
        </w:rPr>
      </w:pPr>
      <w:r w:rsidRPr="00123DCB">
        <w:rPr>
          <w:rFonts w:ascii="Arial" w:eastAsia="Calibri" w:hAnsi="Arial" w:cs="Arial"/>
          <w:b/>
        </w:rPr>
        <w:t>Will medical supplies previously billed under the MassHealth pharmacy benefit (for example, diabetic test strips) continue to be covered under the pharmacy benefit by all MassHealth plans?</w:t>
      </w:r>
    </w:p>
    <w:p w14:paraId="3ED4FEB6" w14:textId="018058E0" w:rsidR="00830686" w:rsidRPr="00123DCB" w:rsidRDefault="003F738F" w:rsidP="00830686">
      <w:pPr>
        <w:ind w:left="360"/>
        <w:rPr>
          <w:rFonts w:ascii="Arial" w:eastAsia="Calibri" w:hAnsi="Arial" w:cs="Arial"/>
          <w:color w:val="000000"/>
        </w:rPr>
      </w:pPr>
      <w:r>
        <w:rPr>
          <w:rFonts w:ascii="Arial" w:eastAsia="Calibri" w:hAnsi="Arial" w:cs="Arial"/>
          <w:color w:val="000000"/>
        </w:rPr>
        <w:t xml:space="preserve">Yes. </w:t>
      </w:r>
      <w:r w:rsidR="00830686" w:rsidRPr="00123DCB">
        <w:rPr>
          <w:rFonts w:ascii="Arial" w:eastAsia="Calibri" w:hAnsi="Arial" w:cs="Arial"/>
          <w:color w:val="000000"/>
        </w:rPr>
        <w:t>All medical supplies previously covered under MassHealth’s pharmacy benefit will continue to be available through the pharmacy benefit.</w:t>
      </w:r>
    </w:p>
    <w:p w14:paraId="4378281F" w14:textId="28C8B928" w:rsidR="00CC6B1A" w:rsidRPr="00123DCB" w:rsidRDefault="00830686" w:rsidP="00830686">
      <w:pPr>
        <w:rPr>
          <w:rFonts w:ascii="Arial" w:hAnsi="Arial" w:cs="Arial"/>
        </w:rPr>
      </w:pPr>
      <w:r w:rsidRPr="00123DCB">
        <w:rPr>
          <w:rFonts w:ascii="Arial" w:hAnsi="Arial" w:cs="Arial"/>
        </w:rPr>
        <w:br w:type="page"/>
      </w:r>
    </w:p>
    <w:p w14:paraId="7FCF8E1E" w14:textId="675AEB74" w:rsidR="00CC6B1A" w:rsidRPr="00270795" w:rsidRDefault="00CC6B1A" w:rsidP="009A7C39">
      <w:pPr>
        <w:jc w:val="center"/>
        <w:rPr>
          <w:rFonts w:ascii="Arial Black" w:hAnsi="Arial Black" w:cs="Arial"/>
          <w:b/>
        </w:rPr>
      </w:pPr>
      <w:r w:rsidRPr="00270795">
        <w:rPr>
          <w:rFonts w:ascii="Arial Black" w:hAnsi="Arial Black" w:cs="Arial"/>
          <w:b/>
        </w:rPr>
        <w:lastRenderedPageBreak/>
        <w:t>Appendix A</w:t>
      </w:r>
    </w:p>
    <w:p w14:paraId="588C10FA" w14:textId="77777777" w:rsidR="00CC6B1A" w:rsidRPr="00C8217F" w:rsidRDefault="00CC6B1A" w:rsidP="009A7C39">
      <w:pPr>
        <w:jc w:val="center"/>
        <w:rPr>
          <w:rFonts w:ascii="Arial Black" w:hAnsi="Arial Black"/>
          <w:b/>
        </w:rPr>
      </w:pPr>
    </w:p>
    <w:p w14:paraId="10743F3C" w14:textId="060768F2" w:rsidR="00CC6B1A" w:rsidRPr="00C8217F" w:rsidRDefault="00CC6B1A" w:rsidP="009A7C39">
      <w:pPr>
        <w:tabs>
          <w:tab w:val="left" w:pos="990"/>
        </w:tabs>
        <w:jc w:val="center"/>
        <w:rPr>
          <w:rFonts w:ascii="Arial Black" w:hAnsi="Arial Black"/>
          <w:b/>
        </w:rPr>
      </w:pPr>
      <w:r w:rsidRPr="008F7BC0">
        <w:rPr>
          <w:rFonts w:ascii="Arial Black" w:hAnsi="Arial Black"/>
          <w:b/>
        </w:rPr>
        <w:t>BIN</w:t>
      </w:r>
      <w:r w:rsidR="00EC1479">
        <w:rPr>
          <w:rFonts w:ascii="Arial Black" w:hAnsi="Arial Black"/>
          <w:b/>
        </w:rPr>
        <w:t xml:space="preserve">, </w:t>
      </w:r>
      <w:r w:rsidRPr="008F7BC0">
        <w:rPr>
          <w:rFonts w:ascii="Arial Black" w:hAnsi="Arial Black"/>
          <w:b/>
        </w:rPr>
        <w:t>PC</w:t>
      </w:r>
      <w:r w:rsidR="00EC1479">
        <w:rPr>
          <w:rFonts w:ascii="Arial Black" w:hAnsi="Arial Black"/>
          <w:b/>
        </w:rPr>
        <w:t>N</w:t>
      </w:r>
      <w:r w:rsidR="003F738F">
        <w:rPr>
          <w:rFonts w:ascii="Arial Black" w:hAnsi="Arial Black"/>
          <w:b/>
        </w:rPr>
        <w:t>,</w:t>
      </w:r>
      <w:r w:rsidR="00EC1479">
        <w:rPr>
          <w:rFonts w:ascii="Arial Black" w:hAnsi="Arial Black"/>
          <w:b/>
        </w:rPr>
        <w:t xml:space="preserve"> and</w:t>
      </w:r>
      <w:r w:rsidRPr="008F7BC0">
        <w:rPr>
          <w:rFonts w:ascii="Arial Black" w:hAnsi="Arial Black"/>
          <w:b/>
        </w:rPr>
        <w:t xml:space="preserve">/Group Numbers for ACOs, MCOs, and </w:t>
      </w:r>
      <w:r>
        <w:rPr>
          <w:rFonts w:ascii="Arial Black" w:hAnsi="Arial Black"/>
          <w:b/>
        </w:rPr>
        <w:t xml:space="preserve">the </w:t>
      </w:r>
      <w:r w:rsidRPr="008F7BC0">
        <w:rPr>
          <w:rFonts w:ascii="Arial Black" w:hAnsi="Arial Black"/>
          <w:b/>
        </w:rPr>
        <w:t>PCC Plan</w:t>
      </w:r>
    </w:p>
    <w:p w14:paraId="56AA904D" w14:textId="77777777" w:rsidR="00CC6B1A" w:rsidRPr="008F7BC0" w:rsidRDefault="00CC6B1A" w:rsidP="009A7C39">
      <w:pPr>
        <w:tabs>
          <w:tab w:val="left" w:pos="990"/>
        </w:tabs>
        <w:jc w:val="center"/>
        <w:rPr>
          <w:b/>
        </w:rPr>
      </w:pPr>
    </w:p>
    <w:p w14:paraId="633FE2D6" w14:textId="77777777" w:rsidR="003F738F" w:rsidRPr="00056D4F" w:rsidRDefault="00CC6B1A" w:rsidP="003F738F">
      <w:pPr>
        <w:rPr>
          <w:rFonts w:ascii="Arial" w:hAnsi="Arial" w:cs="Arial"/>
          <w:b/>
        </w:rPr>
      </w:pPr>
      <w:r w:rsidRPr="00123DCB">
        <w:rPr>
          <w:rFonts w:ascii="Arial" w:hAnsi="Arial" w:cs="Arial"/>
        </w:rPr>
        <w:t>The following table outlines the most recent billing and contact information for ACPPs, PCACOs, MCOs, and the PCC Plan.</w:t>
      </w:r>
      <w:r w:rsidR="003F738F">
        <w:rPr>
          <w:rFonts w:ascii="Arial" w:hAnsi="Arial" w:cs="Arial"/>
        </w:rPr>
        <w:t xml:space="preserve"> </w:t>
      </w:r>
      <w:r w:rsidR="003F738F" w:rsidRPr="00056D4F">
        <w:rPr>
          <w:rFonts w:ascii="Arial" w:hAnsi="Arial" w:cs="Arial"/>
        </w:rPr>
        <w:t xml:space="preserve">MassHealth may include updated versions of this list in a future edition of Pharmacy Facts.  </w:t>
      </w:r>
    </w:p>
    <w:p w14:paraId="686EB9F4" w14:textId="24EE19D0" w:rsidR="00CC6B1A" w:rsidRPr="00123DCB" w:rsidRDefault="00CC6B1A" w:rsidP="009A7C39">
      <w:pPr>
        <w:rPr>
          <w:rFonts w:ascii="Arial" w:hAnsi="Arial" w:cs="Arial"/>
        </w:rPr>
      </w:pPr>
    </w:p>
    <w:p w14:paraId="7AE0B9A0" w14:textId="77777777" w:rsidR="00CC6B1A" w:rsidRDefault="00CC6B1A" w:rsidP="00CC6B1A"/>
    <w:p w14:paraId="5FB2EF5D" w14:textId="58FEAD38" w:rsidR="00CC6B1A" w:rsidRPr="008F7BC0" w:rsidRDefault="00CC6B1A" w:rsidP="00CC6B1A">
      <w:r w:rsidRPr="00123DCB">
        <w:rPr>
          <w:rFonts w:ascii="Arial" w:hAnsi="Arial" w:cs="Arial"/>
          <w:b/>
          <w:bCs/>
        </w:rPr>
        <w:t>Effective April 1, 2023</w:t>
      </w:r>
    </w:p>
    <w:p w14:paraId="6E95A7A3" w14:textId="77777777" w:rsidR="00CC6B1A" w:rsidRDefault="00CC6B1A" w:rsidP="00CC6B1A"/>
    <w:p w14:paraId="7E4D04C8" w14:textId="77777777" w:rsidR="00CC6B1A" w:rsidRPr="008F7BC0" w:rsidRDefault="00CC6B1A" w:rsidP="00CC6B1A">
      <w:pPr>
        <w:sectPr w:rsidR="00CC6B1A" w:rsidRPr="008F7BC0" w:rsidSect="00F720C0">
          <w:headerReference w:type="default" r:id="rId10"/>
          <w:pgSz w:w="12240" w:h="15840" w:code="1"/>
          <w:pgMar w:top="360" w:right="907" w:bottom="432" w:left="907" w:header="720" w:footer="576" w:gutter="0"/>
          <w:cols w:sep="1"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260"/>
        <w:gridCol w:w="990"/>
        <w:gridCol w:w="1478"/>
        <w:gridCol w:w="52"/>
        <w:gridCol w:w="1440"/>
        <w:gridCol w:w="10"/>
        <w:gridCol w:w="2468"/>
        <w:gridCol w:w="8"/>
      </w:tblGrid>
      <w:tr w:rsidR="00CC6B1A" w:rsidRPr="008F7BC0" w14:paraId="515D13C2" w14:textId="77777777" w:rsidTr="006863B4">
        <w:trPr>
          <w:trHeight w:val="467"/>
          <w:jc w:val="center"/>
        </w:trPr>
        <w:tc>
          <w:tcPr>
            <w:tcW w:w="2155" w:type="dxa"/>
            <w:shd w:val="clear" w:color="auto" w:fill="F2F2F2"/>
            <w:vAlign w:val="center"/>
          </w:tcPr>
          <w:p w14:paraId="6BBD7480" w14:textId="77777777" w:rsidR="00CC6B1A" w:rsidRPr="008F7BC0" w:rsidRDefault="00CC6B1A" w:rsidP="006863B4">
            <w:pPr>
              <w:rPr>
                <w:b/>
              </w:rPr>
            </w:pPr>
            <w:r w:rsidRPr="008F7BC0">
              <w:rPr>
                <w:b/>
              </w:rPr>
              <w:t>Accountable Care Partnership Plans</w:t>
            </w:r>
          </w:p>
        </w:tc>
        <w:tc>
          <w:tcPr>
            <w:tcW w:w="1260" w:type="dxa"/>
            <w:shd w:val="clear" w:color="auto" w:fill="F2F2F2"/>
            <w:vAlign w:val="center"/>
          </w:tcPr>
          <w:p w14:paraId="5E2B387A" w14:textId="77777777" w:rsidR="00CC6B1A" w:rsidRPr="008F7BC0" w:rsidRDefault="00CC6B1A" w:rsidP="006863B4">
            <w:pPr>
              <w:rPr>
                <w:b/>
              </w:rPr>
            </w:pPr>
            <w:r w:rsidRPr="008F7BC0">
              <w:rPr>
                <w:b/>
              </w:rPr>
              <w:t>PBM</w:t>
            </w:r>
          </w:p>
        </w:tc>
        <w:tc>
          <w:tcPr>
            <w:tcW w:w="990" w:type="dxa"/>
            <w:shd w:val="clear" w:color="auto" w:fill="F2F2F2"/>
            <w:vAlign w:val="center"/>
          </w:tcPr>
          <w:p w14:paraId="3B228267" w14:textId="77777777" w:rsidR="00CC6B1A" w:rsidRPr="008F7BC0" w:rsidRDefault="00CC6B1A" w:rsidP="006863B4">
            <w:pPr>
              <w:rPr>
                <w:b/>
              </w:rPr>
            </w:pPr>
            <w:r w:rsidRPr="008F7BC0">
              <w:rPr>
                <w:b/>
              </w:rPr>
              <w:t>BIN</w:t>
            </w:r>
          </w:p>
        </w:tc>
        <w:tc>
          <w:tcPr>
            <w:tcW w:w="1478" w:type="dxa"/>
            <w:shd w:val="clear" w:color="auto" w:fill="F2F2F2"/>
            <w:vAlign w:val="center"/>
          </w:tcPr>
          <w:p w14:paraId="35F17A57" w14:textId="77777777" w:rsidR="00CC6B1A" w:rsidRPr="008F7BC0" w:rsidRDefault="00CC6B1A" w:rsidP="006863B4">
            <w:pPr>
              <w:rPr>
                <w:b/>
              </w:rPr>
            </w:pPr>
            <w:r w:rsidRPr="008F7BC0">
              <w:rPr>
                <w:b/>
              </w:rPr>
              <w:t>PCN</w:t>
            </w:r>
          </w:p>
        </w:tc>
        <w:tc>
          <w:tcPr>
            <w:tcW w:w="1502" w:type="dxa"/>
            <w:gridSpan w:val="3"/>
            <w:shd w:val="clear" w:color="auto" w:fill="F2F2F2"/>
            <w:vAlign w:val="center"/>
          </w:tcPr>
          <w:p w14:paraId="0BEF3C0B" w14:textId="77777777" w:rsidR="00CC6B1A" w:rsidRPr="008F7BC0" w:rsidRDefault="00CC6B1A" w:rsidP="006863B4">
            <w:pPr>
              <w:rPr>
                <w:b/>
              </w:rPr>
            </w:pPr>
            <w:r w:rsidRPr="008F7BC0">
              <w:rPr>
                <w:b/>
              </w:rPr>
              <w:t>Group</w:t>
            </w:r>
          </w:p>
        </w:tc>
        <w:tc>
          <w:tcPr>
            <w:tcW w:w="2476" w:type="dxa"/>
            <w:gridSpan w:val="2"/>
            <w:shd w:val="clear" w:color="auto" w:fill="F2F2F2"/>
            <w:vAlign w:val="center"/>
          </w:tcPr>
          <w:p w14:paraId="73DF1CB4" w14:textId="77777777" w:rsidR="00CC6B1A" w:rsidRPr="008F7BC0" w:rsidRDefault="00CC6B1A" w:rsidP="006863B4">
            <w:pPr>
              <w:rPr>
                <w:b/>
              </w:rPr>
            </w:pPr>
            <w:r w:rsidRPr="008F7BC0">
              <w:rPr>
                <w:b/>
              </w:rPr>
              <w:t>Pharmacy Help Desk</w:t>
            </w:r>
          </w:p>
        </w:tc>
      </w:tr>
      <w:tr w:rsidR="00CC6B1A" w:rsidRPr="008F7BC0" w14:paraId="1EFC779C" w14:textId="77777777" w:rsidTr="006863B4">
        <w:trPr>
          <w:trHeight w:val="432"/>
          <w:jc w:val="center"/>
        </w:trPr>
        <w:tc>
          <w:tcPr>
            <w:tcW w:w="2155" w:type="dxa"/>
            <w:shd w:val="clear" w:color="auto" w:fill="auto"/>
          </w:tcPr>
          <w:p w14:paraId="7ACBE8BE" w14:textId="77777777" w:rsidR="00CC6B1A" w:rsidRPr="008F7BC0" w:rsidRDefault="00CC6B1A" w:rsidP="006863B4">
            <w:r w:rsidRPr="008F7BC0">
              <w:t>Fallon Health-Atrius Health Care Collaborative</w:t>
            </w:r>
          </w:p>
        </w:tc>
        <w:tc>
          <w:tcPr>
            <w:tcW w:w="1260" w:type="dxa"/>
            <w:shd w:val="clear" w:color="auto" w:fill="auto"/>
          </w:tcPr>
          <w:p w14:paraId="7BACB71B" w14:textId="77777777" w:rsidR="00CC6B1A" w:rsidRPr="008F7BC0" w:rsidRDefault="00CC6B1A" w:rsidP="006863B4">
            <w:r w:rsidRPr="008F7BC0">
              <w:t>OptumRx</w:t>
            </w:r>
          </w:p>
        </w:tc>
        <w:tc>
          <w:tcPr>
            <w:tcW w:w="990" w:type="dxa"/>
            <w:shd w:val="clear" w:color="auto" w:fill="auto"/>
          </w:tcPr>
          <w:p w14:paraId="2BF99134" w14:textId="77777777" w:rsidR="00CC6B1A" w:rsidRPr="008F7BC0" w:rsidRDefault="00CC6B1A" w:rsidP="006863B4">
            <w:r w:rsidRPr="008F7BC0">
              <w:t xml:space="preserve">610011 </w:t>
            </w:r>
          </w:p>
        </w:tc>
        <w:tc>
          <w:tcPr>
            <w:tcW w:w="1478" w:type="dxa"/>
            <w:shd w:val="clear" w:color="auto" w:fill="auto"/>
          </w:tcPr>
          <w:p w14:paraId="20443E40" w14:textId="77777777" w:rsidR="00CC6B1A" w:rsidRPr="008F7BC0" w:rsidRDefault="00CC6B1A" w:rsidP="006863B4">
            <w:r w:rsidRPr="008F7BC0">
              <w:t xml:space="preserve">IRX </w:t>
            </w:r>
          </w:p>
        </w:tc>
        <w:tc>
          <w:tcPr>
            <w:tcW w:w="1502" w:type="dxa"/>
            <w:gridSpan w:val="3"/>
            <w:shd w:val="clear" w:color="auto" w:fill="auto"/>
          </w:tcPr>
          <w:p w14:paraId="7514E63A" w14:textId="77777777" w:rsidR="00CC6B1A" w:rsidRPr="008F7BC0" w:rsidRDefault="00CC6B1A" w:rsidP="006863B4">
            <w:r w:rsidRPr="008F7BC0">
              <w:t>FCHPMCD</w:t>
            </w:r>
          </w:p>
        </w:tc>
        <w:tc>
          <w:tcPr>
            <w:tcW w:w="2476" w:type="dxa"/>
            <w:gridSpan w:val="2"/>
            <w:shd w:val="clear" w:color="auto" w:fill="auto"/>
          </w:tcPr>
          <w:p w14:paraId="3DD13C20" w14:textId="77777777" w:rsidR="00CC6B1A" w:rsidRPr="008F7BC0" w:rsidRDefault="00CC6B1A" w:rsidP="006863B4">
            <w:r w:rsidRPr="008F7BC0">
              <w:t>(844) 368-8734</w:t>
            </w:r>
          </w:p>
        </w:tc>
      </w:tr>
      <w:tr w:rsidR="00CC6B1A" w:rsidRPr="008F7BC0" w14:paraId="212E98F0" w14:textId="77777777" w:rsidTr="006863B4">
        <w:trPr>
          <w:trHeight w:val="432"/>
          <w:jc w:val="center"/>
        </w:trPr>
        <w:tc>
          <w:tcPr>
            <w:tcW w:w="2155" w:type="dxa"/>
            <w:shd w:val="clear" w:color="auto" w:fill="auto"/>
          </w:tcPr>
          <w:p w14:paraId="5685694C" w14:textId="77777777" w:rsidR="00CC6B1A" w:rsidRPr="008F7BC0" w:rsidRDefault="00CC6B1A" w:rsidP="006863B4">
            <w:r w:rsidRPr="008F7BC0">
              <w:t>Berkshire Fallon Health Collaborative</w:t>
            </w:r>
          </w:p>
        </w:tc>
        <w:tc>
          <w:tcPr>
            <w:tcW w:w="1260" w:type="dxa"/>
            <w:shd w:val="clear" w:color="auto" w:fill="auto"/>
          </w:tcPr>
          <w:p w14:paraId="57256957" w14:textId="77777777" w:rsidR="00CC6B1A" w:rsidRPr="008F7BC0" w:rsidRDefault="00CC6B1A" w:rsidP="006863B4">
            <w:r w:rsidRPr="008F7BC0">
              <w:t>OptumRx</w:t>
            </w:r>
          </w:p>
        </w:tc>
        <w:tc>
          <w:tcPr>
            <w:tcW w:w="990" w:type="dxa"/>
            <w:shd w:val="clear" w:color="auto" w:fill="auto"/>
          </w:tcPr>
          <w:p w14:paraId="51471B8D" w14:textId="77777777" w:rsidR="00CC6B1A" w:rsidRPr="008F7BC0" w:rsidRDefault="00CC6B1A" w:rsidP="006863B4">
            <w:r w:rsidRPr="008F7BC0">
              <w:t xml:space="preserve">610011 </w:t>
            </w:r>
          </w:p>
        </w:tc>
        <w:tc>
          <w:tcPr>
            <w:tcW w:w="1478" w:type="dxa"/>
            <w:shd w:val="clear" w:color="auto" w:fill="auto"/>
          </w:tcPr>
          <w:p w14:paraId="2FF8CE1C" w14:textId="77777777" w:rsidR="00CC6B1A" w:rsidRPr="008F7BC0" w:rsidRDefault="00CC6B1A" w:rsidP="006863B4">
            <w:r w:rsidRPr="008F7BC0">
              <w:t xml:space="preserve">IRX </w:t>
            </w:r>
          </w:p>
        </w:tc>
        <w:tc>
          <w:tcPr>
            <w:tcW w:w="1502" w:type="dxa"/>
            <w:gridSpan w:val="3"/>
            <w:shd w:val="clear" w:color="auto" w:fill="auto"/>
          </w:tcPr>
          <w:p w14:paraId="7707D27F" w14:textId="77777777" w:rsidR="00CC6B1A" w:rsidRPr="008F7BC0" w:rsidRDefault="00CC6B1A" w:rsidP="006863B4">
            <w:r w:rsidRPr="008F7BC0">
              <w:t>FCHPMCD</w:t>
            </w:r>
          </w:p>
        </w:tc>
        <w:tc>
          <w:tcPr>
            <w:tcW w:w="2476" w:type="dxa"/>
            <w:gridSpan w:val="2"/>
            <w:shd w:val="clear" w:color="auto" w:fill="auto"/>
          </w:tcPr>
          <w:p w14:paraId="02235989" w14:textId="77777777" w:rsidR="00CC6B1A" w:rsidRPr="008F7BC0" w:rsidRDefault="00CC6B1A" w:rsidP="006863B4">
            <w:r w:rsidRPr="008F7BC0">
              <w:t>(844) 368-8734</w:t>
            </w:r>
          </w:p>
        </w:tc>
      </w:tr>
      <w:tr w:rsidR="00CC6B1A" w:rsidRPr="008F7BC0" w14:paraId="7D820AED" w14:textId="77777777" w:rsidTr="006863B4">
        <w:trPr>
          <w:trHeight w:val="432"/>
          <w:jc w:val="center"/>
        </w:trPr>
        <w:tc>
          <w:tcPr>
            <w:tcW w:w="2155" w:type="dxa"/>
            <w:shd w:val="clear" w:color="auto" w:fill="auto"/>
          </w:tcPr>
          <w:p w14:paraId="13AE0390" w14:textId="77777777" w:rsidR="00CC6B1A" w:rsidRPr="008F7BC0" w:rsidRDefault="00CC6B1A" w:rsidP="006863B4">
            <w:r w:rsidRPr="008F7BC0">
              <w:t>Fallon 365 Care</w:t>
            </w:r>
          </w:p>
        </w:tc>
        <w:tc>
          <w:tcPr>
            <w:tcW w:w="1260" w:type="dxa"/>
            <w:shd w:val="clear" w:color="auto" w:fill="auto"/>
          </w:tcPr>
          <w:p w14:paraId="15CB63A9" w14:textId="77777777" w:rsidR="00CC6B1A" w:rsidRPr="008F7BC0" w:rsidRDefault="00CC6B1A" w:rsidP="006863B4">
            <w:r w:rsidRPr="008F7BC0">
              <w:t>OptumRx</w:t>
            </w:r>
          </w:p>
        </w:tc>
        <w:tc>
          <w:tcPr>
            <w:tcW w:w="990" w:type="dxa"/>
            <w:shd w:val="clear" w:color="auto" w:fill="auto"/>
          </w:tcPr>
          <w:p w14:paraId="36BB14A6" w14:textId="77777777" w:rsidR="00CC6B1A" w:rsidRPr="008F7BC0" w:rsidRDefault="00CC6B1A" w:rsidP="006863B4">
            <w:r w:rsidRPr="008F7BC0">
              <w:t xml:space="preserve">610011 </w:t>
            </w:r>
          </w:p>
        </w:tc>
        <w:tc>
          <w:tcPr>
            <w:tcW w:w="1478" w:type="dxa"/>
            <w:shd w:val="clear" w:color="auto" w:fill="auto"/>
          </w:tcPr>
          <w:p w14:paraId="4213FE5E" w14:textId="77777777" w:rsidR="00CC6B1A" w:rsidRPr="008F7BC0" w:rsidRDefault="00CC6B1A" w:rsidP="006863B4">
            <w:r w:rsidRPr="008F7BC0">
              <w:t xml:space="preserve">IRX </w:t>
            </w:r>
          </w:p>
        </w:tc>
        <w:tc>
          <w:tcPr>
            <w:tcW w:w="1502" w:type="dxa"/>
            <w:gridSpan w:val="3"/>
            <w:shd w:val="clear" w:color="auto" w:fill="auto"/>
          </w:tcPr>
          <w:p w14:paraId="141242BA" w14:textId="77777777" w:rsidR="00CC6B1A" w:rsidRPr="008F7BC0" w:rsidRDefault="00CC6B1A" w:rsidP="006863B4">
            <w:r w:rsidRPr="008F7BC0">
              <w:t>FCHPMCD</w:t>
            </w:r>
          </w:p>
        </w:tc>
        <w:tc>
          <w:tcPr>
            <w:tcW w:w="2476" w:type="dxa"/>
            <w:gridSpan w:val="2"/>
            <w:shd w:val="clear" w:color="auto" w:fill="auto"/>
          </w:tcPr>
          <w:p w14:paraId="1B96A699" w14:textId="77777777" w:rsidR="00CC6B1A" w:rsidRPr="008F7BC0" w:rsidRDefault="00CC6B1A" w:rsidP="006863B4">
            <w:r w:rsidRPr="008F7BC0">
              <w:t>(844) 368-8734</w:t>
            </w:r>
          </w:p>
        </w:tc>
      </w:tr>
      <w:tr w:rsidR="00CC6B1A" w:rsidRPr="008F7BC0" w14:paraId="41D783EB" w14:textId="77777777" w:rsidTr="006863B4">
        <w:trPr>
          <w:trHeight w:val="432"/>
          <w:jc w:val="center"/>
        </w:trPr>
        <w:tc>
          <w:tcPr>
            <w:tcW w:w="2155" w:type="dxa"/>
            <w:shd w:val="clear" w:color="auto" w:fill="auto"/>
          </w:tcPr>
          <w:p w14:paraId="00EA3404" w14:textId="77777777" w:rsidR="00CC6B1A" w:rsidRPr="008F7BC0" w:rsidRDefault="00CC6B1A" w:rsidP="006863B4">
            <w:r w:rsidRPr="008F7BC0">
              <w:t>Be Healthy Partnership</w:t>
            </w:r>
            <w:r>
              <w:t xml:space="preserve"> Plan</w:t>
            </w:r>
            <w:r w:rsidRPr="008F7BC0">
              <w:t xml:space="preserve"> (HNE)</w:t>
            </w:r>
          </w:p>
        </w:tc>
        <w:tc>
          <w:tcPr>
            <w:tcW w:w="1260" w:type="dxa"/>
            <w:shd w:val="clear" w:color="auto" w:fill="auto"/>
          </w:tcPr>
          <w:p w14:paraId="33DA3221" w14:textId="77777777" w:rsidR="00CC6B1A" w:rsidRPr="008F7BC0" w:rsidRDefault="00CC6B1A" w:rsidP="006863B4">
            <w:r w:rsidRPr="008F7BC0">
              <w:t>OptumRx</w:t>
            </w:r>
          </w:p>
        </w:tc>
        <w:tc>
          <w:tcPr>
            <w:tcW w:w="990" w:type="dxa"/>
            <w:shd w:val="clear" w:color="auto" w:fill="auto"/>
          </w:tcPr>
          <w:p w14:paraId="54C1EA10" w14:textId="77777777" w:rsidR="00CC6B1A" w:rsidRPr="008F7BC0" w:rsidRDefault="00CC6B1A" w:rsidP="006863B4">
            <w:r w:rsidRPr="008F7BC0">
              <w:t>610593</w:t>
            </w:r>
          </w:p>
        </w:tc>
        <w:tc>
          <w:tcPr>
            <w:tcW w:w="1478" w:type="dxa"/>
            <w:shd w:val="clear" w:color="auto" w:fill="auto"/>
          </w:tcPr>
          <w:p w14:paraId="2E3D577F" w14:textId="77777777" w:rsidR="00CC6B1A" w:rsidRPr="008F7BC0" w:rsidRDefault="00CC6B1A" w:rsidP="006863B4">
            <w:r w:rsidRPr="008F7BC0">
              <w:t>MHP</w:t>
            </w:r>
          </w:p>
        </w:tc>
        <w:tc>
          <w:tcPr>
            <w:tcW w:w="1502" w:type="dxa"/>
            <w:gridSpan w:val="3"/>
            <w:shd w:val="clear" w:color="auto" w:fill="auto"/>
          </w:tcPr>
          <w:p w14:paraId="02525FAF" w14:textId="77777777" w:rsidR="00CC6B1A" w:rsidRPr="008F7BC0" w:rsidRDefault="00CC6B1A" w:rsidP="006863B4">
            <w:r w:rsidRPr="008F7BC0">
              <w:t>HNEMH</w:t>
            </w:r>
          </w:p>
        </w:tc>
        <w:tc>
          <w:tcPr>
            <w:tcW w:w="2476" w:type="dxa"/>
            <w:gridSpan w:val="2"/>
            <w:shd w:val="clear" w:color="auto" w:fill="auto"/>
          </w:tcPr>
          <w:p w14:paraId="2D2D670F" w14:textId="77777777" w:rsidR="00CC6B1A" w:rsidRPr="008F7BC0" w:rsidRDefault="00CC6B1A" w:rsidP="006863B4">
            <w:r w:rsidRPr="008F7BC0">
              <w:t xml:space="preserve">(800) 918-7545 </w:t>
            </w:r>
          </w:p>
        </w:tc>
      </w:tr>
      <w:tr w:rsidR="00CC6B1A" w:rsidRPr="008F7BC0" w14:paraId="6404EC47" w14:textId="77777777" w:rsidTr="004838B1">
        <w:trPr>
          <w:trHeight w:val="432"/>
          <w:jc w:val="center"/>
        </w:trPr>
        <w:tc>
          <w:tcPr>
            <w:tcW w:w="2155" w:type="dxa"/>
            <w:shd w:val="clear" w:color="auto" w:fill="auto"/>
            <w:vAlign w:val="center"/>
          </w:tcPr>
          <w:p w14:paraId="03EC9435" w14:textId="77777777" w:rsidR="00CC6B1A" w:rsidRPr="008F7BC0" w:rsidRDefault="00CC6B1A" w:rsidP="006863B4">
            <w:r w:rsidRPr="008F7BC0">
              <w:t>Mass General Brigham Health Plan with Mass</w:t>
            </w:r>
            <w:r>
              <w:t xml:space="preserve"> </w:t>
            </w:r>
            <w:r w:rsidRPr="008F7BC0">
              <w:t>General</w:t>
            </w:r>
            <w:r>
              <w:t xml:space="preserve"> Brigham ACO</w:t>
            </w:r>
          </w:p>
        </w:tc>
        <w:tc>
          <w:tcPr>
            <w:tcW w:w="1260" w:type="dxa"/>
            <w:shd w:val="clear" w:color="auto" w:fill="auto"/>
          </w:tcPr>
          <w:p w14:paraId="25FE73D2" w14:textId="77777777" w:rsidR="00CC6B1A" w:rsidRPr="008F7BC0" w:rsidRDefault="00CC6B1A" w:rsidP="006863B4">
            <w:r w:rsidRPr="008F7BC0">
              <w:t>CVS Caremark</w:t>
            </w:r>
          </w:p>
        </w:tc>
        <w:tc>
          <w:tcPr>
            <w:tcW w:w="990" w:type="dxa"/>
            <w:shd w:val="clear" w:color="auto" w:fill="auto"/>
          </w:tcPr>
          <w:p w14:paraId="2DAE0C77" w14:textId="77777777" w:rsidR="00CC6B1A" w:rsidRPr="008F7BC0" w:rsidRDefault="00CC6B1A" w:rsidP="006863B4">
            <w:r w:rsidRPr="008F7BC0">
              <w:t>004336</w:t>
            </w:r>
          </w:p>
        </w:tc>
        <w:tc>
          <w:tcPr>
            <w:tcW w:w="1478" w:type="dxa"/>
            <w:shd w:val="clear" w:color="auto" w:fill="auto"/>
          </w:tcPr>
          <w:p w14:paraId="09210E85" w14:textId="77777777" w:rsidR="00CC6B1A" w:rsidRPr="008F7BC0" w:rsidRDefault="00CC6B1A" w:rsidP="006863B4">
            <w:r w:rsidRPr="008F7BC0">
              <w:t>ADV</w:t>
            </w:r>
          </w:p>
        </w:tc>
        <w:tc>
          <w:tcPr>
            <w:tcW w:w="1502" w:type="dxa"/>
            <w:gridSpan w:val="3"/>
            <w:shd w:val="clear" w:color="auto" w:fill="auto"/>
          </w:tcPr>
          <w:p w14:paraId="5436BD43" w14:textId="77777777" w:rsidR="00CC6B1A" w:rsidRPr="008F7BC0" w:rsidRDefault="00CC6B1A" w:rsidP="006863B4">
            <w:r w:rsidRPr="008F7BC0">
              <w:t>RX1653</w:t>
            </w:r>
          </w:p>
        </w:tc>
        <w:tc>
          <w:tcPr>
            <w:tcW w:w="2476" w:type="dxa"/>
            <w:gridSpan w:val="2"/>
            <w:shd w:val="clear" w:color="auto" w:fill="auto"/>
          </w:tcPr>
          <w:p w14:paraId="53078EFA" w14:textId="77777777" w:rsidR="00CC6B1A" w:rsidRPr="008F7BC0" w:rsidRDefault="00CC6B1A" w:rsidP="004838B1">
            <w:r w:rsidRPr="008F7BC0">
              <w:t>(800) 421-2342</w:t>
            </w:r>
          </w:p>
        </w:tc>
      </w:tr>
      <w:tr w:rsidR="00CC6B1A" w:rsidRPr="008F7BC0" w14:paraId="749CE980" w14:textId="77777777" w:rsidTr="006863B4">
        <w:trPr>
          <w:trHeight w:val="432"/>
          <w:jc w:val="center"/>
        </w:trPr>
        <w:tc>
          <w:tcPr>
            <w:tcW w:w="2155" w:type="dxa"/>
            <w:shd w:val="clear" w:color="auto" w:fill="auto"/>
          </w:tcPr>
          <w:p w14:paraId="2BE9495E" w14:textId="77777777" w:rsidR="00CC6B1A" w:rsidRPr="008F7BC0" w:rsidRDefault="00CC6B1A" w:rsidP="006863B4">
            <w:r w:rsidRPr="008F7BC0">
              <w:t xml:space="preserve">Tufts Health Together with </w:t>
            </w:r>
            <w:r>
              <w:t>Cambridge Health Alliance (</w:t>
            </w:r>
            <w:r w:rsidRPr="008F7BC0">
              <w:t>CHA</w:t>
            </w:r>
            <w:r>
              <w:t>)</w:t>
            </w:r>
          </w:p>
        </w:tc>
        <w:tc>
          <w:tcPr>
            <w:tcW w:w="1260" w:type="dxa"/>
            <w:shd w:val="clear" w:color="auto" w:fill="auto"/>
          </w:tcPr>
          <w:p w14:paraId="2FB0725E" w14:textId="77777777" w:rsidR="00CC6B1A" w:rsidRPr="008F7BC0" w:rsidRDefault="00CC6B1A" w:rsidP="006863B4">
            <w:r w:rsidRPr="008F7BC0">
              <w:t>OptumRx</w:t>
            </w:r>
          </w:p>
        </w:tc>
        <w:tc>
          <w:tcPr>
            <w:tcW w:w="990" w:type="dxa"/>
            <w:shd w:val="clear" w:color="auto" w:fill="auto"/>
          </w:tcPr>
          <w:p w14:paraId="1F20441C" w14:textId="77777777" w:rsidR="00CC6B1A" w:rsidRPr="008F7BC0" w:rsidRDefault="00CC6B1A" w:rsidP="006863B4">
            <w:r w:rsidRPr="008F7BC0">
              <w:t>610011</w:t>
            </w:r>
          </w:p>
        </w:tc>
        <w:tc>
          <w:tcPr>
            <w:tcW w:w="1478" w:type="dxa"/>
            <w:shd w:val="clear" w:color="auto" w:fill="auto"/>
          </w:tcPr>
          <w:p w14:paraId="33E1B659" w14:textId="77777777" w:rsidR="00CC6B1A" w:rsidRPr="008F7BC0" w:rsidRDefault="00CC6B1A" w:rsidP="006863B4">
            <w:r w:rsidRPr="008F7BC0">
              <w:t>IRX</w:t>
            </w:r>
          </w:p>
        </w:tc>
        <w:tc>
          <w:tcPr>
            <w:tcW w:w="1502" w:type="dxa"/>
            <w:gridSpan w:val="3"/>
            <w:shd w:val="clear" w:color="auto" w:fill="auto"/>
          </w:tcPr>
          <w:p w14:paraId="751D3571" w14:textId="77777777" w:rsidR="00CC6B1A" w:rsidRPr="008F7BC0" w:rsidRDefault="00CC6B1A" w:rsidP="006863B4">
            <w:r w:rsidRPr="008F7BC0">
              <w:t>RXMCDMA</w:t>
            </w:r>
          </w:p>
        </w:tc>
        <w:tc>
          <w:tcPr>
            <w:tcW w:w="2476" w:type="dxa"/>
            <w:gridSpan w:val="2"/>
            <w:shd w:val="clear" w:color="auto" w:fill="auto"/>
          </w:tcPr>
          <w:p w14:paraId="7C982A55" w14:textId="77777777" w:rsidR="00CC6B1A" w:rsidRPr="008F7BC0" w:rsidRDefault="00CC6B1A" w:rsidP="006863B4">
            <w:r w:rsidRPr="008F7BC0">
              <w:t>(866) 828-6668</w:t>
            </w:r>
          </w:p>
        </w:tc>
      </w:tr>
      <w:tr w:rsidR="00CC6B1A" w:rsidRPr="008F7BC0" w14:paraId="65D5698B" w14:textId="77777777" w:rsidTr="006863B4">
        <w:trPr>
          <w:trHeight w:val="432"/>
          <w:jc w:val="center"/>
        </w:trPr>
        <w:tc>
          <w:tcPr>
            <w:tcW w:w="2155" w:type="dxa"/>
            <w:shd w:val="clear" w:color="auto" w:fill="auto"/>
            <w:vAlign w:val="center"/>
          </w:tcPr>
          <w:p w14:paraId="42B6BF9F" w14:textId="77777777" w:rsidR="00CC6B1A" w:rsidRPr="008F7BC0" w:rsidRDefault="00CC6B1A" w:rsidP="006863B4">
            <w:r w:rsidRPr="008F7BC0">
              <w:t>Tufts Heath Together with UMass Memorial Health</w:t>
            </w:r>
          </w:p>
        </w:tc>
        <w:tc>
          <w:tcPr>
            <w:tcW w:w="1260" w:type="dxa"/>
            <w:shd w:val="clear" w:color="auto" w:fill="auto"/>
          </w:tcPr>
          <w:p w14:paraId="77E214CB" w14:textId="77777777" w:rsidR="00CC6B1A" w:rsidRPr="008F7BC0" w:rsidRDefault="00CC6B1A" w:rsidP="006863B4">
            <w:r w:rsidRPr="008F7BC0">
              <w:t>OptumRx</w:t>
            </w:r>
          </w:p>
        </w:tc>
        <w:tc>
          <w:tcPr>
            <w:tcW w:w="990" w:type="dxa"/>
            <w:shd w:val="clear" w:color="auto" w:fill="auto"/>
          </w:tcPr>
          <w:p w14:paraId="3744AE60" w14:textId="77777777" w:rsidR="00CC6B1A" w:rsidRPr="008F7BC0" w:rsidRDefault="00CC6B1A" w:rsidP="006863B4">
            <w:r w:rsidRPr="008F7BC0">
              <w:t>610011</w:t>
            </w:r>
          </w:p>
        </w:tc>
        <w:tc>
          <w:tcPr>
            <w:tcW w:w="1478" w:type="dxa"/>
            <w:shd w:val="clear" w:color="auto" w:fill="auto"/>
          </w:tcPr>
          <w:p w14:paraId="60E271D0" w14:textId="77777777" w:rsidR="00CC6B1A" w:rsidRPr="008F7BC0" w:rsidRDefault="00CC6B1A" w:rsidP="006863B4">
            <w:r w:rsidRPr="008F7BC0">
              <w:t>IRX</w:t>
            </w:r>
          </w:p>
        </w:tc>
        <w:tc>
          <w:tcPr>
            <w:tcW w:w="1502" w:type="dxa"/>
            <w:gridSpan w:val="3"/>
            <w:shd w:val="clear" w:color="auto" w:fill="auto"/>
          </w:tcPr>
          <w:p w14:paraId="6A3529B4" w14:textId="77777777" w:rsidR="00CC6B1A" w:rsidRPr="008F7BC0" w:rsidRDefault="00CC6B1A" w:rsidP="006863B4">
            <w:r w:rsidRPr="008F7BC0">
              <w:t>RXMCDMA</w:t>
            </w:r>
          </w:p>
        </w:tc>
        <w:tc>
          <w:tcPr>
            <w:tcW w:w="2476" w:type="dxa"/>
            <w:gridSpan w:val="2"/>
            <w:shd w:val="clear" w:color="auto" w:fill="auto"/>
          </w:tcPr>
          <w:p w14:paraId="148DC2DF" w14:textId="77777777" w:rsidR="00CC6B1A" w:rsidRPr="008F7BC0" w:rsidRDefault="00CC6B1A" w:rsidP="006863B4">
            <w:r w:rsidRPr="008F7BC0">
              <w:t>(866) 828-6668</w:t>
            </w:r>
          </w:p>
          <w:p w14:paraId="1D79AEBE" w14:textId="77777777" w:rsidR="00CC6B1A" w:rsidRPr="008F7BC0" w:rsidRDefault="00CC6B1A" w:rsidP="006863B4"/>
          <w:p w14:paraId="60317EAC" w14:textId="77777777" w:rsidR="00CC6B1A" w:rsidRPr="008F7BC0" w:rsidRDefault="00CC6B1A" w:rsidP="006863B4"/>
        </w:tc>
      </w:tr>
      <w:tr w:rsidR="00CC6B1A" w:rsidRPr="008F7BC0" w14:paraId="1F2A1AC8" w14:textId="77777777" w:rsidTr="006863B4">
        <w:trPr>
          <w:trHeight w:val="432"/>
          <w:jc w:val="center"/>
        </w:trPr>
        <w:tc>
          <w:tcPr>
            <w:tcW w:w="2155" w:type="dxa"/>
            <w:shd w:val="clear" w:color="auto" w:fill="auto"/>
          </w:tcPr>
          <w:p w14:paraId="473EEA43" w14:textId="77777777" w:rsidR="00CC6B1A" w:rsidRPr="008F7BC0" w:rsidRDefault="00CC6B1A" w:rsidP="006863B4">
            <w:r w:rsidRPr="008F7BC0">
              <w:t xml:space="preserve">East Boston Neighborhood Health </w:t>
            </w:r>
            <w:proofErr w:type="spellStart"/>
            <w:r w:rsidRPr="008F7BC0">
              <w:t>WellSense</w:t>
            </w:r>
            <w:proofErr w:type="spellEnd"/>
            <w:r w:rsidRPr="008F7BC0">
              <w:t xml:space="preserve"> Alliance </w:t>
            </w:r>
          </w:p>
        </w:tc>
        <w:tc>
          <w:tcPr>
            <w:tcW w:w="1260" w:type="dxa"/>
            <w:shd w:val="clear" w:color="auto" w:fill="auto"/>
          </w:tcPr>
          <w:p w14:paraId="53ADF457" w14:textId="77777777" w:rsidR="00CC6B1A" w:rsidRPr="008F7BC0" w:rsidRDefault="00CC6B1A" w:rsidP="006863B4">
            <w:r w:rsidRPr="008F7BC0">
              <w:t>Express Scripts</w:t>
            </w:r>
          </w:p>
        </w:tc>
        <w:tc>
          <w:tcPr>
            <w:tcW w:w="990" w:type="dxa"/>
            <w:shd w:val="clear" w:color="auto" w:fill="auto"/>
          </w:tcPr>
          <w:p w14:paraId="53838BF0" w14:textId="77777777" w:rsidR="00CC6B1A" w:rsidRPr="008F7BC0" w:rsidRDefault="00CC6B1A" w:rsidP="006863B4">
            <w:r w:rsidRPr="008F7BC0">
              <w:t>003858</w:t>
            </w:r>
          </w:p>
        </w:tc>
        <w:tc>
          <w:tcPr>
            <w:tcW w:w="1478" w:type="dxa"/>
            <w:shd w:val="clear" w:color="auto" w:fill="auto"/>
          </w:tcPr>
          <w:p w14:paraId="789C6A53" w14:textId="77777777" w:rsidR="00CC6B1A" w:rsidRPr="008F7BC0" w:rsidRDefault="00CC6B1A" w:rsidP="006863B4">
            <w:r w:rsidRPr="008F7BC0">
              <w:t>MA</w:t>
            </w:r>
          </w:p>
        </w:tc>
        <w:tc>
          <w:tcPr>
            <w:tcW w:w="1502" w:type="dxa"/>
            <w:gridSpan w:val="3"/>
            <w:shd w:val="clear" w:color="auto" w:fill="auto"/>
          </w:tcPr>
          <w:p w14:paraId="23A7E0D3" w14:textId="77777777" w:rsidR="00CC6B1A" w:rsidRPr="008F7BC0" w:rsidRDefault="00CC6B1A" w:rsidP="006863B4">
            <w:r w:rsidRPr="008F7BC0">
              <w:t>MAHLTH</w:t>
            </w:r>
          </w:p>
        </w:tc>
        <w:tc>
          <w:tcPr>
            <w:tcW w:w="2476" w:type="dxa"/>
            <w:gridSpan w:val="2"/>
            <w:shd w:val="clear" w:color="auto" w:fill="auto"/>
          </w:tcPr>
          <w:p w14:paraId="7A68BD10" w14:textId="77777777" w:rsidR="00CC6B1A" w:rsidRPr="008F7BC0" w:rsidRDefault="00CC6B1A" w:rsidP="006863B4">
            <w:r w:rsidRPr="008F7BC0">
              <w:t>(877) 401-2069</w:t>
            </w:r>
          </w:p>
        </w:tc>
      </w:tr>
      <w:tr w:rsidR="00CC6B1A" w:rsidRPr="008F7BC0" w14:paraId="11A2B1AA" w14:textId="77777777" w:rsidTr="006863B4">
        <w:trPr>
          <w:trHeight w:val="432"/>
          <w:jc w:val="center"/>
        </w:trPr>
        <w:tc>
          <w:tcPr>
            <w:tcW w:w="2155" w:type="dxa"/>
            <w:shd w:val="clear" w:color="auto" w:fill="auto"/>
          </w:tcPr>
          <w:p w14:paraId="2D5229D3" w14:textId="77777777" w:rsidR="00CC6B1A" w:rsidRPr="008F7BC0" w:rsidRDefault="00CC6B1A" w:rsidP="006863B4">
            <w:proofErr w:type="spellStart"/>
            <w:r w:rsidRPr="008F7BC0">
              <w:t>Wellsense</w:t>
            </w:r>
            <w:proofErr w:type="spellEnd"/>
            <w:r w:rsidRPr="008F7BC0">
              <w:t xml:space="preserve"> </w:t>
            </w:r>
            <w:r>
              <w:t>Beth Israel Lahey Health (</w:t>
            </w:r>
            <w:r w:rsidRPr="008F7BC0">
              <w:t>BILH</w:t>
            </w:r>
            <w:r>
              <w:t xml:space="preserve">) </w:t>
            </w:r>
            <w:r w:rsidRPr="008F7BC0">
              <w:t>Performance Network ACO</w:t>
            </w:r>
          </w:p>
        </w:tc>
        <w:tc>
          <w:tcPr>
            <w:tcW w:w="1260" w:type="dxa"/>
            <w:shd w:val="clear" w:color="auto" w:fill="auto"/>
          </w:tcPr>
          <w:p w14:paraId="441B3BD9" w14:textId="77777777" w:rsidR="00CC6B1A" w:rsidRPr="008F7BC0" w:rsidRDefault="00CC6B1A" w:rsidP="006863B4">
            <w:r w:rsidRPr="008F7BC0">
              <w:t>Express Scripts</w:t>
            </w:r>
          </w:p>
        </w:tc>
        <w:tc>
          <w:tcPr>
            <w:tcW w:w="990" w:type="dxa"/>
            <w:shd w:val="clear" w:color="auto" w:fill="auto"/>
          </w:tcPr>
          <w:p w14:paraId="63D3D683" w14:textId="77777777" w:rsidR="00CC6B1A" w:rsidRPr="008F7BC0" w:rsidRDefault="00CC6B1A" w:rsidP="006863B4">
            <w:r w:rsidRPr="008F7BC0">
              <w:t>003858</w:t>
            </w:r>
          </w:p>
        </w:tc>
        <w:tc>
          <w:tcPr>
            <w:tcW w:w="1478" w:type="dxa"/>
            <w:shd w:val="clear" w:color="auto" w:fill="auto"/>
          </w:tcPr>
          <w:p w14:paraId="50D941E5" w14:textId="77777777" w:rsidR="00CC6B1A" w:rsidRPr="008F7BC0" w:rsidRDefault="00CC6B1A" w:rsidP="006863B4">
            <w:r w:rsidRPr="008F7BC0">
              <w:t>MA</w:t>
            </w:r>
          </w:p>
        </w:tc>
        <w:tc>
          <w:tcPr>
            <w:tcW w:w="1502" w:type="dxa"/>
            <w:gridSpan w:val="3"/>
            <w:shd w:val="clear" w:color="auto" w:fill="auto"/>
          </w:tcPr>
          <w:p w14:paraId="39C1D405" w14:textId="77777777" w:rsidR="00CC6B1A" w:rsidRPr="008F7BC0" w:rsidRDefault="00CC6B1A" w:rsidP="006863B4">
            <w:r w:rsidRPr="008F7BC0">
              <w:t>MAHLTH</w:t>
            </w:r>
          </w:p>
        </w:tc>
        <w:tc>
          <w:tcPr>
            <w:tcW w:w="2476" w:type="dxa"/>
            <w:gridSpan w:val="2"/>
            <w:shd w:val="clear" w:color="auto" w:fill="auto"/>
          </w:tcPr>
          <w:p w14:paraId="5BEF97E2" w14:textId="77777777" w:rsidR="00CC6B1A" w:rsidRPr="008F7BC0" w:rsidRDefault="00CC6B1A" w:rsidP="006863B4">
            <w:r w:rsidRPr="008F7BC0">
              <w:t>(877) 401-2069</w:t>
            </w:r>
          </w:p>
        </w:tc>
      </w:tr>
      <w:tr w:rsidR="00CC6B1A" w:rsidRPr="008F7BC0" w14:paraId="40398CA6" w14:textId="77777777" w:rsidTr="006863B4">
        <w:trPr>
          <w:trHeight w:val="432"/>
          <w:jc w:val="center"/>
        </w:trPr>
        <w:tc>
          <w:tcPr>
            <w:tcW w:w="2155" w:type="dxa"/>
            <w:shd w:val="clear" w:color="auto" w:fill="auto"/>
            <w:vAlign w:val="center"/>
          </w:tcPr>
          <w:p w14:paraId="29868433" w14:textId="77777777" w:rsidR="00CC6B1A" w:rsidRPr="008F7BC0" w:rsidRDefault="00CC6B1A" w:rsidP="006863B4">
            <w:proofErr w:type="spellStart"/>
            <w:r w:rsidRPr="008F7BC0">
              <w:t>WellSense</w:t>
            </w:r>
            <w:proofErr w:type="spellEnd"/>
            <w:r w:rsidRPr="008F7BC0">
              <w:t xml:space="preserve"> Boston Children’s ACO</w:t>
            </w:r>
          </w:p>
        </w:tc>
        <w:tc>
          <w:tcPr>
            <w:tcW w:w="1260" w:type="dxa"/>
            <w:shd w:val="clear" w:color="auto" w:fill="auto"/>
          </w:tcPr>
          <w:p w14:paraId="288A7045" w14:textId="77777777" w:rsidR="00CC6B1A" w:rsidRPr="008F7BC0" w:rsidRDefault="00CC6B1A" w:rsidP="006863B4">
            <w:r w:rsidRPr="008F7BC0">
              <w:t>Express Scripts</w:t>
            </w:r>
          </w:p>
        </w:tc>
        <w:tc>
          <w:tcPr>
            <w:tcW w:w="990" w:type="dxa"/>
            <w:shd w:val="clear" w:color="auto" w:fill="auto"/>
          </w:tcPr>
          <w:p w14:paraId="6201D571" w14:textId="77777777" w:rsidR="00CC6B1A" w:rsidRPr="008F7BC0" w:rsidRDefault="00CC6B1A" w:rsidP="006863B4">
            <w:r w:rsidRPr="008F7BC0">
              <w:t>003858</w:t>
            </w:r>
          </w:p>
        </w:tc>
        <w:tc>
          <w:tcPr>
            <w:tcW w:w="1478" w:type="dxa"/>
            <w:shd w:val="clear" w:color="auto" w:fill="auto"/>
          </w:tcPr>
          <w:p w14:paraId="7B6629BD" w14:textId="77777777" w:rsidR="00CC6B1A" w:rsidRPr="008F7BC0" w:rsidRDefault="00CC6B1A" w:rsidP="006863B4">
            <w:r w:rsidRPr="008F7BC0">
              <w:t>MA</w:t>
            </w:r>
          </w:p>
        </w:tc>
        <w:tc>
          <w:tcPr>
            <w:tcW w:w="1502" w:type="dxa"/>
            <w:gridSpan w:val="3"/>
            <w:shd w:val="clear" w:color="auto" w:fill="auto"/>
          </w:tcPr>
          <w:p w14:paraId="195C21C3" w14:textId="77777777" w:rsidR="00CC6B1A" w:rsidRPr="008F7BC0" w:rsidRDefault="00CC6B1A" w:rsidP="006863B4">
            <w:r w:rsidRPr="008F7BC0">
              <w:t>MAHLTH</w:t>
            </w:r>
          </w:p>
        </w:tc>
        <w:tc>
          <w:tcPr>
            <w:tcW w:w="2476" w:type="dxa"/>
            <w:gridSpan w:val="2"/>
            <w:shd w:val="clear" w:color="auto" w:fill="auto"/>
          </w:tcPr>
          <w:p w14:paraId="7E87F11B" w14:textId="77777777" w:rsidR="00CC6B1A" w:rsidRPr="008F7BC0" w:rsidRDefault="00CC6B1A" w:rsidP="006863B4">
            <w:r w:rsidRPr="008F7BC0">
              <w:t>(877) 401-2069</w:t>
            </w:r>
          </w:p>
        </w:tc>
      </w:tr>
      <w:tr w:rsidR="00CC6B1A" w:rsidRPr="008F7BC0" w14:paraId="06FEB298" w14:textId="77777777" w:rsidTr="006863B4">
        <w:trPr>
          <w:trHeight w:val="432"/>
          <w:jc w:val="center"/>
        </w:trPr>
        <w:tc>
          <w:tcPr>
            <w:tcW w:w="2155" w:type="dxa"/>
            <w:shd w:val="clear" w:color="auto" w:fill="auto"/>
          </w:tcPr>
          <w:p w14:paraId="7AD58F3F" w14:textId="77777777" w:rsidR="00CC6B1A" w:rsidRPr="008F7BC0" w:rsidRDefault="00CC6B1A" w:rsidP="006863B4">
            <w:proofErr w:type="spellStart"/>
            <w:r w:rsidRPr="008F7BC0">
              <w:t>WellSense</w:t>
            </w:r>
            <w:proofErr w:type="spellEnd"/>
            <w:r w:rsidRPr="008F7BC0">
              <w:t xml:space="preserve"> Care Alliance</w:t>
            </w:r>
          </w:p>
        </w:tc>
        <w:tc>
          <w:tcPr>
            <w:tcW w:w="1260" w:type="dxa"/>
            <w:shd w:val="clear" w:color="auto" w:fill="auto"/>
          </w:tcPr>
          <w:p w14:paraId="6DE56702" w14:textId="77777777" w:rsidR="00CC6B1A" w:rsidRPr="008F7BC0" w:rsidRDefault="00CC6B1A" w:rsidP="006863B4">
            <w:r w:rsidRPr="008F7BC0">
              <w:t>Express Scripts</w:t>
            </w:r>
          </w:p>
        </w:tc>
        <w:tc>
          <w:tcPr>
            <w:tcW w:w="990" w:type="dxa"/>
            <w:shd w:val="clear" w:color="auto" w:fill="auto"/>
          </w:tcPr>
          <w:p w14:paraId="14ADB323" w14:textId="77777777" w:rsidR="00CC6B1A" w:rsidRPr="008F7BC0" w:rsidRDefault="00CC6B1A" w:rsidP="006863B4">
            <w:r w:rsidRPr="008F7BC0">
              <w:t>003858</w:t>
            </w:r>
          </w:p>
        </w:tc>
        <w:tc>
          <w:tcPr>
            <w:tcW w:w="1478" w:type="dxa"/>
            <w:shd w:val="clear" w:color="auto" w:fill="auto"/>
          </w:tcPr>
          <w:p w14:paraId="66BDFF7C" w14:textId="77777777" w:rsidR="00CC6B1A" w:rsidRPr="008F7BC0" w:rsidRDefault="00CC6B1A" w:rsidP="006863B4">
            <w:r w:rsidRPr="008F7BC0">
              <w:t>MA</w:t>
            </w:r>
          </w:p>
        </w:tc>
        <w:tc>
          <w:tcPr>
            <w:tcW w:w="1502" w:type="dxa"/>
            <w:gridSpan w:val="3"/>
            <w:shd w:val="clear" w:color="auto" w:fill="auto"/>
          </w:tcPr>
          <w:p w14:paraId="21FF139D" w14:textId="77777777" w:rsidR="00CC6B1A" w:rsidRPr="008F7BC0" w:rsidRDefault="00CC6B1A" w:rsidP="006863B4">
            <w:r w:rsidRPr="008F7BC0">
              <w:t>MAHLTH</w:t>
            </w:r>
          </w:p>
        </w:tc>
        <w:tc>
          <w:tcPr>
            <w:tcW w:w="2476" w:type="dxa"/>
            <w:gridSpan w:val="2"/>
            <w:shd w:val="clear" w:color="auto" w:fill="auto"/>
          </w:tcPr>
          <w:p w14:paraId="51A02029" w14:textId="77777777" w:rsidR="00CC6B1A" w:rsidRPr="008F7BC0" w:rsidRDefault="00CC6B1A" w:rsidP="006863B4">
            <w:r w:rsidRPr="008F7BC0">
              <w:t>(877) 401-2069</w:t>
            </w:r>
          </w:p>
        </w:tc>
      </w:tr>
      <w:tr w:rsidR="00CC6B1A" w:rsidRPr="008F7BC0" w14:paraId="16DA99D8" w14:textId="77777777" w:rsidTr="006863B4">
        <w:trPr>
          <w:trHeight w:val="432"/>
          <w:jc w:val="center"/>
        </w:trPr>
        <w:tc>
          <w:tcPr>
            <w:tcW w:w="2155" w:type="dxa"/>
            <w:shd w:val="clear" w:color="auto" w:fill="auto"/>
          </w:tcPr>
          <w:p w14:paraId="741621B2" w14:textId="77777777" w:rsidR="00CC6B1A" w:rsidRPr="008F7BC0" w:rsidRDefault="00CC6B1A" w:rsidP="006863B4">
            <w:proofErr w:type="spellStart"/>
            <w:r w:rsidRPr="008F7BC0">
              <w:lastRenderedPageBreak/>
              <w:t>WellSense</w:t>
            </w:r>
            <w:proofErr w:type="spellEnd"/>
            <w:r w:rsidRPr="008F7BC0">
              <w:t xml:space="preserve"> Community Alliance</w:t>
            </w:r>
          </w:p>
        </w:tc>
        <w:tc>
          <w:tcPr>
            <w:tcW w:w="1260" w:type="dxa"/>
            <w:shd w:val="clear" w:color="auto" w:fill="auto"/>
          </w:tcPr>
          <w:p w14:paraId="10179783" w14:textId="77777777" w:rsidR="00CC6B1A" w:rsidRPr="008F7BC0" w:rsidRDefault="00CC6B1A" w:rsidP="006863B4">
            <w:r w:rsidRPr="008F7BC0">
              <w:t>Express Scripts</w:t>
            </w:r>
          </w:p>
        </w:tc>
        <w:tc>
          <w:tcPr>
            <w:tcW w:w="990" w:type="dxa"/>
            <w:shd w:val="clear" w:color="auto" w:fill="auto"/>
          </w:tcPr>
          <w:p w14:paraId="741C3B27" w14:textId="77777777" w:rsidR="00CC6B1A" w:rsidRPr="008F7BC0" w:rsidRDefault="00CC6B1A" w:rsidP="006863B4">
            <w:r w:rsidRPr="008F7BC0">
              <w:t>003858</w:t>
            </w:r>
          </w:p>
        </w:tc>
        <w:tc>
          <w:tcPr>
            <w:tcW w:w="1478" w:type="dxa"/>
            <w:shd w:val="clear" w:color="auto" w:fill="auto"/>
          </w:tcPr>
          <w:p w14:paraId="7A163AB4" w14:textId="77777777" w:rsidR="00CC6B1A" w:rsidRPr="008F7BC0" w:rsidRDefault="00CC6B1A" w:rsidP="006863B4">
            <w:r w:rsidRPr="008F7BC0">
              <w:t>MA</w:t>
            </w:r>
          </w:p>
        </w:tc>
        <w:tc>
          <w:tcPr>
            <w:tcW w:w="1502" w:type="dxa"/>
            <w:gridSpan w:val="3"/>
            <w:shd w:val="clear" w:color="auto" w:fill="auto"/>
          </w:tcPr>
          <w:p w14:paraId="41D70F31" w14:textId="77777777" w:rsidR="00CC6B1A" w:rsidRPr="008F7BC0" w:rsidRDefault="00CC6B1A" w:rsidP="006863B4">
            <w:r w:rsidRPr="008F7BC0">
              <w:t>MAHLTH</w:t>
            </w:r>
          </w:p>
        </w:tc>
        <w:tc>
          <w:tcPr>
            <w:tcW w:w="2476" w:type="dxa"/>
            <w:gridSpan w:val="2"/>
            <w:shd w:val="clear" w:color="auto" w:fill="auto"/>
          </w:tcPr>
          <w:p w14:paraId="726E91C1" w14:textId="77777777" w:rsidR="00CC6B1A" w:rsidRPr="008F7BC0" w:rsidRDefault="00CC6B1A" w:rsidP="006863B4">
            <w:r w:rsidRPr="008F7BC0">
              <w:t>(877) 401-2069</w:t>
            </w:r>
          </w:p>
        </w:tc>
      </w:tr>
      <w:tr w:rsidR="00CC6B1A" w:rsidRPr="008F7BC0" w14:paraId="1BB42ACD" w14:textId="77777777" w:rsidTr="006863B4">
        <w:trPr>
          <w:trHeight w:val="432"/>
          <w:jc w:val="center"/>
        </w:trPr>
        <w:tc>
          <w:tcPr>
            <w:tcW w:w="2155" w:type="dxa"/>
            <w:shd w:val="clear" w:color="auto" w:fill="auto"/>
            <w:vAlign w:val="center"/>
          </w:tcPr>
          <w:p w14:paraId="5B4CA957" w14:textId="77777777" w:rsidR="00CC6B1A" w:rsidRPr="008F7BC0" w:rsidRDefault="00CC6B1A" w:rsidP="006863B4">
            <w:proofErr w:type="spellStart"/>
            <w:r w:rsidRPr="008F7BC0">
              <w:t>WellSense</w:t>
            </w:r>
            <w:proofErr w:type="spellEnd"/>
            <w:r w:rsidRPr="008F7BC0">
              <w:t xml:space="preserve"> Mercy Alliance</w:t>
            </w:r>
          </w:p>
        </w:tc>
        <w:tc>
          <w:tcPr>
            <w:tcW w:w="1260" w:type="dxa"/>
            <w:shd w:val="clear" w:color="auto" w:fill="auto"/>
          </w:tcPr>
          <w:p w14:paraId="27095F73" w14:textId="77777777" w:rsidR="00CC6B1A" w:rsidRPr="008F7BC0" w:rsidRDefault="00CC6B1A" w:rsidP="006863B4">
            <w:r w:rsidRPr="008F7BC0">
              <w:t>Express Scripts</w:t>
            </w:r>
          </w:p>
        </w:tc>
        <w:tc>
          <w:tcPr>
            <w:tcW w:w="990" w:type="dxa"/>
            <w:shd w:val="clear" w:color="auto" w:fill="auto"/>
          </w:tcPr>
          <w:p w14:paraId="2D9F8762" w14:textId="77777777" w:rsidR="00CC6B1A" w:rsidRPr="008F7BC0" w:rsidRDefault="00CC6B1A" w:rsidP="006863B4">
            <w:r w:rsidRPr="008F7BC0">
              <w:t>003858</w:t>
            </w:r>
          </w:p>
        </w:tc>
        <w:tc>
          <w:tcPr>
            <w:tcW w:w="1478" w:type="dxa"/>
            <w:shd w:val="clear" w:color="auto" w:fill="auto"/>
          </w:tcPr>
          <w:p w14:paraId="5C1994D0" w14:textId="77777777" w:rsidR="00CC6B1A" w:rsidRPr="008F7BC0" w:rsidRDefault="00CC6B1A" w:rsidP="006863B4">
            <w:r w:rsidRPr="008F7BC0">
              <w:t>MA</w:t>
            </w:r>
          </w:p>
        </w:tc>
        <w:tc>
          <w:tcPr>
            <w:tcW w:w="1502" w:type="dxa"/>
            <w:gridSpan w:val="3"/>
            <w:shd w:val="clear" w:color="auto" w:fill="auto"/>
          </w:tcPr>
          <w:p w14:paraId="5C6EE413" w14:textId="77777777" w:rsidR="00CC6B1A" w:rsidRPr="008F7BC0" w:rsidRDefault="00CC6B1A" w:rsidP="006863B4">
            <w:r w:rsidRPr="008F7BC0">
              <w:t>MAHLTH</w:t>
            </w:r>
          </w:p>
        </w:tc>
        <w:tc>
          <w:tcPr>
            <w:tcW w:w="2476" w:type="dxa"/>
            <w:gridSpan w:val="2"/>
            <w:shd w:val="clear" w:color="auto" w:fill="auto"/>
            <w:vAlign w:val="center"/>
          </w:tcPr>
          <w:p w14:paraId="2530980D" w14:textId="77777777" w:rsidR="00CC6B1A" w:rsidRPr="008F7BC0" w:rsidRDefault="00CC6B1A" w:rsidP="006863B4">
            <w:r w:rsidRPr="008F7BC0">
              <w:t>(877) 401-2069</w:t>
            </w:r>
          </w:p>
          <w:p w14:paraId="5445FAD2" w14:textId="77777777" w:rsidR="00CC6B1A" w:rsidRPr="008F7BC0" w:rsidRDefault="00CC6B1A" w:rsidP="006863B4">
            <w:r w:rsidRPr="008F7BC0">
              <w:t>(ESI)</w:t>
            </w:r>
          </w:p>
        </w:tc>
      </w:tr>
      <w:tr w:rsidR="00CC6B1A" w:rsidRPr="008F7BC0" w14:paraId="5F96392F" w14:textId="77777777" w:rsidTr="006863B4">
        <w:trPr>
          <w:trHeight w:val="748"/>
          <w:jc w:val="center"/>
        </w:trPr>
        <w:tc>
          <w:tcPr>
            <w:tcW w:w="2155" w:type="dxa"/>
            <w:shd w:val="clear" w:color="auto" w:fill="auto"/>
            <w:vAlign w:val="center"/>
          </w:tcPr>
          <w:p w14:paraId="69DAAC26" w14:textId="77777777" w:rsidR="00CC6B1A" w:rsidRPr="008F7BC0" w:rsidRDefault="00CC6B1A" w:rsidP="006863B4">
            <w:proofErr w:type="spellStart"/>
            <w:r w:rsidRPr="008F7BC0">
              <w:t>WellSense</w:t>
            </w:r>
            <w:proofErr w:type="spellEnd"/>
            <w:r w:rsidRPr="008F7BC0">
              <w:t xml:space="preserve"> Signature Alliance</w:t>
            </w:r>
          </w:p>
        </w:tc>
        <w:tc>
          <w:tcPr>
            <w:tcW w:w="1260" w:type="dxa"/>
            <w:shd w:val="clear" w:color="auto" w:fill="auto"/>
          </w:tcPr>
          <w:p w14:paraId="050B180F" w14:textId="77777777" w:rsidR="00CC6B1A" w:rsidRPr="008F7BC0" w:rsidRDefault="00CC6B1A" w:rsidP="006863B4">
            <w:r w:rsidRPr="008F7BC0">
              <w:t>Express Scripts</w:t>
            </w:r>
          </w:p>
        </w:tc>
        <w:tc>
          <w:tcPr>
            <w:tcW w:w="990" w:type="dxa"/>
            <w:shd w:val="clear" w:color="auto" w:fill="auto"/>
          </w:tcPr>
          <w:p w14:paraId="15A69A4B" w14:textId="77777777" w:rsidR="00CC6B1A" w:rsidRPr="008F7BC0" w:rsidRDefault="00CC6B1A" w:rsidP="006863B4">
            <w:r w:rsidRPr="008F7BC0">
              <w:t>003858</w:t>
            </w:r>
          </w:p>
        </w:tc>
        <w:tc>
          <w:tcPr>
            <w:tcW w:w="1478" w:type="dxa"/>
            <w:shd w:val="clear" w:color="auto" w:fill="auto"/>
          </w:tcPr>
          <w:p w14:paraId="3379F47B" w14:textId="77777777" w:rsidR="00CC6B1A" w:rsidRPr="008F7BC0" w:rsidRDefault="00CC6B1A" w:rsidP="006863B4">
            <w:r w:rsidRPr="008F7BC0">
              <w:t>MA</w:t>
            </w:r>
          </w:p>
        </w:tc>
        <w:tc>
          <w:tcPr>
            <w:tcW w:w="1502" w:type="dxa"/>
            <w:gridSpan w:val="3"/>
            <w:shd w:val="clear" w:color="auto" w:fill="auto"/>
          </w:tcPr>
          <w:p w14:paraId="68A4E63A" w14:textId="77777777" w:rsidR="00CC6B1A" w:rsidRPr="008F7BC0" w:rsidRDefault="00CC6B1A" w:rsidP="006863B4">
            <w:r w:rsidRPr="008F7BC0">
              <w:t>MAHLTH</w:t>
            </w:r>
          </w:p>
        </w:tc>
        <w:tc>
          <w:tcPr>
            <w:tcW w:w="2476" w:type="dxa"/>
            <w:gridSpan w:val="2"/>
            <w:shd w:val="clear" w:color="auto" w:fill="auto"/>
            <w:vAlign w:val="center"/>
          </w:tcPr>
          <w:p w14:paraId="19212D38" w14:textId="77777777" w:rsidR="00CC6B1A" w:rsidRPr="008F7BC0" w:rsidRDefault="00CC6B1A" w:rsidP="006863B4">
            <w:r w:rsidRPr="008F7BC0">
              <w:t>(877) 401-2069</w:t>
            </w:r>
          </w:p>
          <w:p w14:paraId="28D07145" w14:textId="77777777" w:rsidR="00CC6B1A" w:rsidRPr="008F7BC0" w:rsidRDefault="00CC6B1A" w:rsidP="006863B4">
            <w:r w:rsidRPr="008F7BC0">
              <w:t>(ESI)</w:t>
            </w:r>
          </w:p>
        </w:tc>
      </w:tr>
      <w:tr w:rsidR="00CC6B1A" w:rsidRPr="008F7BC0" w14:paraId="5CD54FF5" w14:textId="77777777" w:rsidTr="006863B4">
        <w:trPr>
          <w:trHeight w:val="432"/>
          <w:jc w:val="center"/>
        </w:trPr>
        <w:tc>
          <w:tcPr>
            <w:tcW w:w="2155" w:type="dxa"/>
            <w:shd w:val="clear" w:color="auto" w:fill="auto"/>
            <w:vAlign w:val="center"/>
          </w:tcPr>
          <w:p w14:paraId="211CA71A" w14:textId="77777777" w:rsidR="00CC6B1A" w:rsidRPr="008F7BC0" w:rsidRDefault="00CC6B1A" w:rsidP="006863B4">
            <w:proofErr w:type="spellStart"/>
            <w:r w:rsidRPr="008F7BC0">
              <w:t>WellSense</w:t>
            </w:r>
            <w:proofErr w:type="spellEnd"/>
            <w:r w:rsidRPr="008F7BC0">
              <w:t xml:space="preserve"> Southcoast Alliance</w:t>
            </w:r>
          </w:p>
        </w:tc>
        <w:tc>
          <w:tcPr>
            <w:tcW w:w="1260" w:type="dxa"/>
            <w:shd w:val="clear" w:color="auto" w:fill="auto"/>
          </w:tcPr>
          <w:p w14:paraId="634360EB" w14:textId="77777777" w:rsidR="00CC6B1A" w:rsidRPr="008F7BC0" w:rsidRDefault="00CC6B1A" w:rsidP="006863B4">
            <w:r w:rsidRPr="008F7BC0">
              <w:t>Express Scripts</w:t>
            </w:r>
          </w:p>
        </w:tc>
        <w:tc>
          <w:tcPr>
            <w:tcW w:w="990" w:type="dxa"/>
            <w:shd w:val="clear" w:color="auto" w:fill="auto"/>
          </w:tcPr>
          <w:p w14:paraId="2AE9F45C" w14:textId="77777777" w:rsidR="00CC6B1A" w:rsidRPr="008F7BC0" w:rsidRDefault="00CC6B1A" w:rsidP="006863B4">
            <w:r w:rsidRPr="008F7BC0">
              <w:t>003858</w:t>
            </w:r>
          </w:p>
        </w:tc>
        <w:tc>
          <w:tcPr>
            <w:tcW w:w="1478" w:type="dxa"/>
            <w:shd w:val="clear" w:color="auto" w:fill="auto"/>
          </w:tcPr>
          <w:p w14:paraId="6C5030DB" w14:textId="77777777" w:rsidR="00CC6B1A" w:rsidRPr="008F7BC0" w:rsidRDefault="00CC6B1A" w:rsidP="006863B4">
            <w:r w:rsidRPr="008F7BC0">
              <w:t>MA</w:t>
            </w:r>
          </w:p>
        </w:tc>
        <w:tc>
          <w:tcPr>
            <w:tcW w:w="1502" w:type="dxa"/>
            <w:gridSpan w:val="3"/>
            <w:shd w:val="clear" w:color="auto" w:fill="auto"/>
          </w:tcPr>
          <w:p w14:paraId="5B6F2DAE" w14:textId="77777777" w:rsidR="00CC6B1A" w:rsidRPr="008F7BC0" w:rsidRDefault="00CC6B1A" w:rsidP="006863B4">
            <w:r w:rsidRPr="008F7BC0">
              <w:t>MAHLTH</w:t>
            </w:r>
          </w:p>
        </w:tc>
        <w:tc>
          <w:tcPr>
            <w:tcW w:w="2476" w:type="dxa"/>
            <w:gridSpan w:val="2"/>
            <w:shd w:val="clear" w:color="auto" w:fill="auto"/>
            <w:vAlign w:val="center"/>
          </w:tcPr>
          <w:p w14:paraId="53384A3F" w14:textId="77777777" w:rsidR="00CC6B1A" w:rsidRPr="008F7BC0" w:rsidRDefault="00CC6B1A" w:rsidP="006863B4">
            <w:r w:rsidRPr="008F7BC0">
              <w:t>(877) 401-2069</w:t>
            </w:r>
          </w:p>
          <w:p w14:paraId="31852B27" w14:textId="77777777" w:rsidR="00CC6B1A" w:rsidRPr="008F7BC0" w:rsidRDefault="00CC6B1A" w:rsidP="006863B4">
            <w:r w:rsidRPr="008F7BC0">
              <w:t>(ESI)</w:t>
            </w:r>
          </w:p>
        </w:tc>
      </w:tr>
      <w:tr w:rsidR="00CC6B1A" w:rsidRPr="008F7BC0" w14:paraId="66C1A6CC" w14:textId="77777777" w:rsidTr="006863B4">
        <w:trPr>
          <w:gridAfter w:val="1"/>
          <w:wAfter w:w="8" w:type="dxa"/>
          <w:trHeight w:val="432"/>
          <w:jc w:val="center"/>
        </w:trPr>
        <w:tc>
          <w:tcPr>
            <w:tcW w:w="2155" w:type="dxa"/>
            <w:shd w:val="clear" w:color="auto" w:fill="F2F2F2"/>
            <w:vAlign w:val="center"/>
          </w:tcPr>
          <w:p w14:paraId="7E694D35" w14:textId="77777777" w:rsidR="00CC6B1A" w:rsidRPr="008F7BC0" w:rsidRDefault="00CC6B1A" w:rsidP="006863B4">
            <w:pPr>
              <w:rPr>
                <w:b/>
              </w:rPr>
            </w:pPr>
            <w:r w:rsidRPr="008F7BC0">
              <w:rPr>
                <w:b/>
              </w:rPr>
              <w:t>Primary Care ACOs</w:t>
            </w:r>
          </w:p>
        </w:tc>
        <w:tc>
          <w:tcPr>
            <w:tcW w:w="1260" w:type="dxa"/>
            <w:shd w:val="clear" w:color="auto" w:fill="F2F2F2"/>
            <w:vAlign w:val="center"/>
          </w:tcPr>
          <w:p w14:paraId="28C3D6FA" w14:textId="77777777" w:rsidR="00CC6B1A" w:rsidRPr="008F7BC0" w:rsidRDefault="00CC6B1A" w:rsidP="006863B4">
            <w:pPr>
              <w:rPr>
                <w:b/>
              </w:rPr>
            </w:pPr>
            <w:r w:rsidRPr="008F7BC0">
              <w:rPr>
                <w:b/>
              </w:rPr>
              <w:t>PBM</w:t>
            </w:r>
          </w:p>
        </w:tc>
        <w:tc>
          <w:tcPr>
            <w:tcW w:w="990" w:type="dxa"/>
            <w:shd w:val="clear" w:color="auto" w:fill="F2F2F2"/>
            <w:vAlign w:val="center"/>
          </w:tcPr>
          <w:p w14:paraId="7C1AFDDF" w14:textId="77777777" w:rsidR="00CC6B1A" w:rsidRPr="008F7BC0" w:rsidRDefault="00CC6B1A" w:rsidP="006863B4">
            <w:pPr>
              <w:rPr>
                <w:b/>
              </w:rPr>
            </w:pPr>
            <w:r w:rsidRPr="008F7BC0">
              <w:rPr>
                <w:b/>
              </w:rPr>
              <w:t>BIN</w:t>
            </w:r>
          </w:p>
        </w:tc>
        <w:tc>
          <w:tcPr>
            <w:tcW w:w="1530" w:type="dxa"/>
            <w:gridSpan w:val="2"/>
            <w:shd w:val="clear" w:color="auto" w:fill="F2F2F2"/>
            <w:vAlign w:val="center"/>
          </w:tcPr>
          <w:p w14:paraId="328A5809" w14:textId="77777777" w:rsidR="00CC6B1A" w:rsidRPr="008F7BC0" w:rsidRDefault="00CC6B1A" w:rsidP="006863B4">
            <w:pPr>
              <w:rPr>
                <w:b/>
              </w:rPr>
            </w:pPr>
            <w:r w:rsidRPr="008F7BC0">
              <w:rPr>
                <w:b/>
              </w:rPr>
              <w:t>PCN</w:t>
            </w:r>
          </w:p>
        </w:tc>
        <w:tc>
          <w:tcPr>
            <w:tcW w:w="1440" w:type="dxa"/>
            <w:shd w:val="clear" w:color="auto" w:fill="F2F2F2"/>
            <w:vAlign w:val="center"/>
          </w:tcPr>
          <w:p w14:paraId="00602D36" w14:textId="77777777" w:rsidR="00CC6B1A" w:rsidRPr="008F7BC0" w:rsidRDefault="00CC6B1A" w:rsidP="006863B4">
            <w:pPr>
              <w:rPr>
                <w:b/>
              </w:rPr>
            </w:pPr>
            <w:r w:rsidRPr="008F7BC0">
              <w:rPr>
                <w:b/>
              </w:rPr>
              <w:t>Group</w:t>
            </w:r>
          </w:p>
        </w:tc>
        <w:tc>
          <w:tcPr>
            <w:tcW w:w="2478" w:type="dxa"/>
            <w:gridSpan w:val="2"/>
            <w:shd w:val="clear" w:color="auto" w:fill="F2F2F2"/>
            <w:vAlign w:val="center"/>
          </w:tcPr>
          <w:p w14:paraId="04B31F3A" w14:textId="77777777" w:rsidR="00CC6B1A" w:rsidRPr="008F7BC0" w:rsidRDefault="00CC6B1A" w:rsidP="006863B4">
            <w:pPr>
              <w:rPr>
                <w:b/>
              </w:rPr>
            </w:pPr>
            <w:r w:rsidRPr="008F7BC0">
              <w:rPr>
                <w:b/>
              </w:rPr>
              <w:t>Pharmacy Help Desk</w:t>
            </w:r>
          </w:p>
        </w:tc>
      </w:tr>
      <w:tr w:rsidR="00CC6B1A" w:rsidRPr="008F7BC0" w14:paraId="6566F5BE" w14:textId="77777777" w:rsidTr="006863B4">
        <w:trPr>
          <w:gridAfter w:val="1"/>
          <w:wAfter w:w="8" w:type="dxa"/>
          <w:trHeight w:val="432"/>
          <w:jc w:val="center"/>
        </w:trPr>
        <w:tc>
          <w:tcPr>
            <w:tcW w:w="2155" w:type="dxa"/>
            <w:shd w:val="clear" w:color="auto" w:fill="auto"/>
            <w:vAlign w:val="center"/>
          </w:tcPr>
          <w:p w14:paraId="2E28C733" w14:textId="77777777" w:rsidR="00CC6B1A" w:rsidRPr="008F7BC0" w:rsidRDefault="00CC6B1A" w:rsidP="006863B4">
            <w:r w:rsidRPr="008F7BC0">
              <w:t xml:space="preserve">Community Care Cooperative </w:t>
            </w:r>
            <w:r>
              <w:t>(C3)</w:t>
            </w:r>
          </w:p>
        </w:tc>
        <w:tc>
          <w:tcPr>
            <w:tcW w:w="1260" w:type="dxa"/>
            <w:shd w:val="clear" w:color="auto" w:fill="auto"/>
            <w:vAlign w:val="center"/>
          </w:tcPr>
          <w:p w14:paraId="6D6EB01D" w14:textId="77777777" w:rsidR="00CC6B1A" w:rsidRPr="008F7BC0" w:rsidRDefault="00CC6B1A" w:rsidP="006863B4">
            <w:r w:rsidRPr="008F7BC0">
              <w:t>Conduent</w:t>
            </w:r>
          </w:p>
        </w:tc>
        <w:tc>
          <w:tcPr>
            <w:tcW w:w="990" w:type="dxa"/>
            <w:shd w:val="clear" w:color="auto" w:fill="auto"/>
            <w:vAlign w:val="center"/>
          </w:tcPr>
          <w:p w14:paraId="4A673867" w14:textId="77777777" w:rsidR="00CC6B1A" w:rsidRPr="008F7BC0" w:rsidRDefault="00CC6B1A" w:rsidP="006863B4">
            <w:r w:rsidRPr="008F7BC0">
              <w:t>009555</w:t>
            </w:r>
          </w:p>
        </w:tc>
        <w:tc>
          <w:tcPr>
            <w:tcW w:w="1530" w:type="dxa"/>
            <w:gridSpan w:val="2"/>
            <w:shd w:val="clear" w:color="auto" w:fill="auto"/>
            <w:vAlign w:val="center"/>
          </w:tcPr>
          <w:p w14:paraId="74EBA899" w14:textId="77777777" w:rsidR="00CC6B1A" w:rsidRPr="008F7BC0" w:rsidRDefault="00CC6B1A" w:rsidP="006863B4">
            <w:r w:rsidRPr="008F7BC0">
              <w:t>MASSPROD</w:t>
            </w:r>
          </w:p>
        </w:tc>
        <w:tc>
          <w:tcPr>
            <w:tcW w:w="1440" w:type="dxa"/>
            <w:shd w:val="clear" w:color="auto" w:fill="auto"/>
            <w:vAlign w:val="center"/>
          </w:tcPr>
          <w:p w14:paraId="0FAFE5FA" w14:textId="77777777" w:rsidR="00CC6B1A" w:rsidRPr="008F7BC0" w:rsidRDefault="00CC6B1A" w:rsidP="006863B4">
            <w:r w:rsidRPr="008F7BC0">
              <w:t>MassHealth</w:t>
            </w:r>
          </w:p>
        </w:tc>
        <w:tc>
          <w:tcPr>
            <w:tcW w:w="2478" w:type="dxa"/>
            <w:gridSpan w:val="2"/>
            <w:shd w:val="clear" w:color="auto" w:fill="auto"/>
            <w:vAlign w:val="center"/>
          </w:tcPr>
          <w:p w14:paraId="6A166CFA" w14:textId="77777777" w:rsidR="00CC6B1A" w:rsidRPr="008F7BC0" w:rsidRDefault="00CC6B1A" w:rsidP="006863B4">
            <w:r w:rsidRPr="008F7BC0">
              <w:t>(866) 246</w:t>
            </w:r>
            <w:r w:rsidRPr="008F7BC0">
              <w:rPr>
                <w:b/>
              </w:rPr>
              <w:t>-</w:t>
            </w:r>
            <w:r w:rsidRPr="008F7BC0">
              <w:t>8503 (Conduent/POPS)</w:t>
            </w:r>
          </w:p>
          <w:p w14:paraId="795FA5C2" w14:textId="77777777" w:rsidR="00CC6B1A" w:rsidRPr="008F7BC0" w:rsidRDefault="00CC6B1A" w:rsidP="006863B4">
            <w:r w:rsidRPr="008F7BC0">
              <w:t>(800) 745</w:t>
            </w:r>
            <w:r w:rsidRPr="008F7BC0">
              <w:rPr>
                <w:b/>
              </w:rPr>
              <w:t>-</w:t>
            </w:r>
            <w:r w:rsidRPr="008F7BC0">
              <w:t>7318 (DUR)</w:t>
            </w:r>
          </w:p>
        </w:tc>
      </w:tr>
      <w:tr w:rsidR="00CC6B1A" w:rsidRPr="008F7BC0" w14:paraId="1C374924" w14:textId="77777777" w:rsidTr="006863B4">
        <w:trPr>
          <w:gridAfter w:val="1"/>
          <w:wAfter w:w="8" w:type="dxa"/>
          <w:trHeight w:val="955"/>
          <w:jc w:val="center"/>
        </w:trPr>
        <w:tc>
          <w:tcPr>
            <w:tcW w:w="2155" w:type="dxa"/>
            <w:shd w:val="clear" w:color="auto" w:fill="auto"/>
            <w:vAlign w:val="center"/>
          </w:tcPr>
          <w:p w14:paraId="39EE5403" w14:textId="77777777" w:rsidR="00CC6B1A" w:rsidRPr="008F7BC0" w:rsidRDefault="00CC6B1A" w:rsidP="006863B4">
            <w:r w:rsidRPr="008F7BC0">
              <w:t xml:space="preserve">Steward Health Choice </w:t>
            </w:r>
          </w:p>
        </w:tc>
        <w:tc>
          <w:tcPr>
            <w:tcW w:w="1260" w:type="dxa"/>
            <w:shd w:val="clear" w:color="auto" w:fill="auto"/>
            <w:vAlign w:val="center"/>
          </w:tcPr>
          <w:p w14:paraId="0719D6B4" w14:textId="77777777" w:rsidR="00CC6B1A" w:rsidRPr="008F7BC0" w:rsidRDefault="00CC6B1A" w:rsidP="006863B4">
            <w:r w:rsidRPr="008F7BC0">
              <w:t>Conduent</w:t>
            </w:r>
          </w:p>
        </w:tc>
        <w:tc>
          <w:tcPr>
            <w:tcW w:w="990" w:type="dxa"/>
            <w:shd w:val="clear" w:color="auto" w:fill="auto"/>
            <w:vAlign w:val="center"/>
          </w:tcPr>
          <w:p w14:paraId="054E622E" w14:textId="77777777" w:rsidR="00CC6B1A" w:rsidRPr="008F7BC0" w:rsidRDefault="00CC6B1A" w:rsidP="006863B4">
            <w:r w:rsidRPr="008F7BC0">
              <w:t>009555</w:t>
            </w:r>
          </w:p>
        </w:tc>
        <w:tc>
          <w:tcPr>
            <w:tcW w:w="1530" w:type="dxa"/>
            <w:gridSpan w:val="2"/>
            <w:shd w:val="clear" w:color="auto" w:fill="auto"/>
            <w:vAlign w:val="center"/>
          </w:tcPr>
          <w:p w14:paraId="2B192753" w14:textId="77777777" w:rsidR="00CC6B1A" w:rsidRPr="008F7BC0" w:rsidRDefault="00CC6B1A" w:rsidP="006863B4">
            <w:r w:rsidRPr="008F7BC0">
              <w:t>MASSPROD</w:t>
            </w:r>
          </w:p>
        </w:tc>
        <w:tc>
          <w:tcPr>
            <w:tcW w:w="1440" w:type="dxa"/>
            <w:shd w:val="clear" w:color="auto" w:fill="auto"/>
            <w:vAlign w:val="center"/>
          </w:tcPr>
          <w:p w14:paraId="7F065FDC" w14:textId="77777777" w:rsidR="00CC6B1A" w:rsidRPr="008F7BC0" w:rsidRDefault="00CC6B1A" w:rsidP="006863B4">
            <w:r w:rsidRPr="008F7BC0">
              <w:t>MassHealth</w:t>
            </w:r>
          </w:p>
        </w:tc>
        <w:tc>
          <w:tcPr>
            <w:tcW w:w="2478" w:type="dxa"/>
            <w:gridSpan w:val="2"/>
            <w:shd w:val="clear" w:color="auto" w:fill="auto"/>
            <w:vAlign w:val="center"/>
          </w:tcPr>
          <w:p w14:paraId="32986A6B" w14:textId="77777777" w:rsidR="00CC6B1A" w:rsidRPr="008F7BC0" w:rsidRDefault="00CC6B1A" w:rsidP="006863B4">
            <w:r w:rsidRPr="008F7BC0">
              <w:t>(866) 246-8503 (Conduent/POPS) (800) 745</w:t>
            </w:r>
            <w:r w:rsidRPr="008F7BC0">
              <w:rPr>
                <w:b/>
              </w:rPr>
              <w:t>-</w:t>
            </w:r>
            <w:r w:rsidRPr="008F7BC0">
              <w:t>7318 (DUR)</w:t>
            </w:r>
          </w:p>
        </w:tc>
      </w:tr>
      <w:tr w:rsidR="00CC6B1A" w:rsidRPr="008F7BC0" w14:paraId="4B505065" w14:textId="77777777" w:rsidTr="006863B4">
        <w:trPr>
          <w:gridAfter w:val="1"/>
          <w:wAfter w:w="8" w:type="dxa"/>
          <w:trHeight w:val="432"/>
          <w:jc w:val="center"/>
        </w:trPr>
        <w:tc>
          <w:tcPr>
            <w:tcW w:w="2155" w:type="dxa"/>
            <w:shd w:val="clear" w:color="auto" w:fill="F2F2F2"/>
            <w:vAlign w:val="center"/>
          </w:tcPr>
          <w:p w14:paraId="0FFD9B62" w14:textId="77777777" w:rsidR="00CC6B1A" w:rsidRPr="008F7BC0" w:rsidRDefault="00CC6B1A" w:rsidP="006863B4">
            <w:pPr>
              <w:rPr>
                <w:b/>
              </w:rPr>
            </w:pPr>
            <w:r w:rsidRPr="008F7BC0">
              <w:rPr>
                <w:b/>
              </w:rPr>
              <w:t>MCOs</w:t>
            </w:r>
          </w:p>
        </w:tc>
        <w:tc>
          <w:tcPr>
            <w:tcW w:w="1260" w:type="dxa"/>
            <w:shd w:val="clear" w:color="auto" w:fill="F2F2F2"/>
            <w:vAlign w:val="center"/>
          </w:tcPr>
          <w:p w14:paraId="0F3EC603" w14:textId="77777777" w:rsidR="00CC6B1A" w:rsidRPr="008F7BC0" w:rsidRDefault="00CC6B1A" w:rsidP="006863B4">
            <w:pPr>
              <w:rPr>
                <w:b/>
              </w:rPr>
            </w:pPr>
            <w:r w:rsidRPr="008F7BC0">
              <w:rPr>
                <w:b/>
              </w:rPr>
              <w:t>PBM</w:t>
            </w:r>
          </w:p>
        </w:tc>
        <w:tc>
          <w:tcPr>
            <w:tcW w:w="990" w:type="dxa"/>
            <w:shd w:val="clear" w:color="auto" w:fill="F2F2F2"/>
            <w:vAlign w:val="center"/>
          </w:tcPr>
          <w:p w14:paraId="763F1889" w14:textId="77777777" w:rsidR="00CC6B1A" w:rsidRPr="008F7BC0" w:rsidRDefault="00CC6B1A" w:rsidP="006863B4">
            <w:pPr>
              <w:rPr>
                <w:b/>
              </w:rPr>
            </w:pPr>
            <w:r w:rsidRPr="008F7BC0">
              <w:rPr>
                <w:b/>
              </w:rPr>
              <w:t>BIN</w:t>
            </w:r>
          </w:p>
        </w:tc>
        <w:tc>
          <w:tcPr>
            <w:tcW w:w="1530" w:type="dxa"/>
            <w:gridSpan w:val="2"/>
            <w:shd w:val="clear" w:color="auto" w:fill="F2F2F2"/>
            <w:vAlign w:val="center"/>
          </w:tcPr>
          <w:p w14:paraId="6D9D297E" w14:textId="77777777" w:rsidR="00CC6B1A" w:rsidRPr="008F7BC0" w:rsidRDefault="00CC6B1A" w:rsidP="006863B4">
            <w:pPr>
              <w:rPr>
                <w:b/>
              </w:rPr>
            </w:pPr>
            <w:r w:rsidRPr="008F7BC0">
              <w:rPr>
                <w:b/>
              </w:rPr>
              <w:t>PCN</w:t>
            </w:r>
          </w:p>
        </w:tc>
        <w:tc>
          <w:tcPr>
            <w:tcW w:w="1440" w:type="dxa"/>
            <w:shd w:val="clear" w:color="auto" w:fill="F2F2F2"/>
            <w:vAlign w:val="center"/>
          </w:tcPr>
          <w:p w14:paraId="414DAC00" w14:textId="77777777" w:rsidR="00CC6B1A" w:rsidRPr="008F7BC0" w:rsidRDefault="00CC6B1A" w:rsidP="006863B4">
            <w:pPr>
              <w:rPr>
                <w:b/>
              </w:rPr>
            </w:pPr>
            <w:r w:rsidRPr="008F7BC0">
              <w:rPr>
                <w:b/>
              </w:rPr>
              <w:t>Group</w:t>
            </w:r>
          </w:p>
        </w:tc>
        <w:tc>
          <w:tcPr>
            <w:tcW w:w="2478" w:type="dxa"/>
            <w:gridSpan w:val="2"/>
            <w:shd w:val="clear" w:color="auto" w:fill="F2F2F2"/>
            <w:vAlign w:val="center"/>
          </w:tcPr>
          <w:p w14:paraId="5BCC651F" w14:textId="77777777" w:rsidR="00CC6B1A" w:rsidRPr="008F7BC0" w:rsidRDefault="00CC6B1A" w:rsidP="006863B4">
            <w:pPr>
              <w:rPr>
                <w:b/>
              </w:rPr>
            </w:pPr>
            <w:r w:rsidRPr="008F7BC0">
              <w:rPr>
                <w:b/>
              </w:rPr>
              <w:t>Pharmacy Help Desk</w:t>
            </w:r>
          </w:p>
        </w:tc>
      </w:tr>
      <w:tr w:rsidR="00CC6B1A" w:rsidRPr="008F7BC0" w14:paraId="577FD7A4" w14:textId="77777777" w:rsidTr="006863B4">
        <w:trPr>
          <w:gridAfter w:val="1"/>
          <w:wAfter w:w="8" w:type="dxa"/>
          <w:trHeight w:val="432"/>
          <w:jc w:val="center"/>
        </w:trPr>
        <w:tc>
          <w:tcPr>
            <w:tcW w:w="2155" w:type="dxa"/>
            <w:shd w:val="clear" w:color="auto" w:fill="auto"/>
            <w:vAlign w:val="center"/>
          </w:tcPr>
          <w:p w14:paraId="63290F60" w14:textId="77777777" w:rsidR="00CC6B1A" w:rsidRPr="008F7BC0" w:rsidRDefault="00CC6B1A" w:rsidP="006863B4">
            <w:proofErr w:type="spellStart"/>
            <w:r w:rsidRPr="008F7BC0">
              <w:t>WellSense</w:t>
            </w:r>
            <w:proofErr w:type="spellEnd"/>
            <w:r w:rsidRPr="008F7BC0">
              <w:t xml:space="preserve"> </w:t>
            </w:r>
            <w:r w:rsidRPr="001256E2">
              <w:t>Essential MCO</w:t>
            </w:r>
          </w:p>
        </w:tc>
        <w:tc>
          <w:tcPr>
            <w:tcW w:w="1260" w:type="dxa"/>
            <w:shd w:val="clear" w:color="auto" w:fill="auto"/>
          </w:tcPr>
          <w:p w14:paraId="393FCA2A" w14:textId="77777777" w:rsidR="00CC6B1A" w:rsidRPr="008F7BC0" w:rsidRDefault="00CC6B1A" w:rsidP="006863B4">
            <w:r w:rsidRPr="008F7BC0">
              <w:t>Express Scripts</w:t>
            </w:r>
          </w:p>
        </w:tc>
        <w:tc>
          <w:tcPr>
            <w:tcW w:w="990" w:type="dxa"/>
            <w:shd w:val="clear" w:color="auto" w:fill="auto"/>
          </w:tcPr>
          <w:p w14:paraId="5F3B8380" w14:textId="77777777" w:rsidR="00CC6B1A" w:rsidRPr="008F7BC0" w:rsidRDefault="00CC6B1A" w:rsidP="006863B4">
            <w:r w:rsidRPr="008F7BC0">
              <w:t>003858</w:t>
            </w:r>
          </w:p>
        </w:tc>
        <w:tc>
          <w:tcPr>
            <w:tcW w:w="1530" w:type="dxa"/>
            <w:gridSpan w:val="2"/>
            <w:shd w:val="clear" w:color="auto" w:fill="auto"/>
          </w:tcPr>
          <w:p w14:paraId="0930A1F7" w14:textId="77777777" w:rsidR="00CC6B1A" w:rsidRPr="008F7BC0" w:rsidRDefault="00CC6B1A" w:rsidP="006863B4">
            <w:r w:rsidRPr="008F7BC0">
              <w:t>MA</w:t>
            </w:r>
          </w:p>
        </w:tc>
        <w:tc>
          <w:tcPr>
            <w:tcW w:w="1440" w:type="dxa"/>
            <w:shd w:val="clear" w:color="auto" w:fill="auto"/>
          </w:tcPr>
          <w:p w14:paraId="29C239C1" w14:textId="77777777" w:rsidR="00CC6B1A" w:rsidRPr="008F7BC0" w:rsidRDefault="00CC6B1A" w:rsidP="006863B4">
            <w:r w:rsidRPr="008F7BC0">
              <w:t>MAHLTH</w:t>
            </w:r>
          </w:p>
        </w:tc>
        <w:tc>
          <w:tcPr>
            <w:tcW w:w="2478" w:type="dxa"/>
            <w:gridSpan w:val="2"/>
            <w:vAlign w:val="center"/>
          </w:tcPr>
          <w:p w14:paraId="1B2E5D5C" w14:textId="77777777" w:rsidR="00CC6B1A" w:rsidRPr="008F7BC0" w:rsidRDefault="00CC6B1A" w:rsidP="006863B4">
            <w:r w:rsidRPr="008F7BC0">
              <w:t>(877) 401-2069</w:t>
            </w:r>
          </w:p>
          <w:p w14:paraId="5CC04765" w14:textId="77777777" w:rsidR="00CC6B1A" w:rsidRPr="008F7BC0" w:rsidRDefault="00CC6B1A" w:rsidP="006863B4">
            <w:r w:rsidRPr="008F7BC0">
              <w:t>(ESI)</w:t>
            </w:r>
          </w:p>
        </w:tc>
      </w:tr>
      <w:tr w:rsidR="00CC6B1A" w:rsidRPr="008F7BC0" w14:paraId="7825E7D4" w14:textId="77777777" w:rsidTr="006863B4">
        <w:trPr>
          <w:gridAfter w:val="1"/>
          <w:wAfter w:w="8" w:type="dxa"/>
          <w:trHeight w:val="432"/>
          <w:jc w:val="center"/>
        </w:trPr>
        <w:tc>
          <w:tcPr>
            <w:tcW w:w="2155" w:type="dxa"/>
            <w:shd w:val="clear" w:color="auto" w:fill="auto"/>
            <w:vAlign w:val="center"/>
          </w:tcPr>
          <w:p w14:paraId="5E808246" w14:textId="77777777" w:rsidR="00CC6B1A" w:rsidRPr="008F7BC0" w:rsidRDefault="00CC6B1A" w:rsidP="006863B4">
            <w:r w:rsidRPr="008F7BC0">
              <w:t>Tufts Health Together</w:t>
            </w:r>
          </w:p>
        </w:tc>
        <w:tc>
          <w:tcPr>
            <w:tcW w:w="1260" w:type="dxa"/>
            <w:shd w:val="clear" w:color="auto" w:fill="auto"/>
            <w:vAlign w:val="center"/>
          </w:tcPr>
          <w:p w14:paraId="03128D27" w14:textId="77777777" w:rsidR="00CC6B1A" w:rsidRPr="008F7BC0" w:rsidRDefault="00CC6B1A" w:rsidP="006863B4">
            <w:r w:rsidRPr="008F7BC0">
              <w:t>OptumRx</w:t>
            </w:r>
          </w:p>
        </w:tc>
        <w:tc>
          <w:tcPr>
            <w:tcW w:w="990" w:type="dxa"/>
            <w:shd w:val="clear" w:color="auto" w:fill="auto"/>
            <w:vAlign w:val="center"/>
          </w:tcPr>
          <w:p w14:paraId="79BDBCD9" w14:textId="77777777" w:rsidR="00CC6B1A" w:rsidRPr="008F7BC0" w:rsidRDefault="00CC6B1A" w:rsidP="006863B4">
            <w:r w:rsidRPr="008F7BC0">
              <w:t>610011</w:t>
            </w:r>
          </w:p>
        </w:tc>
        <w:tc>
          <w:tcPr>
            <w:tcW w:w="1530" w:type="dxa"/>
            <w:gridSpan w:val="2"/>
            <w:shd w:val="clear" w:color="auto" w:fill="auto"/>
            <w:vAlign w:val="center"/>
          </w:tcPr>
          <w:p w14:paraId="7F02CD10" w14:textId="77777777" w:rsidR="00CC6B1A" w:rsidRPr="008F7BC0" w:rsidRDefault="00CC6B1A" w:rsidP="006863B4">
            <w:r w:rsidRPr="008F7BC0">
              <w:t>IRX</w:t>
            </w:r>
          </w:p>
        </w:tc>
        <w:tc>
          <w:tcPr>
            <w:tcW w:w="1440" w:type="dxa"/>
            <w:shd w:val="clear" w:color="auto" w:fill="auto"/>
            <w:vAlign w:val="center"/>
          </w:tcPr>
          <w:p w14:paraId="2981D5E0" w14:textId="77777777" w:rsidR="00CC6B1A" w:rsidRPr="008F7BC0" w:rsidRDefault="00CC6B1A" w:rsidP="006863B4">
            <w:pPr>
              <w:rPr>
                <w:b/>
              </w:rPr>
            </w:pPr>
            <w:r w:rsidRPr="008F7BC0">
              <w:t>RXMCDMA</w:t>
            </w:r>
          </w:p>
        </w:tc>
        <w:tc>
          <w:tcPr>
            <w:tcW w:w="2478" w:type="dxa"/>
            <w:gridSpan w:val="2"/>
            <w:vAlign w:val="center"/>
          </w:tcPr>
          <w:p w14:paraId="74F6BDFA" w14:textId="77777777" w:rsidR="00CC6B1A" w:rsidRPr="008F7BC0" w:rsidRDefault="00CC6B1A" w:rsidP="006863B4">
            <w:r w:rsidRPr="008F7BC0">
              <w:t>(866) 828-6668</w:t>
            </w:r>
          </w:p>
          <w:p w14:paraId="38E3043A" w14:textId="77777777" w:rsidR="00CC6B1A" w:rsidRPr="008F7BC0" w:rsidRDefault="00CC6B1A" w:rsidP="006863B4">
            <w:r w:rsidRPr="008F7BC0" w:rsidDel="00305F28">
              <w:t xml:space="preserve"> </w:t>
            </w:r>
            <w:r w:rsidRPr="008F7BC0">
              <w:t>(Optum Rx)</w:t>
            </w:r>
          </w:p>
        </w:tc>
      </w:tr>
      <w:tr w:rsidR="00CC6B1A" w:rsidRPr="008F7BC0" w14:paraId="646EE0E8" w14:textId="77777777" w:rsidTr="006863B4">
        <w:trPr>
          <w:gridAfter w:val="1"/>
          <w:wAfter w:w="8" w:type="dxa"/>
          <w:trHeight w:val="432"/>
          <w:jc w:val="center"/>
        </w:trPr>
        <w:tc>
          <w:tcPr>
            <w:tcW w:w="2155" w:type="dxa"/>
            <w:shd w:val="clear" w:color="auto" w:fill="F2F2F2"/>
            <w:vAlign w:val="center"/>
          </w:tcPr>
          <w:p w14:paraId="613BAA26" w14:textId="77777777" w:rsidR="00CC6B1A" w:rsidRPr="008F7BC0" w:rsidRDefault="00CC6B1A" w:rsidP="006863B4">
            <w:pPr>
              <w:rPr>
                <w:b/>
              </w:rPr>
            </w:pPr>
            <w:r w:rsidRPr="008F7BC0">
              <w:rPr>
                <w:b/>
              </w:rPr>
              <w:t>PCC Plan</w:t>
            </w:r>
          </w:p>
        </w:tc>
        <w:tc>
          <w:tcPr>
            <w:tcW w:w="1260" w:type="dxa"/>
            <w:shd w:val="clear" w:color="auto" w:fill="F2F2F2"/>
            <w:vAlign w:val="center"/>
          </w:tcPr>
          <w:p w14:paraId="48FB50A4" w14:textId="77777777" w:rsidR="00CC6B1A" w:rsidRPr="008F7BC0" w:rsidRDefault="00CC6B1A" w:rsidP="006863B4">
            <w:pPr>
              <w:rPr>
                <w:b/>
              </w:rPr>
            </w:pPr>
            <w:r w:rsidRPr="008F7BC0">
              <w:rPr>
                <w:b/>
              </w:rPr>
              <w:t>PBM</w:t>
            </w:r>
          </w:p>
        </w:tc>
        <w:tc>
          <w:tcPr>
            <w:tcW w:w="990" w:type="dxa"/>
            <w:shd w:val="clear" w:color="auto" w:fill="F2F2F2"/>
            <w:vAlign w:val="center"/>
          </w:tcPr>
          <w:p w14:paraId="6C517F70" w14:textId="77777777" w:rsidR="00CC6B1A" w:rsidRPr="008F7BC0" w:rsidRDefault="00CC6B1A" w:rsidP="006863B4">
            <w:pPr>
              <w:rPr>
                <w:b/>
              </w:rPr>
            </w:pPr>
            <w:r w:rsidRPr="008F7BC0">
              <w:rPr>
                <w:b/>
              </w:rPr>
              <w:t>BIN</w:t>
            </w:r>
          </w:p>
        </w:tc>
        <w:tc>
          <w:tcPr>
            <w:tcW w:w="1530" w:type="dxa"/>
            <w:gridSpan w:val="2"/>
            <w:shd w:val="clear" w:color="auto" w:fill="F2F2F2"/>
            <w:vAlign w:val="center"/>
          </w:tcPr>
          <w:p w14:paraId="0D92E00E" w14:textId="77777777" w:rsidR="00CC6B1A" w:rsidRPr="008F7BC0" w:rsidRDefault="00CC6B1A" w:rsidP="006863B4">
            <w:pPr>
              <w:rPr>
                <w:b/>
              </w:rPr>
            </w:pPr>
            <w:r w:rsidRPr="008F7BC0">
              <w:rPr>
                <w:b/>
              </w:rPr>
              <w:t>PCN</w:t>
            </w:r>
          </w:p>
        </w:tc>
        <w:tc>
          <w:tcPr>
            <w:tcW w:w="1440" w:type="dxa"/>
            <w:shd w:val="clear" w:color="auto" w:fill="F2F2F2"/>
            <w:vAlign w:val="center"/>
          </w:tcPr>
          <w:p w14:paraId="56AA3002" w14:textId="77777777" w:rsidR="00CC6B1A" w:rsidRPr="008F7BC0" w:rsidRDefault="00CC6B1A" w:rsidP="006863B4">
            <w:pPr>
              <w:rPr>
                <w:b/>
              </w:rPr>
            </w:pPr>
            <w:r w:rsidRPr="008F7BC0">
              <w:rPr>
                <w:b/>
              </w:rPr>
              <w:t>Group</w:t>
            </w:r>
          </w:p>
        </w:tc>
        <w:tc>
          <w:tcPr>
            <w:tcW w:w="2478" w:type="dxa"/>
            <w:gridSpan w:val="2"/>
            <w:shd w:val="clear" w:color="auto" w:fill="F2F2F2"/>
            <w:vAlign w:val="center"/>
          </w:tcPr>
          <w:p w14:paraId="5A009C09" w14:textId="77777777" w:rsidR="00CC6B1A" w:rsidRPr="008F7BC0" w:rsidRDefault="00CC6B1A" w:rsidP="006863B4">
            <w:pPr>
              <w:rPr>
                <w:b/>
              </w:rPr>
            </w:pPr>
            <w:r w:rsidRPr="008F7BC0">
              <w:rPr>
                <w:b/>
              </w:rPr>
              <w:t>Pharmacy Help Desk</w:t>
            </w:r>
          </w:p>
        </w:tc>
      </w:tr>
      <w:tr w:rsidR="00CC6B1A" w:rsidRPr="008F7BC0" w14:paraId="1A763855" w14:textId="77777777" w:rsidTr="002B5266">
        <w:trPr>
          <w:gridAfter w:val="1"/>
          <w:wAfter w:w="8" w:type="dxa"/>
          <w:trHeight w:val="809"/>
          <w:jc w:val="center"/>
        </w:trPr>
        <w:tc>
          <w:tcPr>
            <w:tcW w:w="2155" w:type="dxa"/>
            <w:shd w:val="clear" w:color="auto" w:fill="auto"/>
            <w:vAlign w:val="center"/>
          </w:tcPr>
          <w:p w14:paraId="0CB703BE" w14:textId="77777777" w:rsidR="00CC6B1A" w:rsidRPr="008F7BC0" w:rsidRDefault="00CC6B1A" w:rsidP="006863B4">
            <w:r w:rsidRPr="008F7BC0">
              <w:t>Primary Care Clinician (PCC) Plan</w:t>
            </w:r>
          </w:p>
        </w:tc>
        <w:tc>
          <w:tcPr>
            <w:tcW w:w="1260" w:type="dxa"/>
            <w:shd w:val="clear" w:color="auto" w:fill="auto"/>
            <w:vAlign w:val="center"/>
          </w:tcPr>
          <w:p w14:paraId="6417533B" w14:textId="77777777" w:rsidR="00CC6B1A" w:rsidRPr="008F7BC0" w:rsidRDefault="00CC6B1A" w:rsidP="006863B4">
            <w:r w:rsidRPr="008F7BC0">
              <w:t>Conduent</w:t>
            </w:r>
          </w:p>
        </w:tc>
        <w:tc>
          <w:tcPr>
            <w:tcW w:w="990" w:type="dxa"/>
            <w:shd w:val="clear" w:color="auto" w:fill="auto"/>
            <w:vAlign w:val="center"/>
          </w:tcPr>
          <w:p w14:paraId="6DE0FC03" w14:textId="77777777" w:rsidR="00CC6B1A" w:rsidRPr="008F7BC0" w:rsidRDefault="00CC6B1A" w:rsidP="006863B4">
            <w:r w:rsidRPr="008F7BC0">
              <w:t>009555</w:t>
            </w:r>
          </w:p>
        </w:tc>
        <w:tc>
          <w:tcPr>
            <w:tcW w:w="1530" w:type="dxa"/>
            <w:gridSpan w:val="2"/>
            <w:shd w:val="clear" w:color="auto" w:fill="auto"/>
            <w:vAlign w:val="center"/>
          </w:tcPr>
          <w:p w14:paraId="6B30E969" w14:textId="77777777" w:rsidR="00CC6B1A" w:rsidRPr="008F7BC0" w:rsidRDefault="00CC6B1A" w:rsidP="006863B4">
            <w:r w:rsidRPr="008F7BC0">
              <w:t>MASSPROD</w:t>
            </w:r>
          </w:p>
        </w:tc>
        <w:tc>
          <w:tcPr>
            <w:tcW w:w="1440" w:type="dxa"/>
            <w:shd w:val="clear" w:color="auto" w:fill="auto"/>
            <w:vAlign w:val="center"/>
          </w:tcPr>
          <w:p w14:paraId="4E7757C1" w14:textId="77777777" w:rsidR="00CC6B1A" w:rsidRPr="008F7BC0" w:rsidRDefault="00CC6B1A" w:rsidP="006863B4">
            <w:r w:rsidRPr="008F7BC0">
              <w:t>MassHealth</w:t>
            </w:r>
          </w:p>
        </w:tc>
        <w:tc>
          <w:tcPr>
            <w:tcW w:w="2478" w:type="dxa"/>
            <w:gridSpan w:val="2"/>
            <w:vAlign w:val="center"/>
          </w:tcPr>
          <w:p w14:paraId="536E75A2" w14:textId="77777777" w:rsidR="00CC6B1A" w:rsidRPr="008F7BC0" w:rsidRDefault="00CC6B1A" w:rsidP="006863B4">
            <w:r w:rsidRPr="008F7BC0">
              <w:t>(866) 246-8503 (Conduent/POPS)</w:t>
            </w:r>
          </w:p>
          <w:p w14:paraId="4FA39E9E" w14:textId="77777777" w:rsidR="00CC6B1A" w:rsidRPr="008F7BC0" w:rsidRDefault="00CC6B1A" w:rsidP="006863B4">
            <w:r w:rsidRPr="008F7BC0">
              <w:t>(800) 745</w:t>
            </w:r>
            <w:r w:rsidRPr="008F7BC0">
              <w:rPr>
                <w:b/>
              </w:rPr>
              <w:t>-</w:t>
            </w:r>
            <w:r w:rsidRPr="008F7BC0">
              <w:t>7318 (DUR)</w:t>
            </w:r>
          </w:p>
          <w:p w14:paraId="5308FA46" w14:textId="77777777" w:rsidR="00CC6B1A" w:rsidRPr="008F7BC0" w:rsidRDefault="00CC6B1A" w:rsidP="006863B4"/>
        </w:tc>
      </w:tr>
    </w:tbl>
    <w:p w14:paraId="445BD3BE" w14:textId="77777777" w:rsidR="00CC6B1A" w:rsidRPr="008F7BC0" w:rsidRDefault="00CC6B1A" w:rsidP="00CC6B1A"/>
    <w:p w14:paraId="0183EAB5" w14:textId="77777777" w:rsidR="00CC6B1A" w:rsidRPr="008F7BC0" w:rsidRDefault="00CC6B1A" w:rsidP="00CC6B1A">
      <w:r w:rsidRPr="008F7BC0">
        <w:br w:type="page"/>
      </w:r>
    </w:p>
    <w:p w14:paraId="0D3F5E15" w14:textId="77777777" w:rsidR="00CC6B1A" w:rsidRPr="006C0F69" w:rsidRDefault="00CC6B1A" w:rsidP="00CC6B1A">
      <w:pPr>
        <w:jc w:val="center"/>
        <w:rPr>
          <w:rFonts w:ascii="Arial Black" w:hAnsi="Arial Black"/>
          <w:b/>
        </w:rPr>
      </w:pPr>
      <w:r w:rsidRPr="006C0F69">
        <w:rPr>
          <w:rFonts w:ascii="Arial Black" w:hAnsi="Arial Black"/>
          <w:b/>
        </w:rPr>
        <w:lastRenderedPageBreak/>
        <w:t xml:space="preserve">Appendix </w:t>
      </w:r>
      <w:r>
        <w:rPr>
          <w:rFonts w:ascii="Arial Black" w:hAnsi="Arial Black"/>
          <w:b/>
        </w:rPr>
        <w:t>B</w:t>
      </w:r>
    </w:p>
    <w:p w14:paraId="53090A7E" w14:textId="77777777" w:rsidR="00CC6B1A" w:rsidRPr="006C0F69" w:rsidRDefault="00CC6B1A" w:rsidP="00CC6B1A">
      <w:pPr>
        <w:rPr>
          <w:b/>
        </w:rPr>
      </w:pPr>
    </w:p>
    <w:p w14:paraId="1CE46CD3" w14:textId="77777777" w:rsidR="00CC6B1A" w:rsidRDefault="00CC6B1A" w:rsidP="00CC6B1A">
      <w:pPr>
        <w:jc w:val="center"/>
        <w:rPr>
          <w:rFonts w:ascii="Arial Black" w:hAnsi="Arial Black"/>
          <w:b/>
        </w:rPr>
      </w:pPr>
      <w:r w:rsidRPr="006C0F69">
        <w:rPr>
          <w:rFonts w:ascii="Arial Black" w:hAnsi="Arial Black"/>
          <w:b/>
        </w:rPr>
        <w:t>Emergency Override Codes for Plans</w:t>
      </w:r>
    </w:p>
    <w:p w14:paraId="022FA775" w14:textId="77777777" w:rsidR="00CC6B1A" w:rsidRPr="00524840" w:rsidRDefault="00CC6B1A" w:rsidP="00CC6B1A">
      <w:pPr>
        <w:widowControl w:val="0"/>
        <w:spacing w:before="23"/>
        <w:ind w:left="167"/>
        <w:outlineLvl w:val="0"/>
        <w:rPr>
          <w:rFonts w:ascii="Arial" w:eastAsia="Arial Black" w:hAnsi="Arial" w:cs="Arial"/>
          <w:bCs/>
          <w:sz w:val="22"/>
          <w:szCs w:val="22"/>
        </w:rPr>
      </w:pPr>
    </w:p>
    <w:p w14:paraId="7937EDF2" w14:textId="4CDE6822" w:rsidR="00CC6B1A" w:rsidRPr="00123DCB" w:rsidRDefault="00CC6B1A" w:rsidP="00CC6B1A">
      <w:pPr>
        <w:widowControl w:val="0"/>
        <w:spacing w:before="23"/>
        <w:ind w:left="167"/>
        <w:outlineLvl w:val="0"/>
        <w:rPr>
          <w:rFonts w:ascii="Arial" w:hAnsi="Arial" w:cs="Arial"/>
        </w:rPr>
      </w:pPr>
      <w:r w:rsidRPr="00123DCB">
        <w:rPr>
          <w:rFonts w:ascii="Arial" w:eastAsia="Arial Black" w:hAnsi="Arial" w:cs="Arial"/>
          <w:bCs/>
        </w:rPr>
        <w:t xml:space="preserve">To ensure that MassHealth members do not experience gaps in care, pharmacists may initiate an emergency override if they encounter a rejected claim for a medication requiring PA. Prescribers may contact the pharmacy and request that an override be provided. MassHealth will pay the pharmacy for at least a 72-hour, non-refillable supply of the drug. </w:t>
      </w:r>
      <w:r w:rsidR="00EC1479">
        <w:rPr>
          <w:rFonts w:ascii="Arial" w:eastAsia="Arial Black" w:hAnsi="Arial" w:cs="Arial"/>
          <w:bCs/>
        </w:rPr>
        <w:t>The following table lists</w:t>
      </w:r>
      <w:r w:rsidRPr="00123DCB">
        <w:rPr>
          <w:rFonts w:ascii="Arial" w:eastAsia="Arial Black" w:hAnsi="Arial" w:cs="Arial"/>
          <w:bCs/>
        </w:rPr>
        <w:t xml:space="preserve"> emergency override</w:t>
      </w:r>
      <w:r w:rsidR="00EC1479">
        <w:rPr>
          <w:rFonts w:ascii="Arial" w:eastAsia="Arial Black" w:hAnsi="Arial" w:cs="Arial"/>
          <w:bCs/>
        </w:rPr>
        <w:t xml:space="preserve"> codes</w:t>
      </w:r>
      <w:r w:rsidRPr="00123DCB">
        <w:rPr>
          <w:rFonts w:ascii="Arial" w:eastAsia="Arial Black" w:hAnsi="Arial" w:cs="Arial"/>
          <w:bCs/>
        </w:rPr>
        <w:t>.</w:t>
      </w:r>
    </w:p>
    <w:p w14:paraId="71B050D4" w14:textId="77777777" w:rsidR="00CC6B1A" w:rsidRPr="006C0F69" w:rsidRDefault="00CC6B1A" w:rsidP="00CC6B1A"/>
    <w:tbl>
      <w:tblPr>
        <w:tblStyle w:val="TableGrid"/>
        <w:tblW w:w="0" w:type="auto"/>
        <w:tblLook w:val="04A0" w:firstRow="1" w:lastRow="0" w:firstColumn="1" w:lastColumn="0" w:noHBand="0" w:noVBand="1"/>
      </w:tblPr>
      <w:tblGrid>
        <w:gridCol w:w="5210"/>
        <w:gridCol w:w="5206"/>
      </w:tblGrid>
      <w:tr w:rsidR="00CC6B1A" w:rsidRPr="006C0F69" w14:paraId="20A8F83D" w14:textId="77777777" w:rsidTr="006863B4">
        <w:tc>
          <w:tcPr>
            <w:tcW w:w="5436" w:type="dxa"/>
            <w:shd w:val="clear" w:color="auto" w:fill="BFBFBF" w:themeFill="background1" w:themeFillShade="BF"/>
          </w:tcPr>
          <w:p w14:paraId="1419C5C9" w14:textId="77777777" w:rsidR="00CC6B1A" w:rsidRPr="006C0F69" w:rsidRDefault="00CC6B1A" w:rsidP="002B5266">
            <w:pPr>
              <w:rPr>
                <w:rFonts w:ascii="Arial" w:hAnsi="Arial" w:cs="Arial"/>
                <w:b/>
                <w:sz w:val="22"/>
                <w:szCs w:val="22"/>
              </w:rPr>
            </w:pPr>
            <w:bookmarkStart w:id="0" w:name="_Hlk56762727"/>
            <w:r>
              <w:rPr>
                <w:rFonts w:ascii="Arial" w:hAnsi="Arial" w:cs="Arial"/>
                <w:b/>
                <w:sz w:val="22"/>
                <w:szCs w:val="22"/>
              </w:rPr>
              <w:t>Accountable</w:t>
            </w:r>
            <w:r w:rsidRPr="006C0F69">
              <w:rPr>
                <w:rFonts w:ascii="Arial" w:hAnsi="Arial" w:cs="Arial"/>
                <w:b/>
                <w:sz w:val="22"/>
                <w:szCs w:val="22"/>
              </w:rPr>
              <w:t xml:space="preserve"> Care Partnership Plans</w:t>
            </w:r>
          </w:p>
        </w:tc>
        <w:tc>
          <w:tcPr>
            <w:tcW w:w="5436" w:type="dxa"/>
            <w:shd w:val="clear" w:color="auto" w:fill="BFBFBF" w:themeFill="background1" w:themeFillShade="BF"/>
          </w:tcPr>
          <w:p w14:paraId="3BC571BB" w14:textId="77777777" w:rsidR="00CC6B1A" w:rsidRPr="006C0F69" w:rsidRDefault="00CC6B1A" w:rsidP="002B5266">
            <w:pPr>
              <w:rPr>
                <w:rFonts w:ascii="Arial" w:hAnsi="Arial" w:cs="Arial"/>
                <w:b/>
                <w:sz w:val="22"/>
                <w:szCs w:val="22"/>
              </w:rPr>
            </w:pPr>
            <w:r w:rsidRPr="006C0F69">
              <w:rPr>
                <w:rFonts w:ascii="Arial" w:hAnsi="Arial" w:cs="Arial"/>
                <w:b/>
                <w:sz w:val="22"/>
                <w:szCs w:val="22"/>
              </w:rPr>
              <w:t xml:space="preserve">Emergency Override Code </w:t>
            </w:r>
          </w:p>
        </w:tc>
      </w:tr>
      <w:tr w:rsidR="00CC6B1A" w:rsidRPr="008436E9" w14:paraId="5A427A7D" w14:textId="77777777" w:rsidTr="006863B4">
        <w:tc>
          <w:tcPr>
            <w:tcW w:w="5436" w:type="dxa"/>
          </w:tcPr>
          <w:p w14:paraId="0D4805D1" w14:textId="77777777" w:rsidR="00CC6B1A" w:rsidRPr="00475780" w:rsidRDefault="00CC6B1A" w:rsidP="002B5266">
            <w:r w:rsidRPr="00475780">
              <w:t>Fallon Health-Atrius Health Care Collaborative</w:t>
            </w:r>
          </w:p>
        </w:tc>
        <w:tc>
          <w:tcPr>
            <w:tcW w:w="5436" w:type="dxa"/>
          </w:tcPr>
          <w:p w14:paraId="1F13EB9C" w14:textId="77777777" w:rsidR="00CC6B1A" w:rsidRPr="00475780" w:rsidRDefault="00CC6B1A" w:rsidP="002B5266">
            <w:r w:rsidRPr="00475780">
              <w:t>11112222333</w:t>
            </w:r>
          </w:p>
        </w:tc>
      </w:tr>
      <w:tr w:rsidR="00CC6B1A" w:rsidRPr="008436E9" w14:paraId="76F7DF36" w14:textId="77777777" w:rsidTr="006863B4">
        <w:tc>
          <w:tcPr>
            <w:tcW w:w="5436" w:type="dxa"/>
          </w:tcPr>
          <w:p w14:paraId="4361FDCD" w14:textId="77777777" w:rsidR="00CC6B1A" w:rsidRPr="00475780" w:rsidRDefault="00CC6B1A" w:rsidP="002B5266">
            <w:r w:rsidRPr="00475780">
              <w:t>Berkshire Fallon Health Collaborative</w:t>
            </w:r>
          </w:p>
        </w:tc>
        <w:tc>
          <w:tcPr>
            <w:tcW w:w="5436" w:type="dxa"/>
          </w:tcPr>
          <w:p w14:paraId="21528CFF" w14:textId="77777777" w:rsidR="00CC6B1A" w:rsidRPr="00475780" w:rsidRDefault="00CC6B1A" w:rsidP="002B5266">
            <w:r w:rsidRPr="00475780">
              <w:t>11112222333</w:t>
            </w:r>
          </w:p>
        </w:tc>
      </w:tr>
      <w:tr w:rsidR="00CC6B1A" w:rsidRPr="008436E9" w14:paraId="329195F7" w14:textId="77777777" w:rsidTr="006863B4">
        <w:tc>
          <w:tcPr>
            <w:tcW w:w="5436" w:type="dxa"/>
          </w:tcPr>
          <w:p w14:paraId="1E3B0CE3" w14:textId="77777777" w:rsidR="00CC6B1A" w:rsidRPr="00475780" w:rsidRDefault="00CC6B1A" w:rsidP="002B5266">
            <w:r w:rsidRPr="00475780">
              <w:t>Fallon 365 Care</w:t>
            </w:r>
          </w:p>
        </w:tc>
        <w:tc>
          <w:tcPr>
            <w:tcW w:w="5436" w:type="dxa"/>
          </w:tcPr>
          <w:p w14:paraId="5A6A1417" w14:textId="77777777" w:rsidR="00CC6B1A" w:rsidRPr="00475780" w:rsidRDefault="00CC6B1A" w:rsidP="002B5266">
            <w:r w:rsidRPr="00475780">
              <w:t>11112222333</w:t>
            </w:r>
          </w:p>
        </w:tc>
      </w:tr>
      <w:tr w:rsidR="00CC6B1A" w:rsidRPr="008436E9" w14:paraId="3AD63C31" w14:textId="77777777" w:rsidTr="006863B4">
        <w:tc>
          <w:tcPr>
            <w:tcW w:w="5436" w:type="dxa"/>
          </w:tcPr>
          <w:p w14:paraId="1632F5E1" w14:textId="77777777" w:rsidR="00CC6B1A" w:rsidRPr="00475780" w:rsidRDefault="00CC6B1A" w:rsidP="002B5266">
            <w:r w:rsidRPr="00475780">
              <w:t xml:space="preserve">Be Healthy Partnership </w:t>
            </w:r>
            <w:r>
              <w:t xml:space="preserve">Plan </w:t>
            </w:r>
            <w:r w:rsidRPr="00475780">
              <w:t>(HNE)</w:t>
            </w:r>
          </w:p>
        </w:tc>
        <w:tc>
          <w:tcPr>
            <w:tcW w:w="5436" w:type="dxa"/>
          </w:tcPr>
          <w:p w14:paraId="3C0F87B7" w14:textId="77777777" w:rsidR="00CC6B1A" w:rsidRPr="00475780" w:rsidRDefault="00CC6B1A" w:rsidP="002B5266">
            <w:r w:rsidRPr="00475780">
              <w:t>Call (800) 918-7545 (Optum Rx) for override</w:t>
            </w:r>
          </w:p>
        </w:tc>
      </w:tr>
      <w:tr w:rsidR="00CC6B1A" w:rsidRPr="008436E9" w14:paraId="286A8906" w14:textId="77777777" w:rsidTr="006863B4">
        <w:tc>
          <w:tcPr>
            <w:tcW w:w="5436" w:type="dxa"/>
          </w:tcPr>
          <w:p w14:paraId="47CFECEE" w14:textId="77777777" w:rsidR="00CC6B1A" w:rsidRPr="00475780" w:rsidRDefault="00CC6B1A" w:rsidP="002B5266">
            <w:pPr>
              <w:contextualSpacing/>
            </w:pPr>
            <w:r w:rsidRPr="00475780">
              <w:t xml:space="preserve">Mass General Brigham Health Plan with Mass General </w:t>
            </w:r>
            <w:r w:rsidRPr="00C438B4">
              <w:t>Brigham ACO</w:t>
            </w:r>
          </w:p>
        </w:tc>
        <w:tc>
          <w:tcPr>
            <w:tcW w:w="5436" w:type="dxa"/>
          </w:tcPr>
          <w:p w14:paraId="0EC14B18" w14:textId="77777777" w:rsidR="00CC6B1A" w:rsidRPr="00475780" w:rsidRDefault="00CC6B1A" w:rsidP="002B5266">
            <w:r w:rsidRPr="00475780">
              <w:t>11112222333</w:t>
            </w:r>
          </w:p>
        </w:tc>
      </w:tr>
      <w:tr w:rsidR="00CC6B1A" w:rsidRPr="008436E9" w14:paraId="0F91EDB3" w14:textId="77777777" w:rsidTr="006863B4">
        <w:tc>
          <w:tcPr>
            <w:tcW w:w="5436" w:type="dxa"/>
          </w:tcPr>
          <w:p w14:paraId="1A177297" w14:textId="77777777" w:rsidR="00CC6B1A" w:rsidRPr="00475780" w:rsidRDefault="00CC6B1A" w:rsidP="002B5266">
            <w:r w:rsidRPr="00475780">
              <w:t xml:space="preserve">Tufts Health Together with </w:t>
            </w:r>
            <w:r>
              <w:t>Cambridge Health Alliance (</w:t>
            </w:r>
            <w:r w:rsidRPr="00475780">
              <w:t>CHA</w:t>
            </w:r>
            <w:r>
              <w:t>)</w:t>
            </w:r>
          </w:p>
        </w:tc>
        <w:tc>
          <w:tcPr>
            <w:tcW w:w="5436" w:type="dxa"/>
          </w:tcPr>
          <w:p w14:paraId="1093C24E" w14:textId="77777777" w:rsidR="00CC6B1A" w:rsidRPr="00475780" w:rsidRDefault="00CC6B1A" w:rsidP="002B5266">
            <w:r w:rsidRPr="00475780">
              <w:t>11112222333</w:t>
            </w:r>
          </w:p>
        </w:tc>
      </w:tr>
      <w:tr w:rsidR="00CC6B1A" w:rsidRPr="008436E9" w14:paraId="66F37BB9" w14:textId="77777777" w:rsidTr="006863B4">
        <w:tc>
          <w:tcPr>
            <w:tcW w:w="5436" w:type="dxa"/>
          </w:tcPr>
          <w:p w14:paraId="6C58AAD1" w14:textId="77777777" w:rsidR="00CC6B1A" w:rsidRPr="00475780" w:rsidRDefault="00CC6B1A" w:rsidP="002B5266">
            <w:pPr>
              <w:contextualSpacing/>
            </w:pPr>
            <w:r w:rsidRPr="00475780">
              <w:t xml:space="preserve">Tufts Health Together with UMass Memorial Health </w:t>
            </w:r>
          </w:p>
        </w:tc>
        <w:tc>
          <w:tcPr>
            <w:tcW w:w="5436" w:type="dxa"/>
          </w:tcPr>
          <w:p w14:paraId="209DF602" w14:textId="77777777" w:rsidR="00CC6B1A" w:rsidRPr="00475780" w:rsidRDefault="00CC6B1A" w:rsidP="002B5266">
            <w:r w:rsidRPr="00475780">
              <w:t>11112222333</w:t>
            </w:r>
          </w:p>
        </w:tc>
      </w:tr>
      <w:tr w:rsidR="00CC6B1A" w:rsidRPr="008436E9" w14:paraId="22D62282" w14:textId="77777777" w:rsidTr="006863B4">
        <w:tc>
          <w:tcPr>
            <w:tcW w:w="5436" w:type="dxa"/>
          </w:tcPr>
          <w:p w14:paraId="25DE4F9C" w14:textId="77777777" w:rsidR="00CC6B1A" w:rsidRPr="00475780" w:rsidRDefault="00CC6B1A" w:rsidP="002B5266">
            <w:r w:rsidRPr="00475780">
              <w:t xml:space="preserve">East Boston Neighborhood Health </w:t>
            </w:r>
            <w:proofErr w:type="spellStart"/>
            <w:r w:rsidRPr="00475780">
              <w:t>WellSense</w:t>
            </w:r>
            <w:proofErr w:type="spellEnd"/>
            <w:r w:rsidRPr="00475780">
              <w:t xml:space="preserve"> Alliance</w:t>
            </w:r>
          </w:p>
        </w:tc>
        <w:tc>
          <w:tcPr>
            <w:tcW w:w="5436" w:type="dxa"/>
          </w:tcPr>
          <w:p w14:paraId="5CA0E09F" w14:textId="77777777" w:rsidR="00CC6B1A" w:rsidRPr="00475780" w:rsidRDefault="00CC6B1A" w:rsidP="002B5266">
            <w:r w:rsidRPr="00475780">
              <w:t>PA Type 1, Code 1111</w:t>
            </w:r>
          </w:p>
        </w:tc>
      </w:tr>
      <w:tr w:rsidR="00CC6B1A" w:rsidRPr="008436E9" w14:paraId="5A19175F" w14:textId="77777777" w:rsidTr="006863B4">
        <w:tc>
          <w:tcPr>
            <w:tcW w:w="5436" w:type="dxa"/>
          </w:tcPr>
          <w:p w14:paraId="0E935449" w14:textId="777EA5BA" w:rsidR="00CC6B1A" w:rsidRPr="00475780" w:rsidRDefault="00CC6B1A" w:rsidP="002B5266">
            <w:pPr>
              <w:contextualSpacing/>
            </w:pPr>
            <w:proofErr w:type="spellStart"/>
            <w:r w:rsidRPr="00475780">
              <w:t>WellSense</w:t>
            </w:r>
            <w:proofErr w:type="spellEnd"/>
            <w:r w:rsidRPr="00475780">
              <w:t xml:space="preserve"> </w:t>
            </w:r>
            <w:r>
              <w:t>Beth Israel Lahey Health (</w:t>
            </w:r>
            <w:r w:rsidRPr="00475780">
              <w:t>BILH</w:t>
            </w:r>
            <w:r>
              <w:t>)</w:t>
            </w:r>
            <w:r w:rsidRPr="00475780">
              <w:t xml:space="preserve"> Performance Network ACO </w:t>
            </w:r>
          </w:p>
        </w:tc>
        <w:tc>
          <w:tcPr>
            <w:tcW w:w="5436" w:type="dxa"/>
          </w:tcPr>
          <w:p w14:paraId="4515382E" w14:textId="77777777" w:rsidR="00CC6B1A" w:rsidRPr="00475780" w:rsidRDefault="00CC6B1A" w:rsidP="002B5266">
            <w:r w:rsidRPr="00475780">
              <w:t>PA Type 1, Code 1111</w:t>
            </w:r>
          </w:p>
        </w:tc>
      </w:tr>
      <w:tr w:rsidR="00CC6B1A" w:rsidRPr="008436E9" w14:paraId="5FEBB3DE" w14:textId="77777777" w:rsidTr="006863B4">
        <w:tc>
          <w:tcPr>
            <w:tcW w:w="5436" w:type="dxa"/>
          </w:tcPr>
          <w:p w14:paraId="6A66E760" w14:textId="50A8D44B" w:rsidR="00CC6B1A" w:rsidRPr="00475780" w:rsidRDefault="00CC6B1A" w:rsidP="002B5266">
            <w:pPr>
              <w:contextualSpacing/>
            </w:pPr>
            <w:proofErr w:type="spellStart"/>
            <w:r w:rsidRPr="00475780">
              <w:t>WellSense</w:t>
            </w:r>
            <w:proofErr w:type="spellEnd"/>
            <w:r w:rsidRPr="00475780">
              <w:t xml:space="preserve"> Boston Children</w:t>
            </w:r>
            <w:r>
              <w:t>’</w:t>
            </w:r>
            <w:r w:rsidRPr="00475780">
              <w:t>s ACO</w:t>
            </w:r>
          </w:p>
        </w:tc>
        <w:tc>
          <w:tcPr>
            <w:tcW w:w="5436" w:type="dxa"/>
          </w:tcPr>
          <w:p w14:paraId="08C74697" w14:textId="77777777" w:rsidR="00CC6B1A" w:rsidRPr="00475780" w:rsidRDefault="00CC6B1A" w:rsidP="002B5266">
            <w:r w:rsidRPr="00475780">
              <w:t>PA Type 1, Code 1111</w:t>
            </w:r>
          </w:p>
        </w:tc>
      </w:tr>
      <w:tr w:rsidR="00CC6B1A" w:rsidRPr="008436E9" w14:paraId="38DBCAE0" w14:textId="77777777" w:rsidTr="006863B4">
        <w:tc>
          <w:tcPr>
            <w:tcW w:w="5436" w:type="dxa"/>
          </w:tcPr>
          <w:p w14:paraId="37BE0DB7" w14:textId="77E527AC" w:rsidR="00CC6B1A" w:rsidRPr="00475780" w:rsidRDefault="00CC6B1A" w:rsidP="002B5266">
            <w:pPr>
              <w:contextualSpacing/>
            </w:pPr>
            <w:proofErr w:type="spellStart"/>
            <w:r w:rsidRPr="00475780">
              <w:t>WellSense</w:t>
            </w:r>
            <w:proofErr w:type="spellEnd"/>
            <w:r w:rsidRPr="00475780">
              <w:t xml:space="preserve"> Care Alliance</w:t>
            </w:r>
          </w:p>
        </w:tc>
        <w:tc>
          <w:tcPr>
            <w:tcW w:w="5436" w:type="dxa"/>
          </w:tcPr>
          <w:p w14:paraId="1120F821" w14:textId="77777777" w:rsidR="00CC6B1A" w:rsidRPr="00475780" w:rsidRDefault="00CC6B1A" w:rsidP="002B5266">
            <w:r w:rsidRPr="00475780">
              <w:t>PA Type 1, Code 1111</w:t>
            </w:r>
          </w:p>
        </w:tc>
      </w:tr>
      <w:tr w:rsidR="00CC6B1A" w:rsidRPr="008436E9" w14:paraId="29CB74FA" w14:textId="77777777" w:rsidTr="009A7C39">
        <w:trPr>
          <w:trHeight w:val="368"/>
        </w:trPr>
        <w:tc>
          <w:tcPr>
            <w:tcW w:w="5436" w:type="dxa"/>
          </w:tcPr>
          <w:p w14:paraId="7F4234BC" w14:textId="2D2FD6F0" w:rsidR="00CC6B1A" w:rsidRPr="00475780" w:rsidRDefault="00CC6B1A" w:rsidP="002B5266">
            <w:pPr>
              <w:contextualSpacing/>
            </w:pPr>
            <w:proofErr w:type="spellStart"/>
            <w:r w:rsidRPr="00475780">
              <w:t>WellSense</w:t>
            </w:r>
            <w:proofErr w:type="spellEnd"/>
            <w:r w:rsidRPr="00475780">
              <w:t xml:space="preserve"> Community Alliance</w:t>
            </w:r>
          </w:p>
        </w:tc>
        <w:tc>
          <w:tcPr>
            <w:tcW w:w="5436" w:type="dxa"/>
          </w:tcPr>
          <w:p w14:paraId="29EDFB39" w14:textId="77777777" w:rsidR="00CC6B1A" w:rsidRPr="00475780" w:rsidRDefault="00CC6B1A" w:rsidP="002B5266">
            <w:r w:rsidRPr="00475780">
              <w:t>PA Type 1, Code 1111</w:t>
            </w:r>
          </w:p>
        </w:tc>
      </w:tr>
      <w:tr w:rsidR="00CC6B1A" w:rsidRPr="008436E9" w14:paraId="6F10B950" w14:textId="77777777" w:rsidTr="006863B4">
        <w:tc>
          <w:tcPr>
            <w:tcW w:w="5436" w:type="dxa"/>
          </w:tcPr>
          <w:p w14:paraId="03D4FE69" w14:textId="1F558CEE" w:rsidR="00CC6B1A" w:rsidRPr="00475780" w:rsidRDefault="00CC6B1A" w:rsidP="002B5266">
            <w:pPr>
              <w:contextualSpacing/>
            </w:pPr>
            <w:proofErr w:type="spellStart"/>
            <w:r w:rsidRPr="00475780">
              <w:t>WellSense</w:t>
            </w:r>
            <w:proofErr w:type="spellEnd"/>
            <w:r w:rsidRPr="00475780">
              <w:t xml:space="preserve"> Mercy Alliance</w:t>
            </w:r>
          </w:p>
        </w:tc>
        <w:tc>
          <w:tcPr>
            <w:tcW w:w="5436" w:type="dxa"/>
          </w:tcPr>
          <w:p w14:paraId="1D30AAAF" w14:textId="77777777" w:rsidR="00CC6B1A" w:rsidRPr="00475780" w:rsidRDefault="00CC6B1A" w:rsidP="002B5266">
            <w:r w:rsidRPr="00475780">
              <w:t>PA Type 1, Code 1111</w:t>
            </w:r>
          </w:p>
        </w:tc>
      </w:tr>
      <w:tr w:rsidR="00CC6B1A" w:rsidRPr="008436E9" w14:paraId="1DDDFEA1" w14:textId="77777777" w:rsidTr="006863B4">
        <w:tc>
          <w:tcPr>
            <w:tcW w:w="5436" w:type="dxa"/>
          </w:tcPr>
          <w:p w14:paraId="3A8C422D" w14:textId="300C54D6" w:rsidR="00CC6B1A" w:rsidRPr="00475780" w:rsidRDefault="00CC6B1A" w:rsidP="002B5266">
            <w:pPr>
              <w:contextualSpacing/>
            </w:pPr>
            <w:proofErr w:type="spellStart"/>
            <w:r w:rsidRPr="00475780">
              <w:t>WellSense</w:t>
            </w:r>
            <w:proofErr w:type="spellEnd"/>
            <w:r w:rsidRPr="00475780">
              <w:t xml:space="preserve"> Signature Alliance</w:t>
            </w:r>
          </w:p>
        </w:tc>
        <w:tc>
          <w:tcPr>
            <w:tcW w:w="5436" w:type="dxa"/>
          </w:tcPr>
          <w:p w14:paraId="31D39A94" w14:textId="77777777" w:rsidR="00CC6B1A" w:rsidRPr="00475780" w:rsidRDefault="00CC6B1A" w:rsidP="002B5266">
            <w:r w:rsidRPr="00475780">
              <w:t>PA Type 1, Code 1111</w:t>
            </w:r>
          </w:p>
        </w:tc>
      </w:tr>
      <w:tr w:rsidR="00CC6B1A" w:rsidRPr="008436E9" w14:paraId="16F2D0F7" w14:textId="77777777" w:rsidTr="006863B4">
        <w:tc>
          <w:tcPr>
            <w:tcW w:w="5436" w:type="dxa"/>
          </w:tcPr>
          <w:p w14:paraId="4877AD3F" w14:textId="641F6F6E" w:rsidR="00CC6B1A" w:rsidRPr="00475780" w:rsidRDefault="00CC6B1A" w:rsidP="002B5266">
            <w:pPr>
              <w:contextualSpacing/>
            </w:pPr>
            <w:proofErr w:type="spellStart"/>
            <w:r w:rsidRPr="00475780">
              <w:t>WellSense</w:t>
            </w:r>
            <w:proofErr w:type="spellEnd"/>
            <w:r w:rsidRPr="00475780">
              <w:t xml:space="preserve"> Southcoast Alliance</w:t>
            </w:r>
          </w:p>
        </w:tc>
        <w:tc>
          <w:tcPr>
            <w:tcW w:w="5436" w:type="dxa"/>
          </w:tcPr>
          <w:p w14:paraId="323E3137" w14:textId="77777777" w:rsidR="00CC6B1A" w:rsidRPr="00475780" w:rsidRDefault="00CC6B1A" w:rsidP="002B5266">
            <w:r w:rsidRPr="00475780">
              <w:t>PA Type 1, Code 1111</w:t>
            </w:r>
          </w:p>
        </w:tc>
      </w:tr>
      <w:tr w:rsidR="00CC6B1A" w:rsidRPr="008436E9" w14:paraId="5943A2BB" w14:textId="77777777" w:rsidTr="006863B4">
        <w:tc>
          <w:tcPr>
            <w:tcW w:w="10872" w:type="dxa"/>
            <w:gridSpan w:val="2"/>
            <w:shd w:val="clear" w:color="auto" w:fill="BFBFBF" w:themeFill="background1" w:themeFillShade="BF"/>
          </w:tcPr>
          <w:p w14:paraId="7C47603B" w14:textId="77777777" w:rsidR="00CC6B1A" w:rsidRPr="00475780" w:rsidRDefault="00CC6B1A" w:rsidP="002B5266">
            <w:pPr>
              <w:rPr>
                <w:b/>
              </w:rPr>
            </w:pPr>
            <w:r>
              <w:rPr>
                <w:b/>
              </w:rPr>
              <w:t>PC</w:t>
            </w:r>
            <w:r w:rsidRPr="00475780">
              <w:rPr>
                <w:b/>
              </w:rPr>
              <w:t>ACOs and PCC Plan</w:t>
            </w:r>
          </w:p>
        </w:tc>
      </w:tr>
      <w:tr w:rsidR="00CC6B1A" w:rsidRPr="008436E9" w14:paraId="6324C136" w14:textId="77777777" w:rsidTr="006863B4">
        <w:tc>
          <w:tcPr>
            <w:tcW w:w="5436" w:type="dxa"/>
          </w:tcPr>
          <w:p w14:paraId="12C6BDF9" w14:textId="77777777" w:rsidR="00CC6B1A" w:rsidRPr="00475780" w:rsidRDefault="00CC6B1A" w:rsidP="002B5266">
            <w:r w:rsidRPr="00475780">
              <w:t xml:space="preserve">Community Care Cooperative </w:t>
            </w:r>
            <w:r>
              <w:t>(C3)</w:t>
            </w:r>
          </w:p>
        </w:tc>
        <w:tc>
          <w:tcPr>
            <w:tcW w:w="5436" w:type="dxa"/>
          </w:tcPr>
          <w:p w14:paraId="6D72AB5B" w14:textId="77777777" w:rsidR="00CC6B1A" w:rsidRPr="00475780" w:rsidRDefault="00CC6B1A" w:rsidP="002B5266">
            <w:r w:rsidRPr="00475780">
              <w:t>Value of “03” in field 418 (claims processed through POPS)</w:t>
            </w:r>
          </w:p>
        </w:tc>
      </w:tr>
      <w:tr w:rsidR="00CC6B1A" w:rsidRPr="008436E9" w14:paraId="7EFC65F5" w14:textId="77777777" w:rsidTr="006863B4">
        <w:tc>
          <w:tcPr>
            <w:tcW w:w="5436" w:type="dxa"/>
          </w:tcPr>
          <w:p w14:paraId="141517E6" w14:textId="77777777" w:rsidR="00CC6B1A" w:rsidRPr="00475780" w:rsidRDefault="00CC6B1A" w:rsidP="002B5266">
            <w:r w:rsidRPr="00475780">
              <w:t xml:space="preserve">Steward Health Choice </w:t>
            </w:r>
          </w:p>
        </w:tc>
        <w:tc>
          <w:tcPr>
            <w:tcW w:w="5436" w:type="dxa"/>
          </w:tcPr>
          <w:p w14:paraId="08429FE2" w14:textId="77777777" w:rsidR="00CC6B1A" w:rsidRPr="00475780" w:rsidRDefault="00CC6B1A" w:rsidP="002B5266">
            <w:r w:rsidRPr="00475780">
              <w:t>Value of “03” in field 418 (claims processed through POPS)</w:t>
            </w:r>
          </w:p>
        </w:tc>
      </w:tr>
      <w:tr w:rsidR="00CC6B1A" w:rsidRPr="008436E9" w14:paraId="1658F147" w14:textId="77777777" w:rsidTr="006863B4">
        <w:tc>
          <w:tcPr>
            <w:tcW w:w="5436" w:type="dxa"/>
          </w:tcPr>
          <w:p w14:paraId="33E0656F" w14:textId="77777777" w:rsidR="00CC6B1A" w:rsidRPr="00475780" w:rsidRDefault="00CC6B1A" w:rsidP="002B5266">
            <w:r w:rsidRPr="00475780">
              <w:t>Primary Care Clinician (PCC) plan</w:t>
            </w:r>
          </w:p>
        </w:tc>
        <w:tc>
          <w:tcPr>
            <w:tcW w:w="5436" w:type="dxa"/>
          </w:tcPr>
          <w:p w14:paraId="42A02FDC" w14:textId="6E66F146" w:rsidR="00056D4F" w:rsidRPr="00475780" w:rsidRDefault="00CC6B1A" w:rsidP="002B5266">
            <w:r w:rsidRPr="00475780">
              <w:t>Value of “03” in field 418 (claims processed through POPS)</w:t>
            </w:r>
          </w:p>
        </w:tc>
      </w:tr>
      <w:tr w:rsidR="00CC6B1A" w:rsidRPr="008436E9" w14:paraId="6EF034B8" w14:textId="77777777" w:rsidTr="006863B4">
        <w:tc>
          <w:tcPr>
            <w:tcW w:w="10872" w:type="dxa"/>
            <w:gridSpan w:val="2"/>
            <w:shd w:val="clear" w:color="auto" w:fill="BFBFBF" w:themeFill="background1" w:themeFillShade="BF"/>
          </w:tcPr>
          <w:p w14:paraId="6D2CE8E9" w14:textId="77777777" w:rsidR="00CC6B1A" w:rsidRPr="00475780" w:rsidRDefault="00CC6B1A" w:rsidP="009A7C39">
            <w:pPr>
              <w:spacing w:line="240" w:lineRule="exact"/>
              <w:rPr>
                <w:b/>
              </w:rPr>
            </w:pPr>
            <w:r w:rsidRPr="00475780">
              <w:rPr>
                <w:b/>
              </w:rPr>
              <w:t>MCOs</w:t>
            </w:r>
          </w:p>
        </w:tc>
      </w:tr>
      <w:tr w:rsidR="00CC6B1A" w:rsidRPr="008436E9" w14:paraId="0FE976C8" w14:textId="77777777" w:rsidTr="006863B4">
        <w:tc>
          <w:tcPr>
            <w:tcW w:w="5436" w:type="dxa"/>
          </w:tcPr>
          <w:p w14:paraId="10235D46" w14:textId="77777777" w:rsidR="00CC6B1A" w:rsidRPr="00475780" w:rsidRDefault="00CC6B1A" w:rsidP="002B5266">
            <w:proofErr w:type="spellStart"/>
            <w:r w:rsidRPr="00475780">
              <w:t>WellSense</w:t>
            </w:r>
            <w:proofErr w:type="spellEnd"/>
            <w:r w:rsidRPr="00475780">
              <w:t xml:space="preserve"> </w:t>
            </w:r>
            <w:r>
              <w:t>Essential MCO</w:t>
            </w:r>
          </w:p>
        </w:tc>
        <w:tc>
          <w:tcPr>
            <w:tcW w:w="5436" w:type="dxa"/>
          </w:tcPr>
          <w:p w14:paraId="37BE0598" w14:textId="77777777" w:rsidR="00CC6B1A" w:rsidRPr="00475780" w:rsidRDefault="00CC6B1A" w:rsidP="002B5266">
            <w:r w:rsidRPr="00475780">
              <w:t>PA Type 1, Code 1111</w:t>
            </w:r>
          </w:p>
        </w:tc>
      </w:tr>
      <w:tr w:rsidR="00CC6B1A" w:rsidRPr="008436E9" w14:paraId="0CFCEAAC" w14:textId="77777777" w:rsidTr="006863B4">
        <w:tc>
          <w:tcPr>
            <w:tcW w:w="5436" w:type="dxa"/>
          </w:tcPr>
          <w:p w14:paraId="0A7E92FA" w14:textId="77777777" w:rsidR="00CC6B1A" w:rsidRPr="00475780" w:rsidRDefault="00CC6B1A" w:rsidP="002B5266">
            <w:r w:rsidRPr="00475780">
              <w:t>Tufts Health Together</w:t>
            </w:r>
          </w:p>
        </w:tc>
        <w:tc>
          <w:tcPr>
            <w:tcW w:w="5436" w:type="dxa"/>
          </w:tcPr>
          <w:p w14:paraId="34D93CC4" w14:textId="77777777" w:rsidR="00CC6B1A" w:rsidRPr="00475780" w:rsidRDefault="00CC6B1A" w:rsidP="002B5266">
            <w:r w:rsidRPr="00475780">
              <w:t>11112222333</w:t>
            </w:r>
          </w:p>
        </w:tc>
      </w:tr>
      <w:bookmarkEnd w:id="0"/>
    </w:tbl>
    <w:p w14:paraId="5DC37630" w14:textId="77777777" w:rsidR="00CC6B1A" w:rsidRPr="008436E9" w:rsidRDefault="00CC6B1A" w:rsidP="00CC6B1A">
      <w:pPr>
        <w:rPr>
          <w:rFonts w:ascii="Arial" w:eastAsia="Arial" w:hAnsi="Arial" w:cs="Arial"/>
          <w:sz w:val="21"/>
          <w:szCs w:val="21"/>
        </w:rPr>
      </w:pPr>
    </w:p>
    <w:p w14:paraId="42CE8FCF" w14:textId="77777777" w:rsidR="009A7C39" w:rsidRDefault="009A7C39">
      <w:pPr>
        <w:rPr>
          <w:rFonts w:ascii="Arial Black" w:hAnsi="Arial Black"/>
          <w:b/>
        </w:rPr>
      </w:pPr>
      <w:r>
        <w:rPr>
          <w:rFonts w:ascii="Arial Black" w:hAnsi="Arial Black"/>
          <w:b/>
        </w:rPr>
        <w:br w:type="page"/>
      </w:r>
    </w:p>
    <w:p w14:paraId="2E9A0800" w14:textId="0833B5B5" w:rsidR="00CC6B1A" w:rsidRPr="00166661" w:rsidRDefault="00CC6B1A" w:rsidP="00CC6B1A">
      <w:pPr>
        <w:jc w:val="center"/>
        <w:rPr>
          <w:rFonts w:ascii="Arial Black" w:hAnsi="Arial Black"/>
          <w:b/>
        </w:rPr>
      </w:pPr>
      <w:r w:rsidRPr="00166661">
        <w:rPr>
          <w:rFonts w:ascii="Arial Black" w:hAnsi="Arial Black"/>
          <w:b/>
        </w:rPr>
        <w:lastRenderedPageBreak/>
        <w:t>Appendix C</w:t>
      </w:r>
    </w:p>
    <w:p w14:paraId="6631A570" w14:textId="77777777" w:rsidR="00CC6B1A" w:rsidRPr="00166661" w:rsidRDefault="00CC6B1A" w:rsidP="00CC6B1A">
      <w:pPr>
        <w:rPr>
          <w:b/>
        </w:rPr>
      </w:pPr>
    </w:p>
    <w:p w14:paraId="19A4B7CB" w14:textId="77777777" w:rsidR="00CC6B1A" w:rsidRPr="00166661" w:rsidRDefault="00CC6B1A" w:rsidP="00CC6B1A">
      <w:pPr>
        <w:jc w:val="center"/>
        <w:rPr>
          <w:rFonts w:ascii="Arial" w:eastAsia="Arial" w:hAnsi="Arial" w:cs="Arial"/>
          <w:b/>
          <w:bCs/>
        </w:rPr>
      </w:pPr>
      <w:r w:rsidRPr="00166661">
        <w:rPr>
          <w:rFonts w:ascii="Arial" w:eastAsia="Arial" w:hAnsi="Arial" w:cs="Arial"/>
          <w:b/>
          <w:bCs/>
        </w:rPr>
        <w:t>ACO Customer Service Numbers</w:t>
      </w:r>
    </w:p>
    <w:p w14:paraId="5F2BB51F" w14:textId="77777777" w:rsidR="00CC6B1A" w:rsidRPr="00166661" w:rsidRDefault="00CC6B1A" w:rsidP="00CC6B1A">
      <w:pPr>
        <w:tabs>
          <w:tab w:val="left" w:pos="1606"/>
        </w:tabs>
      </w:pPr>
    </w:p>
    <w:tbl>
      <w:tblPr>
        <w:tblStyle w:val="TableGrid1"/>
        <w:tblW w:w="0" w:type="auto"/>
        <w:tblLook w:val="04A0" w:firstRow="1" w:lastRow="0" w:firstColumn="1" w:lastColumn="0" w:noHBand="0" w:noVBand="1"/>
      </w:tblPr>
      <w:tblGrid>
        <w:gridCol w:w="5214"/>
        <w:gridCol w:w="5202"/>
      </w:tblGrid>
      <w:tr w:rsidR="00CC6B1A" w:rsidRPr="00166661" w14:paraId="2B833F82" w14:textId="77777777" w:rsidTr="006863B4">
        <w:tc>
          <w:tcPr>
            <w:tcW w:w="5436" w:type="dxa"/>
            <w:shd w:val="clear" w:color="auto" w:fill="BFBFBF"/>
          </w:tcPr>
          <w:p w14:paraId="2AD03FF4" w14:textId="77777777" w:rsidR="00CC6B1A" w:rsidRPr="00166661" w:rsidRDefault="00CC6B1A" w:rsidP="006863B4">
            <w:pPr>
              <w:rPr>
                <w:rFonts w:ascii="Arial" w:hAnsi="Arial" w:cs="Arial"/>
                <w:b/>
                <w:sz w:val="22"/>
                <w:szCs w:val="22"/>
              </w:rPr>
            </w:pPr>
            <w:r>
              <w:rPr>
                <w:rFonts w:ascii="Arial" w:hAnsi="Arial" w:cs="Arial"/>
                <w:b/>
                <w:sz w:val="22"/>
                <w:szCs w:val="22"/>
              </w:rPr>
              <w:t>Accountable</w:t>
            </w:r>
            <w:r w:rsidRPr="00166661">
              <w:rPr>
                <w:rFonts w:ascii="Arial" w:hAnsi="Arial" w:cs="Arial"/>
                <w:b/>
                <w:sz w:val="22"/>
                <w:szCs w:val="22"/>
              </w:rPr>
              <w:t xml:space="preserve"> Care Partnership Plans</w:t>
            </w:r>
          </w:p>
        </w:tc>
        <w:tc>
          <w:tcPr>
            <w:tcW w:w="5436" w:type="dxa"/>
            <w:shd w:val="clear" w:color="auto" w:fill="BFBFBF"/>
          </w:tcPr>
          <w:p w14:paraId="12323761" w14:textId="77777777" w:rsidR="00CC6B1A" w:rsidRPr="00166661" w:rsidRDefault="00CC6B1A" w:rsidP="006863B4">
            <w:pPr>
              <w:rPr>
                <w:rFonts w:ascii="Arial" w:hAnsi="Arial" w:cs="Arial"/>
                <w:b/>
                <w:sz w:val="22"/>
                <w:szCs w:val="22"/>
              </w:rPr>
            </w:pPr>
            <w:r w:rsidRPr="00166661">
              <w:rPr>
                <w:rFonts w:ascii="Arial" w:hAnsi="Arial" w:cs="Arial"/>
                <w:b/>
                <w:sz w:val="22"/>
                <w:szCs w:val="22"/>
              </w:rPr>
              <w:t>ACO Customer Service</w:t>
            </w:r>
          </w:p>
        </w:tc>
      </w:tr>
      <w:tr w:rsidR="00CC6B1A" w:rsidRPr="00166661" w14:paraId="4F69392E" w14:textId="77777777" w:rsidTr="006863B4">
        <w:tc>
          <w:tcPr>
            <w:tcW w:w="5436" w:type="dxa"/>
          </w:tcPr>
          <w:p w14:paraId="65282BB3" w14:textId="77777777" w:rsidR="00CC6B1A" w:rsidRPr="005374EC" w:rsidRDefault="00CC6B1A" w:rsidP="006863B4">
            <w:r w:rsidRPr="005374EC">
              <w:t>Fallon Health-Atrius Health Care Collaborative</w:t>
            </w:r>
          </w:p>
        </w:tc>
        <w:tc>
          <w:tcPr>
            <w:tcW w:w="5436" w:type="dxa"/>
          </w:tcPr>
          <w:p w14:paraId="0A19DF44" w14:textId="774DCA07" w:rsidR="00CC6B1A" w:rsidRPr="005374EC" w:rsidRDefault="00CC6B1A" w:rsidP="006863B4">
            <w:r w:rsidRPr="005374EC">
              <w:t>(866) 473-0471</w:t>
            </w:r>
          </w:p>
          <w:p w14:paraId="41AE1BB1" w14:textId="0E9A4C97" w:rsidR="00CC6B1A" w:rsidRPr="005374EC" w:rsidRDefault="00CC6B1A" w:rsidP="009A7C39">
            <w:r w:rsidRPr="005374EC">
              <w:t>866-275-3247 (for eligibility verification)</w:t>
            </w:r>
          </w:p>
        </w:tc>
      </w:tr>
      <w:tr w:rsidR="00CC6B1A" w:rsidRPr="00166661" w14:paraId="5A834B3D" w14:textId="77777777" w:rsidTr="006863B4">
        <w:tc>
          <w:tcPr>
            <w:tcW w:w="5436" w:type="dxa"/>
          </w:tcPr>
          <w:p w14:paraId="12C3786C" w14:textId="77777777" w:rsidR="00CC6B1A" w:rsidRPr="005374EC" w:rsidRDefault="00CC6B1A" w:rsidP="006863B4">
            <w:r w:rsidRPr="005374EC">
              <w:t>Berkshire Fallon Health Collaborative</w:t>
            </w:r>
          </w:p>
        </w:tc>
        <w:tc>
          <w:tcPr>
            <w:tcW w:w="5436" w:type="dxa"/>
          </w:tcPr>
          <w:p w14:paraId="54AD4279" w14:textId="7E4C5843" w:rsidR="00CC6B1A" w:rsidRPr="005374EC" w:rsidRDefault="00CC6B1A" w:rsidP="006863B4">
            <w:r w:rsidRPr="005374EC">
              <w:t>(855) 203-4660</w:t>
            </w:r>
          </w:p>
          <w:p w14:paraId="345FCE8A" w14:textId="5078EA43" w:rsidR="00CC6B1A" w:rsidRPr="005374EC" w:rsidRDefault="00CC6B1A" w:rsidP="009A7C39">
            <w:r w:rsidRPr="005374EC">
              <w:t>866-275-3247 (for eligibility verification)</w:t>
            </w:r>
          </w:p>
        </w:tc>
      </w:tr>
      <w:tr w:rsidR="00CC6B1A" w:rsidRPr="00166661" w14:paraId="4E672F3A" w14:textId="77777777" w:rsidTr="006863B4">
        <w:tc>
          <w:tcPr>
            <w:tcW w:w="5436" w:type="dxa"/>
          </w:tcPr>
          <w:p w14:paraId="79EA4B75" w14:textId="77777777" w:rsidR="00CC6B1A" w:rsidRPr="005374EC" w:rsidRDefault="00CC6B1A" w:rsidP="006863B4">
            <w:r w:rsidRPr="005374EC">
              <w:t>Fallon 365 Care</w:t>
            </w:r>
          </w:p>
        </w:tc>
        <w:tc>
          <w:tcPr>
            <w:tcW w:w="5436" w:type="dxa"/>
          </w:tcPr>
          <w:p w14:paraId="23DD46D9" w14:textId="51E30DEE" w:rsidR="00CC6B1A" w:rsidRPr="005374EC" w:rsidRDefault="00CC6B1A" w:rsidP="006863B4">
            <w:r w:rsidRPr="005374EC">
              <w:t>(855) 508-3390</w:t>
            </w:r>
          </w:p>
          <w:p w14:paraId="74A3E3CD" w14:textId="49BFE907" w:rsidR="00CC6B1A" w:rsidRPr="005374EC" w:rsidRDefault="00CC6B1A" w:rsidP="009A7C39">
            <w:r w:rsidRPr="005374EC">
              <w:t>866-275-3247 (for eligibility verification)</w:t>
            </w:r>
          </w:p>
        </w:tc>
      </w:tr>
      <w:tr w:rsidR="00CC6B1A" w:rsidRPr="00166661" w14:paraId="06681A01" w14:textId="77777777" w:rsidTr="006863B4">
        <w:tc>
          <w:tcPr>
            <w:tcW w:w="5436" w:type="dxa"/>
          </w:tcPr>
          <w:p w14:paraId="678B925E" w14:textId="77777777" w:rsidR="00CC6B1A" w:rsidRPr="005374EC" w:rsidRDefault="00CC6B1A" w:rsidP="006863B4">
            <w:r w:rsidRPr="005374EC">
              <w:t xml:space="preserve">Be Healthy Partnership </w:t>
            </w:r>
            <w:r>
              <w:t xml:space="preserve">Plan </w:t>
            </w:r>
            <w:r w:rsidRPr="005374EC">
              <w:t>(HNE)</w:t>
            </w:r>
          </w:p>
        </w:tc>
        <w:tc>
          <w:tcPr>
            <w:tcW w:w="5436" w:type="dxa"/>
          </w:tcPr>
          <w:p w14:paraId="3D83DAA7" w14:textId="625B7F77" w:rsidR="00CC6B1A" w:rsidRPr="005374EC" w:rsidRDefault="00CC6B1A" w:rsidP="009A7C39">
            <w:r w:rsidRPr="005374EC">
              <w:t>(800) 786-9999</w:t>
            </w:r>
          </w:p>
        </w:tc>
      </w:tr>
      <w:tr w:rsidR="00CC6B1A" w:rsidRPr="00166661" w14:paraId="12D1D9BC" w14:textId="77777777" w:rsidTr="006863B4">
        <w:tc>
          <w:tcPr>
            <w:tcW w:w="5436" w:type="dxa"/>
          </w:tcPr>
          <w:p w14:paraId="62BA49F7" w14:textId="77777777" w:rsidR="00CC6B1A" w:rsidRPr="005374EC" w:rsidRDefault="00CC6B1A" w:rsidP="006863B4">
            <w:pPr>
              <w:spacing w:after="160" w:line="259" w:lineRule="auto"/>
              <w:contextualSpacing/>
            </w:pPr>
            <w:r w:rsidRPr="005374EC">
              <w:t xml:space="preserve">Mass General Brigham Health Plan with Mass General </w:t>
            </w:r>
            <w:r w:rsidRPr="002D34DA">
              <w:t>Brigham ACO</w:t>
            </w:r>
          </w:p>
        </w:tc>
        <w:tc>
          <w:tcPr>
            <w:tcW w:w="5436" w:type="dxa"/>
          </w:tcPr>
          <w:p w14:paraId="1FB46C03" w14:textId="77777777" w:rsidR="00CC6B1A" w:rsidRPr="005374EC" w:rsidRDefault="00CC6B1A" w:rsidP="006863B4">
            <w:r w:rsidRPr="005374EC">
              <w:t>(800) 462-5449</w:t>
            </w:r>
          </w:p>
          <w:p w14:paraId="67A07C6A" w14:textId="77777777" w:rsidR="00CC6B1A" w:rsidRPr="005374EC" w:rsidRDefault="00CC6B1A" w:rsidP="006863B4"/>
        </w:tc>
      </w:tr>
      <w:tr w:rsidR="00CC6B1A" w:rsidRPr="00166661" w14:paraId="7697DBF6" w14:textId="77777777" w:rsidTr="006863B4">
        <w:tc>
          <w:tcPr>
            <w:tcW w:w="5436" w:type="dxa"/>
          </w:tcPr>
          <w:p w14:paraId="179AB201" w14:textId="77777777" w:rsidR="00CC6B1A" w:rsidRPr="005374EC" w:rsidRDefault="00CC6B1A" w:rsidP="006863B4">
            <w:r w:rsidRPr="005374EC">
              <w:t xml:space="preserve">Tufts Health Together with </w:t>
            </w:r>
            <w:r>
              <w:t>Cambridge Health Alliance (</w:t>
            </w:r>
            <w:r w:rsidRPr="005374EC">
              <w:t>CHA</w:t>
            </w:r>
            <w:r>
              <w:t>)</w:t>
            </w:r>
          </w:p>
        </w:tc>
        <w:tc>
          <w:tcPr>
            <w:tcW w:w="5436" w:type="dxa"/>
          </w:tcPr>
          <w:p w14:paraId="24AB8663" w14:textId="77777777" w:rsidR="00CC6B1A" w:rsidRPr="005374EC" w:rsidRDefault="00CC6B1A" w:rsidP="006863B4">
            <w:r w:rsidRPr="005374EC">
              <w:t>(888) 257-1985</w:t>
            </w:r>
          </w:p>
          <w:p w14:paraId="634F5C61" w14:textId="77777777" w:rsidR="00CC6B1A" w:rsidRPr="005374EC" w:rsidRDefault="00CC6B1A" w:rsidP="006863B4"/>
        </w:tc>
      </w:tr>
      <w:tr w:rsidR="00CC6B1A" w:rsidRPr="00166661" w14:paraId="23B2F147" w14:textId="77777777" w:rsidTr="006863B4">
        <w:tc>
          <w:tcPr>
            <w:tcW w:w="5436" w:type="dxa"/>
          </w:tcPr>
          <w:p w14:paraId="3ADE6DB2" w14:textId="77777777" w:rsidR="00CC6B1A" w:rsidRPr="005374EC" w:rsidRDefault="00CC6B1A" w:rsidP="006863B4">
            <w:pPr>
              <w:spacing w:after="160" w:line="259" w:lineRule="auto"/>
              <w:contextualSpacing/>
            </w:pPr>
            <w:r w:rsidRPr="005374EC">
              <w:t xml:space="preserve">Tufts Health Together with UMass Memorial Health </w:t>
            </w:r>
          </w:p>
        </w:tc>
        <w:tc>
          <w:tcPr>
            <w:tcW w:w="5436" w:type="dxa"/>
          </w:tcPr>
          <w:p w14:paraId="02230CED" w14:textId="77777777" w:rsidR="00CC6B1A" w:rsidRPr="005374EC" w:rsidRDefault="00CC6B1A" w:rsidP="006863B4">
            <w:r w:rsidRPr="005374EC">
              <w:t>(888) 257-1985</w:t>
            </w:r>
          </w:p>
          <w:p w14:paraId="15B3899C" w14:textId="77777777" w:rsidR="00CC6B1A" w:rsidRPr="005374EC" w:rsidRDefault="00CC6B1A" w:rsidP="006863B4"/>
        </w:tc>
      </w:tr>
      <w:tr w:rsidR="00CC6B1A" w:rsidRPr="00166661" w14:paraId="4D48F3C9" w14:textId="77777777" w:rsidTr="006863B4">
        <w:tc>
          <w:tcPr>
            <w:tcW w:w="5436" w:type="dxa"/>
          </w:tcPr>
          <w:p w14:paraId="22DF05D7" w14:textId="77777777" w:rsidR="00CC6B1A" w:rsidRPr="005374EC" w:rsidRDefault="00CC6B1A" w:rsidP="006863B4">
            <w:r w:rsidRPr="005374EC">
              <w:t xml:space="preserve">East Boston Neighborhood Health </w:t>
            </w:r>
            <w:proofErr w:type="spellStart"/>
            <w:r w:rsidRPr="005374EC">
              <w:t>WellSense</w:t>
            </w:r>
            <w:proofErr w:type="spellEnd"/>
            <w:r w:rsidRPr="005374EC">
              <w:t xml:space="preserve"> Alliance</w:t>
            </w:r>
          </w:p>
        </w:tc>
        <w:tc>
          <w:tcPr>
            <w:tcW w:w="5436" w:type="dxa"/>
          </w:tcPr>
          <w:p w14:paraId="60EFC2CC" w14:textId="77777777" w:rsidR="00CC6B1A" w:rsidRPr="005374EC" w:rsidRDefault="00CC6B1A" w:rsidP="006863B4">
            <w:r w:rsidRPr="005374EC">
              <w:t>(888) 566-0010</w:t>
            </w:r>
          </w:p>
          <w:p w14:paraId="69110711" w14:textId="77777777" w:rsidR="00CC6B1A" w:rsidRPr="005374EC" w:rsidRDefault="00CC6B1A" w:rsidP="006863B4"/>
        </w:tc>
      </w:tr>
      <w:tr w:rsidR="00CC6B1A" w:rsidRPr="00166661" w14:paraId="0998E69F" w14:textId="77777777" w:rsidTr="006863B4">
        <w:tc>
          <w:tcPr>
            <w:tcW w:w="5436" w:type="dxa"/>
          </w:tcPr>
          <w:p w14:paraId="34330AF8" w14:textId="2652EA19" w:rsidR="00CC6B1A" w:rsidRPr="005374EC" w:rsidRDefault="00CC6B1A" w:rsidP="002B5266">
            <w:pPr>
              <w:spacing w:after="160"/>
              <w:contextualSpacing/>
            </w:pPr>
            <w:proofErr w:type="spellStart"/>
            <w:r w:rsidRPr="005374EC">
              <w:t>WellSense</w:t>
            </w:r>
            <w:proofErr w:type="spellEnd"/>
            <w:r w:rsidRPr="005374EC">
              <w:t xml:space="preserve"> </w:t>
            </w:r>
            <w:r>
              <w:t>Beth Israel Lahey Health (</w:t>
            </w:r>
            <w:r w:rsidRPr="005374EC">
              <w:t>BILH</w:t>
            </w:r>
            <w:r>
              <w:t>)</w:t>
            </w:r>
            <w:r w:rsidRPr="005374EC">
              <w:t xml:space="preserve"> Performance Network ACO </w:t>
            </w:r>
          </w:p>
        </w:tc>
        <w:tc>
          <w:tcPr>
            <w:tcW w:w="5436" w:type="dxa"/>
          </w:tcPr>
          <w:p w14:paraId="2538A82F" w14:textId="77777777" w:rsidR="00CC6B1A" w:rsidRPr="005374EC" w:rsidRDefault="00CC6B1A" w:rsidP="002B5266">
            <w:r w:rsidRPr="005374EC">
              <w:t>(888) 566-0010</w:t>
            </w:r>
          </w:p>
        </w:tc>
      </w:tr>
      <w:tr w:rsidR="00CC6B1A" w:rsidRPr="00166661" w14:paraId="52F934BE" w14:textId="77777777" w:rsidTr="006863B4">
        <w:tc>
          <w:tcPr>
            <w:tcW w:w="5436" w:type="dxa"/>
          </w:tcPr>
          <w:p w14:paraId="6B4A93C8" w14:textId="55EB996C" w:rsidR="00CC6B1A" w:rsidRPr="005374EC" w:rsidRDefault="00CC6B1A" w:rsidP="002B5266">
            <w:pPr>
              <w:spacing w:after="160"/>
              <w:contextualSpacing/>
            </w:pPr>
            <w:proofErr w:type="spellStart"/>
            <w:r w:rsidRPr="005374EC">
              <w:t>WellSense</w:t>
            </w:r>
            <w:proofErr w:type="spellEnd"/>
            <w:r w:rsidRPr="005374EC">
              <w:t xml:space="preserve"> Boston Children</w:t>
            </w:r>
            <w:r>
              <w:t>’</w:t>
            </w:r>
            <w:r w:rsidRPr="005374EC">
              <w:t>s ACO</w:t>
            </w:r>
          </w:p>
        </w:tc>
        <w:tc>
          <w:tcPr>
            <w:tcW w:w="5436" w:type="dxa"/>
          </w:tcPr>
          <w:p w14:paraId="27145B24" w14:textId="77777777" w:rsidR="00CC6B1A" w:rsidRPr="005374EC" w:rsidRDefault="00CC6B1A" w:rsidP="002B5266">
            <w:r w:rsidRPr="005374EC">
              <w:t>(888) 566-0010</w:t>
            </w:r>
          </w:p>
        </w:tc>
      </w:tr>
      <w:tr w:rsidR="00CC6B1A" w:rsidRPr="00166661" w14:paraId="33FBCC92" w14:textId="77777777" w:rsidTr="006863B4">
        <w:tc>
          <w:tcPr>
            <w:tcW w:w="5436" w:type="dxa"/>
          </w:tcPr>
          <w:p w14:paraId="07033E20" w14:textId="4A69A3FE" w:rsidR="00CC6B1A" w:rsidRPr="005374EC" w:rsidRDefault="00CC6B1A" w:rsidP="002B5266">
            <w:pPr>
              <w:spacing w:after="160"/>
              <w:contextualSpacing/>
            </w:pPr>
            <w:proofErr w:type="spellStart"/>
            <w:r w:rsidRPr="005374EC">
              <w:t>WellSense</w:t>
            </w:r>
            <w:proofErr w:type="spellEnd"/>
            <w:r w:rsidRPr="005374EC">
              <w:t xml:space="preserve"> Care Alliance</w:t>
            </w:r>
          </w:p>
        </w:tc>
        <w:tc>
          <w:tcPr>
            <w:tcW w:w="5436" w:type="dxa"/>
          </w:tcPr>
          <w:p w14:paraId="22731510" w14:textId="77777777" w:rsidR="00CC6B1A" w:rsidRPr="005374EC" w:rsidRDefault="00CC6B1A" w:rsidP="002B5266">
            <w:r w:rsidRPr="005374EC">
              <w:t>(888) 566-0010</w:t>
            </w:r>
          </w:p>
        </w:tc>
      </w:tr>
      <w:tr w:rsidR="00CC6B1A" w:rsidRPr="00166661" w14:paraId="08587127" w14:textId="77777777" w:rsidTr="006863B4">
        <w:tc>
          <w:tcPr>
            <w:tcW w:w="5436" w:type="dxa"/>
          </w:tcPr>
          <w:p w14:paraId="0955604D" w14:textId="51C5265B" w:rsidR="00CC6B1A" w:rsidRPr="005374EC" w:rsidRDefault="00CC6B1A" w:rsidP="002B5266">
            <w:pPr>
              <w:spacing w:after="160"/>
              <w:contextualSpacing/>
            </w:pPr>
            <w:proofErr w:type="spellStart"/>
            <w:r w:rsidRPr="005374EC">
              <w:t>WellSense</w:t>
            </w:r>
            <w:proofErr w:type="spellEnd"/>
            <w:r w:rsidRPr="005374EC">
              <w:t xml:space="preserve"> Community Alliance</w:t>
            </w:r>
          </w:p>
        </w:tc>
        <w:tc>
          <w:tcPr>
            <w:tcW w:w="5436" w:type="dxa"/>
          </w:tcPr>
          <w:p w14:paraId="2B5C2086" w14:textId="77777777" w:rsidR="00CC6B1A" w:rsidRPr="005374EC" w:rsidRDefault="00CC6B1A" w:rsidP="002B5266">
            <w:r w:rsidRPr="005374EC">
              <w:t>(888) 566-0010</w:t>
            </w:r>
          </w:p>
        </w:tc>
      </w:tr>
      <w:tr w:rsidR="00CC6B1A" w:rsidRPr="00166661" w14:paraId="76CE63A1" w14:textId="77777777" w:rsidTr="006863B4">
        <w:tc>
          <w:tcPr>
            <w:tcW w:w="5436" w:type="dxa"/>
          </w:tcPr>
          <w:p w14:paraId="56FD7F29" w14:textId="135D5E28" w:rsidR="00CC6B1A" w:rsidRPr="005374EC" w:rsidRDefault="00CC6B1A" w:rsidP="002B5266">
            <w:pPr>
              <w:spacing w:after="160"/>
              <w:contextualSpacing/>
            </w:pPr>
            <w:proofErr w:type="spellStart"/>
            <w:r w:rsidRPr="005374EC">
              <w:t>WellSense</w:t>
            </w:r>
            <w:proofErr w:type="spellEnd"/>
            <w:r w:rsidRPr="005374EC">
              <w:t xml:space="preserve"> Mercy Alliance</w:t>
            </w:r>
          </w:p>
        </w:tc>
        <w:tc>
          <w:tcPr>
            <w:tcW w:w="5436" w:type="dxa"/>
          </w:tcPr>
          <w:p w14:paraId="56041CB6" w14:textId="77777777" w:rsidR="00CC6B1A" w:rsidRPr="005374EC" w:rsidRDefault="00CC6B1A" w:rsidP="002B5266">
            <w:r w:rsidRPr="005374EC">
              <w:t>(888) 566-0010</w:t>
            </w:r>
          </w:p>
        </w:tc>
      </w:tr>
      <w:tr w:rsidR="00CC6B1A" w:rsidRPr="00166661" w14:paraId="1B869141" w14:textId="77777777" w:rsidTr="006863B4">
        <w:tc>
          <w:tcPr>
            <w:tcW w:w="5436" w:type="dxa"/>
          </w:tcPr>
          <w:p w14:paraId="7F97C6D5" w14:textId="7FF1E9FC" w:rsidR="00CC6B1A" w:rsidRPr="005374EC" w:rsidRDefault="00CC6B1A" w:rsidP="002B5266">
            <w:pPr>
              <w:spacing w:after="160"/>
              <w:contextualSpacing/>
            </w:pPr>
            <w:proofErr w:type="spellStart"/>
            <w:r w:rsidRPr="005374EC">
              <w:t>WellSense</w:t>
            </w:r>
            <w:proofErr w:type="spellEnd"/>
            <w:r w:rsidRPr="005374EC">
              <w:t xml:space="preserve"> Signature Alliance</w:t>
            </w:r>
          </w:p>
        </w:tc>
        <w:tc>
          <w:tcPr>
            <w:tcW w:w="5436" w:type="dxa"/>
          </w:tcPr>
          <w:p w14:paraId="7CB3DF33" w14:textId="77777777" w:rsidR="00CC6B1A" w:rsidRPr="005374EC" w:rsidRDefault="00CC6B1A" w:rsidP="002B5266">
            <w:r w:rsidRPr="005374EC">
              <w:t>(888) 566-0010</w:t>
            </w:r>
          </w:p>
        </w:tc>
      </w:tr>
      <w:tr w:rsidR="00CC6B1A" w:rsidRPr="00166661" w14:paraId="626F68F1" w14:textId="77777777" w:rsidTr="006863B4">
        <w:tc>
          <w:tcPr>
            <w:tcW w:w="5436" w:type="dxa"/>
          </w:tcPr>
          <w:p w14:paraId="6D67165E" w14:textId="7EAA775B" w:rsidR="00CC6B1A" w:rsidRPr="005374EC" w:rsidRDefault="00CC6B1A" w:rsidP="002B5266">
            <w:pPr>
              <w:spacing w:after="160"/>
              <w:contextualSpacing/>
            </w:pPr>
            <w:proofErr w:type="spellStart"/>
            <w:r w:rsidRPr="005374EC">
              <w:t>WellSense</w:t>
            </w:r>
            <w:proofErr w:type="spellEnd"/>
            <w:r w:rsidRPr="005374EC">
              <w:t xml:space="preserve"> Southcoast Alliance</w:t>
            </w:r>
          </w:p>
        </w:tc>
        <w:tc>
          <w:tcPr>
            <w:tcW w:w="5436" w:type="dxa"/>
          </w:tcPr>
          <w:p w14:paraId="26D20751" w14:textId="77777777" w:rsidR="00CC6B1A" w:rsidRPr="005374EC" w:rsidRDefault="00CC6B1A" w:rsidP="002B5266">
            <w:r w:rsidRPr="005374EC">
              <w:t>(888) 566-0010</w:t>
            </w:r>
          </w:p>
        </w:tc>
      </w:tr>
      <w:tr w:rsidR="00CC6B1A" w:rsidRPr="00166661" w14:paraId="66C3D7F7" w14:textId="77777777" w:rsidTr="006863B4">
        <w:tc>
          <w:tcPr>
            <w:tcW w:w="10872" w:type="dxa"/>
            <w:gridSpan w:val="2"/>
            <w:shd w:val="clear" w:color="auto" w:fill="BFBFBF"/>
          </w:tcPr>
          <w:p w14:paraId="6719E06E" w14:textId="77777777" w:rsidR="00CC6B1A" w:rsidRPr="005374EC" w:rsidRDefault="00CC6B1A" w:rsidP="002B5266">
            <w:pPr>
              <w:rPr>
                <w:b/>
              </w:rPr>
            </w:pPr>
            <w:r>
              <w:rPr>
                <w:b/>
              </w:rPr>
              <w:t>PC</w:t>
            </w:r>
            <w:r w:rsidRPr="005374EC">
              <w:rPr>
                <w:b/>
              </w:rPr>
              <w:t>ACOs and PCC Plan</w:t>
            </w:r>
          </w:p>
        </w:tc>
      </w:tr>
      <w:tr w:rsidR="00CC6B1A" w:rsidRPr="00166661" w14:paraId="6AE0ED53" w14:textId="77777777" w:rsidTr="006863B4">
        <w:tc>
          <w:tcPr>
            <w:tcW w:w="5436" w:type="dxa"/>
          </w:tcPr>
          <w:p w14:paraId="0241102D" w14:textId="77777777" w:rsidR="00CC6B1A" w:rsidRPr="005374EC" w:rsidRDefault="00CC6B1A" w:rsidP="002B5266">
            <w:r w:rsidRPr="005374EC">
              <w:t xml:space="preserve">Community Care Cooperative </w:t>
            </w:r>
            <w:r>
              <w:t>(C3)</w:t>
            </w:r>
          </w:p>
        </w:tc>
        <w:tc>
          <w:tcPr>
            <w:tcW w:w="5436" w:type="dxa"/>
          </w:tcPr>
          <w:p w14:paraId="11EDCD12" w14:textId="6CB1E65A" w:rsidR="00CC6B1A" w:rsidRPr="005374EC" w:rsidRDefault="00CC6B1A" w:rsidP="002B5266">
            <w:r w:rsidRPr="005374EC">
              <w:t>(866) 676-9226</w:t>
            </w:r>
          </w:p>
        </w:tc>
      </w:tr>
      <w:tr w:rsidR="00CC6B1A" w:rsidRPr="00166661" w14:paraId="7E6C1654" w14:textId="77777777" w:rsidTr="006863B4">
        <w:tc>
          <w:tcPr>
            <w:tcW w:w="5436" w:type="dxa"/>
          </w:tcPr>
          <w:p w14:paraId="51FD756C" w14:textId="77777777" w:rsidR="00CC6B1A" w:rsidRPr="005374EC" w:rsidRDefault="00CC6B1A" w:rsidP="002B5266">
            <w:r w:rsidRPr="005374EC">
              <w:t xml:space="preserve">Steward Health Choice </w:t>
            </w:r>
          </w:p>
        </w:tc>
        <w:tc>
          <w:tcPr>
            <w:tcW w:w="5436" w:type="dxa"/>
          </w:tcPr>
          <w:p w14:paraId="110B6D48" w14:textId="7FDEF41E" w:rsidR="00CC6B1A" w:rsidRPr="005374EC" w:rsidRDefault="00CC6B1A" w:rsidP="002B5266">
            <w:r w:rsidRPr="005374EC">
              <w:t>(855) 860-4949</w:t>
            </w:r>
          </w:p>
        </w:tc>
      </w:tr>
      <w:tr w:rsidR="00CC6B1A" w:rsidRPr="00166661" w14:paraId="7252BBB1" w14:textId="77777777" w:rsidTr="006863B4">
        <w:tc>
          <w:tcPr>
            <w:tcW w:w="5436" w:type="dxa"/>
          </w:tcPr>
          <w:p w14:paraId="13A1970B" w14:textId="77777777" w:rsidR="00CC6B1A" w:rsidRPr="005374EC" w:rsidRDefault="00CC6B1A" w:rsidP="002B5266">
            <w:r w:rsidRPr="005374EC">
              <w:t>Primary Care Clinician (PCC) plan</w:t>
            </w:r>
          </w:p>
        </w:tc>
        <w:tc>
          <w:tcPr>
            <w:tcW w:w="5436" w:type="dxa"/>
          </w:tcPr>
          <w:p w14:paraId="392C44A8" w14:textId="7EE27253" w:rsidR="00CC6B1A" w:rsidRPr="005374EC" w:rsidRDefault="00CC6B1A" w:rsidP="002B5266">
            <w:r w:rsidRPr="005374EC">
              <w:t>(800</w:t>
            </w:r>
            <w:r w:rsidR="00EC1479">
              <w:t xml:space="preserve">) </w:t>
            </w:r>
            <w:r w:rsidRPr="005374EC">
              <w:t>841-2900</w:t>
            </w:r>
          </w:p>
        </w:tc>
      </w:tr>
      <w:tr w:rsidR="00CC6B1A" w:rsidRPr="00166661" w14:paraId="312775D6" w14:textId="77777777" w:rsidTr="006863B4">
        <w:tc>
          <w:tcPr>
            <w:tcW w:w="10872" w:type="dxa"/>
            <w:gridSpan w:val="2"/>
            <w:shd w:val="clear" w:color="auto" w:fill="BFBFBF"/>
          </w:tcPr>
          <w:p w14:paraId="6AF76D42" w14:textId="77777777" w:rsidR="00CC6B1A" w:rsidRPr="005374EC" w:rsidRDefault="00CC6B1A" w:rsidP="002B5266">
            <w:pPr>
              <w:rPr>
                <w:b/>
              </w:rPr>
            </w:pPr>
            <w:r w:rsidRPr="005374EC">
              <w:rPr>
                <w:b/>
              </w:rPr>
              <w:t>MCOs</w:t>
            </w:r>
          </w:p>
        </w:tc>
      </w:tr>
      <w:tr w:rsidR="00CC6B1A" w:rsidRPr="00166661" w14:paraId="25B85385" w14:textId="77777777" w:rsidTr="006863B4">
        <w:tc>
          <w:tcPr>
            <w:tcW w:w="5436" w:type="dxa"/>
          </w:tcPr>
          <w:p w14:paraId="51E06C22" w14:textId="77777777" w:rsidR="00CC6B1A" w:rsidRPr="005374EC" w:rsidRDefault="00CC6B1A" w:rsidP="002B5266">
            <w:proofErr w:type="spellStart"/>
            <w:r w:rsidRPr="005374EC">
              <w:t>WellSense</w:t>
            </w:r>
            <w:proofErr w:type="spellEnd"/>
            <w:r w:rsidRPr="005374EC">
              <w:t xml:space="preserve"> </w:t>
            </w:r>
            <w:r>
              <w:t>Essential MCO</w:t>
            </w:r>
          </w:p>
        </w:tc>
        <w:tc>
          <w:tcPr>
            <w:tcW w:w="5436" w:type="dxa"/>
          </w:tcPr>
          <w:p w14:paraId="29A12294" w14:textId="77777777" w:rsidR="00CC6B1A" w:rsidRPr="005374EC" w:rsidRDefault="00CC6B1A" w:rsidP="002B5266">
            <w:r w:rsidRPr="005374EC">
              <w:t>(888) 566-0010</w:t>
            </w:r>
          </w:p>
        </w:tc>
      </w:tr>
      <w:tr w:rsidR="00CC6B1A" w:rsidRPr="00166661" w14:paraId="69BE5581" w14:textId="77777777" w:rsidTr="006863B4">
        <w:tc>
          <w:tcPr>
            <w:tcW w:w="5436" w:type="dxa"/>
          </w:tcPr>
          <w:p w14:paraId="2B68E14C" w14:textId="77777777" w:rsidR="00CC6B1A" w:rsidRPr="005374EC" w:rsidRDefault="00CC6B1A" w:rsidP="002B5266">
            <w:r w:rsidRPr="005374EC">
              <w:t>Tufts Health Together</w:t>
            </w:r>
          </w:p>
        </w:tc>
        <w:tc>
          <w:tcPr>
            <w:tcW w:w="5436" w:type="dxa"/>
          </w:tcPr>
          <w:p w14:paraId="7197DB20" w14:textId="77777777" w:rsidR="00CC6B1A" w:rsidRPr="005374EC" w:rsidRDefault="00CC6B1A" w:rsidP="002B5266">
            <w:r w:rsidRPr="005374EC">
              <w:t>(888) 257-1985</w:t>
            </w:r>
          </w:p>
        </w:tc>
      </w:tr>
    </w:tbl>
    <w:p w14:paraId="45E331DF" w14:textId="77777777" w:rsidR="00CC6B1A" w:rsidRPr="006C0F69" w:rsidRDefault="00CC6B1A" w:rsidP="002B5266">
      <w:pPr>
        <w:spacing w:before="9"/>
        <w:rPr>
          <w:rFonts w:ascii="Arial" w:eastAsia="Arial" w:hAnsi="Arial" w:cs="Arial"/>
        </w:rPr>
      </w:pPr>
    </w:p>
    <w:p w14:paraId="37FD0317" w14:textId="77777777" w:rsidR="00CC6B1A" w:rsidRPr="001721D8" w:rsidRDefault="00CC6B1A" w:rsidP="002B5266">
      <w:pPr>
        <w:tabs>
          <w:tab w:val="left" w:pos="1606"/>
        </w:tabs>
      </w:pPr>
    </w:p>
    <w:p w14:paraId="5B1A8C5B" w14:textId="77777777" w:rsidR="00A650DC" w:rsidRPr="001721D8" w:rsidRDefault="00A650DC" w:rsidP="002B5266">
      <w:pPr>
        <w:ind w:left="360"/>
      </w:pPr>
    </w:p>
    <w:sectPr w:rsidR="00A650DC" w:rsidRPr="001721D8" w:rsidSect="00CC6B1A">
      <w:footerReference w:type="default" r:id="rId11"/>
      <w:type w:val="continuous"/>
      <w:pgSz w:w="12240" w:h="15840" w:code="1"/>
      <w:pgMar w:top="360" w:right="907" w:bottom="432"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78B40" w14:textId="77777777" w:rsidR="0084451B" w:rsidRDefault="0084451B" w:rsidP="00492602">
      <w:r>
        <w:separator/>
      </w:r>
    </w:p>
  </w:endnote>
  <w:endnote w:type="continuationSeparator" w:id="0">
    <w:p w14:paraId="1CDEA5BF" w14:textId="77777777" w:rsidR="0084451B" w:rsidRDefault="0084451B"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A8C6C" w14:textId="77777777"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5B1A8C6D" w14:textId="638E474C" w:rsidR="003C1739" w:rsidRPr="003F5647" w:rsidRDefault="003F738F" w:rsidP="00E95805">
    <w:pPr>
      <w:pStyle w:val="Footer"/>
      <w:jc w:val="center"/>
    </w:pPr>
    <w:hyperlink r:id="rId1" w:history="1">
      <w:r w:rsidR="00E95805" w:rsidRPr="00386AF8">
        <w:rPr>
          <w:rStyle w:val="Hyperlink"/>
          <w:rFonts w:ascii="Arial" w:hAnsi="Arial" w:cs="Arial"/>
          <w:iCs/>
          <w:sz w:val="18"/>
          <w:szCs w:val="18"/>
        </w:rPr>
        <w:t>PharmFactsMA@Conduent.com</w:t>
      </w:r>
    </w:hyperlink>
    <w:r w:rsidR="003F5647">
      <w:rPr>
        <w:rStyle w:val="Hyperlink"/>
        <w:rFonts w:ascii="Arial" w:hAnsi="Arial" w:cs="Arial"/>
        <w:iCs/>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68399" w14:textId="77777777" w:rsidR="0084451B" w:rsidRDefault="0084451B" w:rsidP="00492602">
      <w:r>
        <w:separator/>
      </w:r>
    </w:p>
  </w:footnote>
  <w:footnote w:type="continuationSeparator" w:id="0">
    <w:p w14:paraId="163AADB1" w14:textId="77777777" w:rsidR="0084451B" w:rsidRDefault="0084451B"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7306" w14:textId="73EC7278" w:rsidR="00830686" w:rsidRDefault="00830686" w:rsidP="00830686">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A57BE5">
      <w:rPr>
        <w:color w:val="auto"/>
        <w:sz w:val="18"/>
        <w:szCs w:val="18"/>
      </w:rPr>
      <w:t xml:space="preserve"> 196</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color w:val="auto"/>
        <w:sz w:val="18"/>
        <w:szCs w:val="18"/>
      </w:rPr>
      <w:t>1</w:t>
    </w:r>
    <w:r w:rsidRPr="00EC1948">
      <w:rPr>
        <w:noProof/>
        <w:color w:val="auto"/>
        <w:sz w:val="18"/>
        <w:szCs w:val="18"/>
      </w:rPr>
      <w:fldChar w:fldCharType="end"/>
    </w:r>
    <w:r w:rsidRPr="00EC1948">
      <w:rPr>
        <w:noProof/>
        <w:color w:val="auto"/>
        <w:sz w:val="18"/>
        <w:szCs w:val="18"/>
      </w:rPr>
      <w:t xml:space="preserve"> of </w:t>
    </w:r>
    <w:r w:rsidR="009A7C39">
      <w:rPr>
        <w:noProof/>
        <w:color w:val="auto"/>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F042C"/>
    <w:multiLevelType w:val="hybridMultilevel"/>
    <w:tmpl w:val="04DA91CC"/>
    <w:lvl w:ilvl="0" w:tplc="E8D84844">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27385"/>
    <w:multiLevelType w:val="hybridMultilevel"/>
    <w:tmpl w:val="A7BC4EE4"/>
    <w:lvl w:ilvl="0" w:tplc="38545EBC">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D458C"/>
    <w:multiLevelType w:val="hybridMultilevel"/>
    <w:tmpl w:val="7E7034D6"/>
    <w:lvl w:ilvl="0" w:tplc="646ACBC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21"/>
  </w:num>
  <w:num w:numId="4">
    <w:abstractNumId w:val="7"/>
  </w:num>
  <w:num w:numId="5">
    <w:abstractNumId w:val="10"/>
  </w:num>
  <w:num w:numId="6">
    <w:abstractNumId w:val="16"/>
  </w:num>
  <w:num w:numId="7">
    <w:abstractNumId w:val="22"/>
  </w:num>
  <w:num w:numId="8">
    <w:abstractNumId w:val="3"/>
  </w:num>
  <w:num w:numId="9">
    <w:abstractNumId w:val="0"/>
  </w:num>
  <w:num w:numId="10">
    <w:abstractNumId w:val="19"/>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1"/>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9"/>
  </w:num>
  <w:num w:numId="22">
    <w:abstractNumId w:val="23"/>
  </w:num>
  <w:num w:numId="23">
    <w:abstractNumId w:val="24"/>
  </w:num>
  <w:num w:numId="24">
    <w:abstractNumId w:val="15"/>
  </w:num>
  <w:num w:numId="25">
    <w:abstractNumId w:val="20"/>
  </w:num>
  <w:num w:numId="26">
    <w:abstractNumId w:val="8"/>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56D4F"/>
    <w:rsid w:val="00063DDE"/>
    <w:rsid w:val="000713D3"/>
    <w:rsid w:val="000735C4"/>
    <w:rsid w:val="00074014"/>
    <w:rsid w:val="00081E8E"/>
    <w:rsid w:val="000971F3"/>
    <w:rsid w:val="000A440A"/>
    <w:rsid w:val="000A6318"/>
    <w:rsid w:val="000D1502"/>
    <w:rsid w:val="000F5C22"/>
    <w:rsid w:val="00123D58"/>
    <w:rsid w:val="00123DCB"/>
    <w:rsid w:val="00137D3D"/>
    <w:rsid w:val="00140D08"/>
    <w:rsid w:val="00147437"/>
    <w:rsid w:val="00157A49"/>
    <w:rsid w:val="00171445"/>
    <w:rsid w:val="001721D8"/>
    <w:rsid w:val="0018357E"/>
    <w:rsid w:val="001864A9"/>
    <w:rsid w:val="001A125B"/>
    <w:rsid w:val="001C1481"/>
    <w:rsid w:val="001E779F"/>
    <w:rsid w:val="0021214A"/>
    <w:rsid w:val="00212622"/>
    <w:rsid w:val="002275AE"/>
    <w:rsid w:val="00230996"/>
    <w:rsid w:val="002509E9"/>
    <w:rsid w:val="00265457"/>
    <w:rsid w:val="00270795"/>
    <w:rsid w:val="002727AB"/>
    <w:rsid w:val="00276F3A"/>
    <w:rsid w:val="00286CBE"/>
    <w:rsid w:val="00291397"/>
    <w:rsid w:val="002B5266"/>
    <w:rsid w:val="002C7C67"/>
    <w:rsid w:val="002D390F"/>
    <w:rsid w:val="002D3BB5"/>
    <w:rsid w:val="002D3C44"/>
    <w:rsid w:val="002D738C"/>
    <w:rsid w:val="002E2F9E"/>
    <w:rsid w:val="002F4E7B"/>
    <w:rsid w:val="003152DA"/>
    <w:rsid w:val="0033053B"/>
    <w:rsid w:val="00334D14"/>
    <w:rsid w:val="00360067"/>
    <w:rsid w:val="0036343A"/>
    <w:rsid w:val="00372E47"/>
    <w:rsid w:val="0037373E"/>
    <w:rsid w:val="00375713"/>
    <w:rsid w:val="00382054"/>
    <w:rsid w:val="00387C1F"/>
    <w:rsid w:val="003911FC"/>
    <w:rsid w:val="003B6839"/>
    <w:rsid w:val="003C1739"/>
    <w:rsid w:val="003D2B74"/>
    <w:rsid w:val="003F533B"/>
    <w:rsid w:val="003F5647"/>
    <w:rsid w:val="003F738F"/>
    <w:rsid w:val="0041065E"/>
    <w:rsid w:val="00447A5F"/>
    <w:rsid w:val="00453E30"/>
    <w:rsid w:val="00453F3E"/>
    <w:rsid w:val="00456B5A"/>
    <w:rsid w:val="004664D3"/>
    <w:rsid w:val="00477916"/>
    <w:rsid w:val="004838B1"/>
    <w:rsid w:val="004910B8"/>
    <w:rsid w:val="00492602"/>
    <w:rsid w:val="004A3BAA"/>
    <w:rsid w:val="004A7395"/>
    <w:rsid w:val="004C18F4"/>
    <w:rsid w:val="004D1BC7"/>
    <w:rsid w:val="004D79B2"/>
    <w:rsid w:val="004F5612"/>
    <w:rsid w:val="005052D9"/>
    <w:rsid w:val="00516394"/>
    <w:rsid w:val="0052118E"/>
    <w:rsid w:val="00527F95"/>
    <w:rsid w:val="005314A6"/>
    <w:rsid w:val="00533072"/>
    <w:rsid w:val="005502E1"/>
    <w:rsid w:val="0056481B"/>
    <w:rsid w:val="0057156C"/>
    <w:rsid w:val="00571898"/>
    <w:rsid w:val="00574ECE"/>
    <w:rsid w:val="00574F07"/>
    <w:rsid w:val="0057528C"/>
    <w:rsid w:val="00581E50"/>
    <w:rsid w:val="005835F0"/>
    <w:rsid w:val="005842A0"/>
    <w:rsid w:val="005958DD"/>
    <w:rsid w:val="005A0E39"/>
    <w:rsid w:val="005A57BA"/>
    <w:rsid w:val="005B15B3"/>
    <w:rsid w:val="005C7622"/>
    <w:rsid w:val="005D723D"/>
    <w:rsid w:val="00607CFA"/>
    <w:rsid w:val="00623469"/>
    <w:rsid w:val="00634C49"/>
    <w:rsid w:val="00637A67"/>
    <w:rsid w:val="00650095"/>
    <w:rsid w:val="00651CA7"/>
    <w:rsid w:val="00651E7A"/>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319D7"/>
    <w:rsid w:val="00731FAF"/>
    <w:rsid w:val="007400F4"/>
    <w:rsid w:val="007426BF"/>
    <w:rsid w:val="00760FDF"/>
    <w:rsid w:val="007757E7"/>
    <w:rsid w:val="00781D3B"/>
    <w:rsid w:val="007A41F5"/>
    <w:rsid w:val="007B2F2D"/>
    <w:rsid w:val="007B3E0D"/>
    <w:rsid w:val="007B4429"/>
    <w:rsid w:val="007B7425"/>
    <w:rsid w:val="007E4380"/>
    <w:rsid w:val="007F5417"/>
    <w:rsid w:val="00804116"/>
    <w:rsid w:val="00812480"/>
    <w:rsid w:val="00821937"/>
    <w:rsid w:val="00830686"/>
    <w:rsid w:val="008340D0"/>
    <w:rsid w:val="008403CA"/>
    <w:rsid w:val="0084451B"/>
    <w:rsid w:val="00844E6F"/>
    <w:rsid w:val="0085395A"/>
    <w:rsid w:val="00853F8E"/>
    <w:rsid w:val="0086142C"/>
    <w:rsid w:val="00872E7F"/>
    <w:rsid w:val="00880FA9"/>
    <w:rsid w:val="008930F1"/>
    <w:rsid w:val="00893F45"/>
    <w:rsid w:val="008C5414"/>
    <w:rsid w:val="008F0130"/>
    <w:rsid w:val="008F2E4C"/>
    <w:rsid w:val="00905C46"/>
    <w:rsid w:val="00906EEC"/>
    <w:rsid w:val="009166DF"/>
    <w:rsid w:val="009204C7"/>
    <w:rsid w:val="00922030"/>
    <w:rsid w:val="0093532E"/>
    <w:rsid w:val="00941258"/>
    <w:rsid w:val="00942245"/>
    <w:rsid w:val="00945279"/>
    <w:rsid w:val="00956812"/>
    <w:rsid w:val="00963957"/>
    <w:rsid w:val="009725E5"/>
    <w:rsid w:val="00974CFD"/>
    <w:rsid w:val="00981567"/>
    <w:rsid w:val="009A7C39"/>
    <w:rsid w:val="009C3981"/>
    <w:rsid w:val="009C3CFF"/>
    <w:rsid w:val="009D1341"/>
    <w:rsid w:val="009D2A59"/>
    <w:rsid w:val="009D6D73"/>
    <w:rsid w:val="009D79C6"/>
    <w:rsid w:val="009E55A1"/>
    <w:rsid w:val="009F0440"/>
    <w:rsid w:val="009F0526"/>
    <w:rsid w:val="00A01DE3"/>
    <w:rsid w:val="00A11371"/>
    <w:rsid w:val="00A120E1"/>
    <w:rsid w:val="00A31FAA"/>
    <w:rsid w:val="00A343A9"/>
    <w:rsid w:val="00A5239C"/>
    <w:rsid w:val="00A57BE5"/>
    <w:rsid w:val="00A650DC"/>
    <w:rsid w:val="00A6764A"/>
    <w:rsid w:val="00A84255"/>
    <w:rsid w:val="00A93734"/>
    <w:rsid w:val="00AC1AC7"/>
    <w:rsid w:val="00AD18B8"/>
    <w:rsid w:val="00AD33D5"/>
    <w:rsid w:val="00AE21FC"/>
    <w:rsid w:val="00AE7072"/>
    <w:rsid w:val="00AF7835"/>
    <w:rsid w:val="00B01BAA"/>
    <w:rsid w:val="00B029BF"/>
    <w:rsid w:val="00B07BD7"/>
    <w:rsid w:val="00B13AA5"/>
    <w:rsid w:val="00B3099B"/>
    <w:rsid w:val="00B40A71"/>
    <w:rsid w:val="00B41B0C"/>
    <w:rsid w:val="00B503C7"/>
    <w:rsid w:val="00B54AB5"/>
    <w:rsid w:val="00B645C9"/>
    <w:rsid w:val="00B92C96"/>
    <w:rsid w:val="00B94D4E"/>
    <w:rsid w:val="00BA68F0"/>
    <w:rsid w:val="00BD08CA"/>
    <w:rsid w:val="00BE1214"/>
    <w:rsid w:val="00BE3015"/>
    <w:rsid w:val="00C15672"/>
    <w:rsid w:val="00C23E74"/>
    <w:rsid w:val="00C31421"/>
    <w:rsid w:val="00C33753"/>
    <w:rsid w:val="00C35B94"/>
    <w:rsid w:val="00C82FA4"/>
    <w:rsid w:val="00CA0669"/>
    <w:rsid w:val="00CA1E7C"/>
    <w:rsid w:val="00CB0030"/>
    <w:rsid w:val="00CB7521"/>
    <w:rsid w:val="00CC57AC"/>
    <w:rsid w:val="00CC6B1A"/>
    <w:rsid w:val="00CC776C"/>
    <w:rsid w:val="00CD6D68"/>
    <w:rsid w:val="00CE3864"/>
    <w:rsid w:val="00CF1E64"/>
    <w:rsid w:val="00CF383E"/>
    <w:rsid w:val="00D031DB"/>
    <w:rsid w:val="00D0584B"/>
    <w:rsid w:val="00D2467C"/>
    <w:rsid w:val="00D2695E"/>
    <w:rsid w:val="00D335C5"/>
    <w:rsid w:val="00D521FA"/>
    <w:rsid w:val="00D5685A"/>
    <w:rsid w:val="00D81121"/>
    <w:rsid w:val="00D83FDF"/>
    <w:rsid w:val="00DB5DBC"/>
    <w:rsid w:val="00DB6A12"/>
    <w:rsid w:val="00DD44E8"/>
    <w:rsid w:val="00DD7A02"/>
    <w:rsid w:val="00E02354"/>
    <w:rsid w:val="00E10EA0"/>
    <w:rsid w:val="00E24139"/>
    <w:rsid w:val="00E34C02"/>
    <w:rsid w:val="00E3616D"/>
    <w:rsid w:val="00E44D32"/>
    <w:rsid w:val="00E50862"/>
    <w:rsid w:val="00E60ABB"/>
    <w:rsid w:val="00E62D91"/>
    <w:rsid w:val="00E67611"/>
    <w:rsid w:val="00E67713"/>
    <w:rsid w:val="00E72DFF"/>
    <w:rsid w:val="00E92E47"/>
    <w:rsid w:val="00E9576D"/>
    <w:rsid w:val="00E95805"/>
    <w:rsid w:val="00EC08AC"/>
    <w:rsid w:val="00EC1479"/>
    <w:rsid w:val="00EC1948"/>
    <w:rsid w:val="00ED4639"/>
    <w:rsid w:val="00EE54D2"/>
    <w:rsid w:val="00EF7C8A"/>
    <w:rsid w:val="00F217BD"/>
    <w:rsid w:val="00F25E7F"/>
    <w:rsid w:val="00F307D6"/>
    <w:rsid w:val="00F351AE"/>
    <w:rsid w:val="00F44518"/>
    <w:rsid w:val="00F45E31"/>
    <w:rsid w:val="00F512EE"/>
    <w:rsid w:val="00F643E6"/>
    <w:rsid w:val="00F720C0"/>
    <w:rsid w:val="00F76D69"/>
    <w:rsid w:val="00F80E73"/>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720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CommentReference">
    <w:name w:val="annotation reference"/>
    <w:basedOn w:val="DefaultParagraphFont"/>
    <w:uiPriority w:val="99"/>
    <w:semiHidden/>
    <w:unhideWhenUsed/>
    <w:rsid w:val="00CC6B1A"/>
    <w:rPr>
      <w:sz w:val="16"/>
      <w:szCs w:val="16"/>
    </w:rPr>
  </w:style>
  <w:style w:type="paragraph" w:styleId="CommentText">
    <w:name w:val="annotation text"/>
    <w:basedOn w:val="Normal"/>
    <w:link w:val="CommentTextChar"/>
    <w:uiPriority w:val="99"/>
    <w:unhideWhenUsed/>
    <w:rsid w:val="00CC6B1A"/>
    <w:rPr>
      <w:sz w:val="20"/>
      <w:szCs w:val="20"/>
    </w:rPr>
  </w:style>
  <w:style w:type="character" w:customStyle="1" w:styleId="CommentTextChar">
    <w:name w:val="Comment Text Char"/>
    <w:basedOn w:val="DefaultParagraphFont"/>
    <w:link w:val="CommentText"/>
    <w:uiPriority w:val="99"/>
    <w:rsid w:val="00CC6B1A"/>
  </w:style>
  <w:style w:type="paragraph" w:styleId="BodyText">
    <w:name w:val="Body Text"/>
    <w:basedOn w:val="Normal"/>
    <w:link w:val="BodyTextChar0"/>
    <w:semiHidden/>
    <w:unhideWhenUsed/>
    <w:rsid w:val="00CC6B1A"/>
    <w:pPr>
      <w:spacing w:after="120"/>
    </w:pPr>
  </w:style>
  <w:style w:type="character" w:customStyle="1" w:styleId="BodyTextChar0">
    <w:name w:val="Body Text Char"/>
    <w:basedOn w:val="DefaultParagraphFont"/>
    <w:link w:val="BodyText"/>
    <w:semiHidden/>
    <w:rsid w:val="00CC6B1A"/>
    <w:rPr>
      <w:sz w:val="24"/>
      <w:szCs w:val="24"/>
    </w:rPr>
  </w:style>
  <w:style w:type="character" w:customStyle="1" w:styleId="eop">
    <w:name w:val="eop"/>
    <w:basedOn w:val="DefaultParagraphFont"/>
    <w:rsid w:val="00CC6B1A"/>
  </w:style>
  <w:style w:type="table" w:customStyle="1" w:styleId="TableGrid1">
    <w:name w:val="Table Grid1"/>
    <w:basedOn w:val="TableNormal"/>
    <w:next w:val="TableGrid"/>
    <w:uiPriority w:val="99"/>
    <w:rsid w:val="00CC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720C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33072"/>
    <w:rPr>
      <w:sz w:val="24"/>
      <w:szCs w:val="24"/>
    </w:rPr>
  </w:style>
  <w:style w:type="paragraph" w:styleId="CommentSubject">
    <w:name w:val="annotation subject"/>
    <w:basedOn w:val="CommentText"/>
    <w:next w:val="CommentText"/>
    <w:link w:val="CommentSubjectChar"/>
    <w:semiHidden/>
    <w:unhideWhenUsed/>
    <w:rsid w:val="00533072"/>
    <w:rPr>
      <w:b/>
      <w:bCs/>
    </w:rPr>
  </w:style>
  <w:style w:type="character" w:customStyle="1" w:styleId="CommentSubjectChar">
    <w:name w:val="Comment Subject Char"/>
    <w:basedOn w:val="CommentTextChar"/>
    <w:link w:val="CommentSubject"/>
    <w:semiHidden/>
    <w:rsid w:val="00533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mmis-portal.ehs.state.ma.us/EHSProviderPortal/providerLanding/providerLanding.js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2407</Words>
  <Characters>13185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2023-03-24T14:01:00Z</dcterms:created>
  <dcterms:modified xsi:type="dcterms:W3CDTF">2023-03-24T14:01:00Z</dcterms:modified>
</cp:coreProperties>
</file>