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8BE7" w14:textId="54464CEE" w:rsidR="007E4380" w:rsidRPr="00B2666A" w:rsidRDefault="007E4380" w:rsidP="007E4380">
      <w:pPr>
        <w:pStyle w:val="Noparagraphstyle"/>
        <w:rPr>
          <w:rFonts w:ascii="Arial Narrow" w:hAnsi="Arial Narrow"/>
          <w:b/>
          <w:color w:val="auto"/>
          <w:sz w:val="20"/>
          <w:szCs w:val="20"/>
        </w:rPr>
      </w:pPr>
      <w:r w:rsidRPr="00B2666A">
        <w:rPr>
          <w:rFonts w:ascii="Arial Narrow" w:hAnsi="Arial Narrow"/>
          <w:b/>
          <w:color w:val="auto"/>
          <w:sz w:val="20"/>
          <w:szCs w:val="20"/>
        </w:rPr>
        <w:t xml:space="preserve">Number </w:t>
      </w:r>
      <w:r w:rsidR="00B2666A" w:rsidRPr="00B2666A">
        <w:rPr>
          <w:rFonts w:ascii="Arial Narrow" w:hAnsi="Arial Narrow"/>
          <w:b/>
          <w:color w:val="auto"/>
          <w:sz w:val="20"/>
          <w:szCs w:val="20"/>
        </w:rPr>
        <w:t>197</w:t>
      </w:r>
      <w:r w:rsidRPr="00B2666A">
        <w:rPr>
          <w:rFonts w:ascii="Arial Narrow" w:hAnsi="Arial Narrow"/>
          <w:b/>
          <w:color w:val="auto"/>
          <w:sz w:val="20"/>
          <w:szCs w:val="20"/>
        </w:rPr>
        <w:t xml:space="preserve">, </w:t>
      </w:r>
      <w:r w:rsidR="00B2666A" w:rsidRPr="00B2666A">
        <w:rPr>
          <w:rFonts w:ascii="Arial Narrow" w:hAnsi="Arial Narrow"/>
          <w:b/>
          <w:color w:val="auto"/>
          <w:sz w:val="20"/>
          <w:szCs w:val="20"/>
        </w:rPr>
        <w:t>March 2</w:t>
      </w:r>
      <w:r w:rsidR="00995B50">
        <w:rPr>
          <w:rFonts w:ascii="Arial Narrow" w:hAnsi="Arial Narrow"/>
          <w:b/>
          <w:color w:val="auto"/>
          <w:sz w:val="20"/>
          <w:szCs w:val="20"/>
        </w:rPr>
        <w:t>9</w:t>
      </w:r>
      <w:r w:rsidR="00B2666A" w:rsidRPr="00B2666A">
        <w:rPr>
          <w:rFonts w:ascii="Arial Narrow" w:hAnsi="Arial Narrow"/>
          <w:b/>
          <w:color w:val="auto"/>
          <w:sz w:val="20"/>
          <w:szCs w:val="20"/>
        </w:rPr>
        <w:t>, 2023</w:t>
      </w:r>
    </w:p>
    <w:p w14:paraId="5B1A8BE8" w14:textId="2242F099" w:rsidR="006F35F9" w:rsidRDefault="006A32AA" w:rsidP="00E44D32">
      <w:pPr>
        <w:tabs>
          <w:tab w:val="left" w:pos="10530"/>
        </w:tabs>
        <w:spacing w:after="240"/>
        <w:ind w:left="-144" w:right="720"/>
        <w:rPr>
          <w:rFonts w:ascii="Arial" w:hAnsi="Arial" w:cs="Arial"/>
          <w:color w:val="000000"/>
          <w:sz w:val="21"/>
          <w:szCs w:val="21"/>
        </w:rPr>
        <w:sectPr w:rsidR="006F35F9" w:rsidSect="003C1739">
          <w:headerReference w:type="default" r:id="rId8"/>
          <w:footerReference w:type="default" r:id="rId9"/>
          <w:footerReference w:type="first" r:id="rId10"/>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7D14D613" wp14:editId="49890975">
            <wp:extent cx="6620510" cy="1706145"/>
            <wp:effectExtent l="0" t="0" r="0" b="889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20510" cy="1706145"/>
                    </a:xfrm>
                    <a:prstGeom prst="rect">
                      <a:avLst/>
                    </a:prstGeom>
                  </pic:spPr>
                </pic:pic>
              </a:graphicData>
            </a:graphic>
          </wp:inline>
        </w:drawing>
      </w:r>
    </w:p>
    <w:p w14:paraId="5B1A8BE9" w14:textId="38FC622A" w:rsidR="00CD6D68" w:rsidRPr="00140D3B" w:rsidRDefault="00B2666A" w:rsidP="00316718">
      <w:pPr>
        <w:spacing w:after="120"/>
        <w:rPr>
          <w:rFonts w:ascii="Arial Black" w:hAnsi="Arial Black" w:cs="Arial"/>
          <w:b/>
        </w:rPr>
      </w:pPr>
      <w:r>
        <w:rPr>
          <w:rFonts w:ascii="Arial Black" w:hAnsi="Arial Black" w:cs="Arial"/>
          <w:b/>
        </w:rPr>
        <w:t>MHDL Update</w:t>
      </w:r>
    </w:p>
    <w:p w14:paraId="15AE3597" w14:textId="1D4D85C6" w:rsidR="00B2666A" w:rsidRPr="00B2666A" w:rsidRDefault="00B2666A" w:rsidP="00DB2CFD">
      <w:pPr>
        <w:spacing w:after="120"/>
        <w:rPr>
          <w:rFonts w:ascii="Arial" w:hAnsi="Arial" w:cs="Arial"/>
          <w:sz w:val="22"/>
          <w:szCs w:val="22"/>
        </w:rPr>
      </w:pPr>
      <w:r w:rsidRPr="00B2666A">
        <w:rPr>
          <w:rFonts w:ascii="Arial" w:hAnsi="Arial" w:cs="Arial"/>
          <w:sz w:val="22"/>
          <w:szCs w:val="22"/>
        </w:rPr>
        <w:t>Below are certain updates to the MassHealth Drug List (MHDL). See the MHDL for a complete listing of updates.</w:t>
      </w:r>
    </w:p>
    <w:p w14:paraId="6C90ED19" w14:textId="77777777" w:rsidR="00B2666A" w:rsidRPr="004A6FF1" w:rsidRDefault="00B2666A" w:rsidP="00DB2CFD">
      <w:pPr>
        <w:pStyle w:val="Heading1"/>
        <w:spacing w:after="120" w:line="276" w:lineRule="auto"/>
        <w:jc w:val="left"/>
        <w:rPr>
          <w:rFonts w:ascii="Arial Black" w:hAnsi="Arial Black" w:cs="Arial"/>
          <w:sz w:val="22"/>
          <w:szCs w:val="22"/>
        </w:rPr>
      </w:pPr>
      <w:r w:rsidRPr="004A6FF1">
        <w:rPr>
          <w:rFonts w:ascii="Arial Black" w:hAnsi="Arial Black" w:cs="Arial"/>
          <w:sz w:val="22"/>
          <w:szCs w:val="22"/>
        </w:rPr>
        <w:t>Change in Prior-Authorization Status</w:t>
      </w:r>
    </w:p>
    <w:p w14:paraId="1B57FF54" w14:textId="44FF60D7" w:rsidR="00FA099B" w:rsidRPr="00316718" w:rsidRDefault="00FA099B" w:rsidP="00DB2CFD">
      <w:pPr>
        <w:pStyle w:val="Default"/>
        <w:numPr>
          <w:ilvl w:val="0"/>
          <w:numId w:val="26"/>
        </w:numPr>
        <w:spacing w:line="276" w:lineRule="auto"/>
        <w:ind w:left="648"/>
        <w:rPr>
          <w:rFonts w:ascii="Arial" w:hAnsi="Arial" w:cs="Arial"/>
          <w:sz w:val="22"/>
          <w:szCs w:val="22"/>
        </w:rPr>
      </w:pPr>
      <w:r w:rsidRPr="00316718">
        <w:rPr>
          <w:rFonts w:ascii="Arial" w:hAnsi="Arial" w:cs="Arial"/>
          <w:sz w:val="22"/>
          <w:szCs w:val="22"/>
        </w:rPr>
        <w:t xml:space="preserve">Effective April 1, 2023, opioid agents will require prior authorization </w:t>
      </w:r>
      <w:r w:rsidR="00F82611">
        <w:rPr>
          <w:rFonts w:ascii="Arial" w:hAnsi="Arial" w:cs="Arial"/>
          <w:sz w:val="22"/>
          <w:szCs w:val="22"/>
        </w:rPr>
        <w:t xml:space="preserve">(PA) </w:t>
      </w:r>
      <w:r w:rsidRPr="00316718">
        <w:rPr>
          <w:rFonts w:ascii="Arial" w:hAnsi="Arial" w:cs="Arial"/>
          <w:sz w:val="22"/>
          <w:szCs w:val="22"/>
        </w:rPr>
        <w:t>when exceeding the newly established accumulated dose threshold of 180 MME per day for the entire regimen. Individual opioid agent dose thresholds of 120 mg of morphine or morphine equivalent (MME) per day will remain.</w:t>
      </w:r>
      <w:r w:rsidRPr="00316718">
        <w:rPr>
          <w:rFonts w:ascii="Arial" w:hAnsi="Arial" w:cs="Arial"/>
          <w:color w:val="auto"/>
          <w:sz w:val="22"/>
          <w:szCs w:val="22"/>
        </w:rPr>
        <w:t xml:space="preserve"> Opioid and Pain Initiative criteria will still apply. For additional information, please see the Opioid and Pain Initiative document found at </w:t>
      </w:r>
      <w:hyperlink r:id="rId12" w:history="1">
        <w:r w:rsidRPr="00316718">
          <w:rPr>
            <w:rStyle w:val="Hyperlink"/>
            <w:rFonts w:ascii="Arial" w:hAnsi="Arial" w:cs="Arial"/>
            <w:sz w:val="22"/>
            <w:szCs w:val="22"/>
          </w:rPr>
          <w:t>www.mass.gov/druglist</w:t>
        </w:r>
      </w:hyperlink>
      <w:r w:rsidRPr="00316718">
        <w:rPr>
          <w:rFonts w:ascii="Arial" w:hAnsi="Arial" w:cs="Arial"/>
          <w:color w:val="auto"/>
          <w:sz w:val="22"/>
          <w:szCs w:val="22"/>
        </w:rPr>
        <w:t>.</w:t>
      </w:r>
    </w:p>
    <w:p w14:paraId="19EB0A5E" w14:textId="4211B580" w:rsidR="00FA099B" w:rsidRPr="00316718" w:rsidRDefault="00FA099B" w:rsidP="00DB2CFD">
      <w:pPr>
        <w:pStyle w:val="ListParagraph"/>
        <w:numPr>
          <w:ilvl w:val="0"/>
          <w:numId w:val="26"/>
        </w:numPr>
        <w:spacing w:after="160" w:line="257" w:lineRule="auto"/>
        <w:ind w:left="648"/>
        <w:contextualSpacing/>
        <w:rPr>
          <w:rFonts w:ascii="Arial" w:hAnsi="Arial" w:cs="Arial"/>
          <w:color w:val="000000"/>
          <w:sz w:val="22"/>
          <w:szCs w:val="22"/>
        </w:rPr>
      </w:pPr>
      <w:r w:rsidRPr="00316718">
        <w:rPr>
          <w:rFonts w:ascii="Arial" w:hAnsi="Arial" w:cs="Arial"/>
          <w:color w:val="000000"/>
          <w:sz w:val="22"/>
          <w:szCs w:val="22"/>
        </w:rPr>
        <w:t xml:space="preserve">Effective April 1, 2023, the following opioid agent will require </w:t>
      </w:r>
      <w:r w:rsidR="00F82611">
        <w:rPr>
          <w:rFonts w:ascii="Arial" w:hAnsi="Arial" w:cs="Arial"/>
          <w:color w:val="000000"/>
          <w:sz w:val="22"/>
          <w:szCs w:val="22"/>
        </w:rPr>
        <w:t>PA</w:t>
      </w:r>
      <w:r w:rsidRPr="00316718">
        <w:rPr>
          <w:rFonts w:ascii="Arial" w:hAnsi="Arial" w:cs="Arial"/>
          <w:color w:val="000000"/>
          <w:sz w:val="22"/>
          <w:szCs w:val="22"/>
        </w:rPr>
        <w:t xml:space="preserve"> when exceeding the updated dose limit. Opioid and Pain Initiative criteria will still apply. For additional information, please see the Opioid and Pain Initiative document found at </w:t>
      </w:r>
      <w:hyperlink r:id="rId13" w:history="1">
        <w:r w:rsidRPr="00316718">
          <w:rPr>
            <w:rStyle w:val="Hyperlink"/>
            <w:rFonts w:ascii="Arial" w:hAnsi="Arial" w:cs="Arial"/>
            <w:sz w:val="22"/>
            <w:szCs w:val="22"/>
          </w:rPr>
          <w:t>www.mass.gov/druglist</w:t>
        </w:r>
      </w:hyperlink>
      <w:r w:rsidRPr="00316718">
        <w:rPr>
          <w:rFonts w:ascii="Arial" w:hAnsi="Arial" w:cs="Arial"/>
          <w:color w:val="000000"/>
          <w:sz w:val="22"/>
          <w:szCs w:val="22"/>
        </w:rPr>
        <w:t>.</w:t>
      </w:r>
    </w:p>
    <w:p w14:paraId="68F96B3F" w14:textId="77777777" w:rsidR="00FA099B" w:rsidRPr="00316718" w:rsidRDefault="00FA099B" w:rsidP="00FA099B">
      <w:pPr>
        <w:pStyle w:val="ListParagraph"/>
        <w:numPr>
          <w:ilvl w:val="1"/>
          <w:numId w:val="26"/>
        </w:numPr>
        <w:spacing w:line="256" w:lineRule="auto"/>
        <w:ind w:left="1080"/>
        <w:contextualSpacing/>
        <w:rPr>
          <w:rFonts w:ascii="Arial" w:hAnsi="Arial" w:cs="Arial"/>
          <w:sz w:val="22"/>
          <w:szCs w:val="22"/>
        </w:rPr>
      </w:pPr>
      <w:proofErr w:type="spellStart"/>
      <w:r w:rsidRPr="00316718">
        <w:rPr>
          <w:rFonts w:ascii="Arial" w:hAnsi="Arial" w:cs="Arial"/>
          <w:color w:val="000000"/>
          <w:sz w:val="22"/>
          <w:szCs w:val="22"/>
        </w:rPr>
        <w:t>Dilaudid</w:t>
      </w:r>
      <w:proofErr w:type="spellEnd"/>
      <w:r w:rsidRPr="00316718">
        <w:rPr>
          <w:rFonts w:ascii="Arial" w:hAnsi="Arial" w:cs="Arial"/>
          <w:color w:val="000000"/>
          <w:sz w:val="22"/>
          <w:szCs w:val="22"/>
        </w:rPr>
        <w:t xml:space="preserve"> (hydromorphone) </w:t>
      </w:r>
      <w:r w:rsidRPr="00316718">
        <w:rPr>
          <w:rFonts w:ascii="Arial" w:hAnsi="Arial" w:cs="Arial"/>
          <w:sz w:val="22"/>
          <w:szCs w:val="22"/>
        </w:rPr>
        <w:t xml:space="preserve">– </w:t>
      </w:r>
      <w:r w:rsidRPr="00316718">
        <w:rPr>
          <w:rFonts w:ascii="Arial" w:hAnsi="Arial" w:cs="Arial"/>
          <w:b/>
          <w:bCs/>
          <w:sz w:val="22"/>
          <w:szCs w:val="22"/>
        </w:rPr>
        <w:t>PA</w:t>
      </w:r>
      <w:r w:rsidRPr="00316718">
        <w:rPr>
          <w:rFonts w:ascii="Arial" w:hAnsi="Arial" w:cs="Arial"/>
          <w:color w:val="000000"/>
          <w:sz w:val="22"/>
          <w:szCs w:val="22"/>
        </w:rPr>
        <w:t xml:space="preserve"> </w:t>
      </w:r>
      <w:r w:rsidRPr="00316718">
        <w:rPr>
          <w:rFonts w:ascii="Arial" w:hAnsi="Arial" w:cs="Arial"/>
          <w:sz w:val="22"/>
          <w:szCs w:val="22"/>
        </w:rPr>
        <w:t>&gt; 24 mg/day</w:t>
      </w:r>
    </w:p>
    <w:p w14:paraId="15BE7B27" w14:textId="77777777" w:rsidR="00FA099B" w:rsidRPr="004A6FF1" w:rsidRDefault="00FA099B" w:rsidP="00DB2CFD">
      <w:pPr>
        <w:pStyle w:val="Heading1"/>
        <w:spacing w:before="120" w:after="120" w:line="276" w:lineRule="auto"/>
        <w:jc w:val="left"/>
        <w:rPr>
          <w:rFonts w:ascii="Arial Black" w:hAnsi="Arial Black" w:cs="Arial"/>
          <w:sz w:val="22"/>
          <w:szCs w:val="22"/>
        </w:rPr>
      </w:pPr>
      <w:r w:rsidRPr="004A6FF1">
        <w:rPr>
          <w:rFonts w:ascii="Arial Black" w:hAnsi="Arial Black" w:cs="Arial"/>
          <w:sz w:val="22"/>
          <w:szCs w:val="22"/>
        </w:rPr>
        <w:t>Change in Coverage Status</w:t>
      </w:r>
    </w:p>
    <w:p w14:paraId="3F9157A2" w14:textId="77777777" w:rsidR="00FA099B" w:rsidRDefault="00FA099B" w:rsidP="00DB2CFD">
      <w:pPr>
        <w:pStyle w:val="Default"/>
        <w:numPr>
          <w:ilvl w:val="0"/>
          <w:numId w:val="27"/>
        </w:numPr>
        <w:spacing w:line="276" w:lineRule="auto"/>
        <w:ind w:left="648"/>
        <w:rPr>
          <w:rFonts w:ascii="Arial" w:hAnsi="Arial" w:cs="Arial"/>
          <w:color w:val="auto"/>
          <w:sz w:val="22"/>
          <w:szCs w:val="22"/>
        </w:rPr>
      </w:pPr>
      <w:r>
        <w:rPr>
          <w:rFonts w:ascii="Arial" w:hAnsi="Arial" w:cs="Arial"/>
          <w:sz w:val="22"/>
          <w:szCs w:val="22"/>
        </w:rPr>
        <w:t>Effective April 1, 2023, the following agents will be available through medical billing only and will no longer be available through pharmacy billing</w:t>
      </w:r>
      <w:r>
        <w:rPr>
          <w:rFonts w:ascii="Arial" w:hAnsi="Arial" w:cs="Arial"/>
          <w:color w:val="auto"/>
          <w:sz w:val="22"/>
          <w:szCs w:val="22"/>
        </w:rPr>
        <w:t>.</w:t>
      </w:r>
    </w:p>
    <w:p w14:paraId="45DBB1BA"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Actemra (tocilizumab vial) –</w:t>
      </w:r>
      <w:r>
        <w:rPr>
          <w:rFonts w:ascii="Arial" w:hAnsi="Arial" w:cs="Arial"/>
          <w:b/>
          <w:bCs/>
          <w:sz w:val="22"/>
          <w:szCs w:val="22"/>
        </w:rPr>
        <w:t xml:space="preserve"> PA</w:t>
      </w:r>
      <w:r>
        <w:rPr>
          <w:rFonts w:ascii="Arial" w:hAnsi="Arial" w:cs="Arial"/>
          <w:sz w:val="22"/>
          <w:szCs w:val="22"/>
        </w:rPr>
        <w:t>; MB</w:t>
      </w:r>
    </w:p>
    <w:p w14:paraId="183DF82D"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Adakveo</w:t>
      </w:r>
      <w:proofErr w:type="spellEnd"/>
      <w:r>
        <w:rPr>
          <w:rFonts w:ascii="Arial" w:hAnsi="Arial" w:cs="Arial"/>
          <w:sz w:val="22"/>
          <w:szCs w:val="22"/>
        </w:rPr>
        <w:t xml:space="preserve"> (crizanlizumab-</w:t>
      </w:r>
      <w:proofErr w:type="spellStart"/>
      <w:r>
        <w:rPr>
          <w:rFonts w:ascii="Arial" w:hAnsi="Arial" w:cs="Arial"/>
          <w:sz w:val="22"/>
          <w:szCs w:val="22"/>
        </w:rPr>
        <w:t>tmca</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1C669464"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Adcetris</w:t>
      </w:r>
      <w:proofErr w:type="spellEnd"/>
      <w:r>
        <w:rPr>
          <w:rFonts w:ascii="Arial" w:hAnsi="Arial" w:cs="Arial"/>
          <w:sz w:val="22"/>
          <w:szCs w:val="22"/>
        </w:rPr>
        <w:t xml:space="preserve"> (brentuximab) –</w:t>
      </w:r>
      <w:r>
        <w:rPr>
          <w:rFonts w:ascii="Arial" w:hAnsi="Arial" w:cs="Arial"/>
          <w:b/>
          <w:bCs/>
          <w:sz w:val="22"/>
          <w:szCs w:val="22"/>
        </w:rPr>
        <w:t xml:space="preserve"> PA</w:t>
      </w:r>
      <w:r>
        <w:rPr>
          <w:rFonts w:ascii="Arial" w:hAnsi="Arial" w:cs="Arial"/>
          <w:sz w:val="22"/>
          <w:szCs w:val="22"/>
        </w:rPr>
        <w:t>; MB</w:t>
      </w:r>
    </w:p>
    <w:p w14:paraId="26578317"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Aldurazyme</w:t>
      </w:r>
      <w:proofErr w:type="spellEnd"/>
      <w:r>
        <w:rPr>
          <w:rFonts w:ascii="Arial" w:hAnsi="Arial" w:cs="Arial"/>
          <w:sz w:val="22"/>
          <w:szCs w:val="22"/>
        </w:rPr>
        <w:t xml:space="preserve"> (</w:t>
      </w:r>
      <w:proofErr w:type="spellStart"/>
      <w:r>
        <w:rPr>
          <w:rFonts w:ascii="Arial" w:hAnsi="Arial" w:cs="Arial"/>
          <w:sz w:val="22"/>
          <w:szCs w:val="22"/>
        </w:rPr>
        <w:t>laronidase</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064CDD21"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Aliqopa</w:t>
      </w:r>
      <w:proofErr w:type="spellEnd"/>
      <w:r>
        <w:rPr>
          <w:rFonts w:ascii="Arial" w:hAnsi="Arial" w:cs="Arial"/>
          <w:sz w:val="22"/>
          <w:szCs w:val="22"/>
        </w:rPr>
        <w:t xml:space="preserve"> (</w:t>
      </w:r>
      <w:proofErr w:type="spellStart"/>
      <w:r>
        <w:rPr>
          <w:rFonts w:ascii="Arial" w:hAnsi="Arial" w:cs="Arial"/>
          <w:sz w:val="22"/>
          <w:szCs w:val="22"/>
        </w:rPr>
        <w:t>copanlisib</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4DCBF150"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Alymsys</w:t>
      </w:r>
      <w:proofErr w:type="spellEnd"/>
      <w:r>
        <w:rPr>
          <w:rFonts w:ascii="Arial" w:hAnsi="Arial" w:cs="Arial"/>
          <w:sz w:val="22"/>
          <w:szCs w:val="22"/>
        </w:rPr>
        <w:t xml:space="preserve"> (bevacizumab-</w:t>
      </w:r>
      <w:proofErr w:type="spellStart"/>
      <w:r>
        <w:rPr>
          <w:rFonts w:ascii="Arial" w:hAnsi="Arial" w:cs="Arial"/>
          <w:sz w:val="22"/>
          <w:szCs w:val="22"/>
        </w:rPr>
        <w:t>maly</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23F557FD"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Amvuttra</w:t>
      </w:r>
      <w:proofErr w:type="spellEnd"/>
      <w:r>
        <w:rPr>
          <w:rFonts w:ascii="Arial" w:hAnsi="Arial" w:cs="Arial"/>
          <w:sz w:val="22"/>
          <w:szCs w:val="22"/>
        </w:rPr>
        <w:t xml:space="preserve"> (</w:t>
      </w:r>
      <w:proofErr w:type="spellStart"/>
      <w:r>
        <w:rPr>
          <w:rFonts w:ascii="Arial" w:hAnsi="Arial" w:cs="Arial"/>
          <w:sz w:val="22"/>
          <w:szCs w:val="22"/>
        </w:rPr>
        <w:t>vutrisiran</w:t>
      </w:r>
      <w:proofErr w:type="spellEnd"/>
      <w:r>
        <w:rPr>
          <w:rFonts w:ascii="Arial" w:hAnsi="Arial" w:cs="Arial"/>
          <w:sz w:val="22"/>
          <w:szCs w:val="22"/>
        </w:rPr>
        <w:t xml:space="preserve">) </w:t>
      </w:r>
      <w:r>
        <w:rPr>
          <w:rFonts w:ascii="Arial" w:hAnsi="Arial" w:cs="Arial"/>
          <w:sz w:val="22"/>
          <w:szCs w:val="22"/>
          <w:vertAlign w:val="superscript"/>
        </w:rPr>
        <w:t>PD</w:t>
      </w:r>
      <w:r>
        <w:rPr>
          <w:rFonts w:ascii="Arial" w:hAnsi="Arial" w:cs="Arial"/>
          <w:sz w:val="22"/>
          <w:szCs w:val="22"/>
        </w:rPr>
        <w:t xml:space="preserve"> –</w:t>
      </w:r>
      <w:r>
        <w:rPr>
          <w:rFonts w:ascii="Arial" w:hAnsi="Arial" w:cs="Arial"/>
          <w:b/>
          <w:bCs/>
          <w:sz w:val="22"/>
          <w:szCs w:val="22"/>
        </w:rPr>
        <w:t xml:space="preserve"> PA</w:t>
      </w:r>
      <w:r>
        <w:rPr>
          <w:rFonts w:ascii="Arial" w:hAnsi="Arial" w:cs="Arial"/>
          <w:sz w:val="22"/>
          <w:szCs w:val="22"/>
        </w:rPr>
        <w:t>; MB</w:t>
      </w:r>
    </w:p>
    <w:p w14:paraId="163D5B28"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Arranon</w:t>
      </w:r>
      <w:proofErr w:type="spellEnd"/>
      <w:r>
        <w:rPr>
          <w:rFonts w:ascii="Arial" w:hAnsi="Arial" w:cs="Arial"/>
          <w:sz w:val="22"/>
          <w:szCs w:val="22"/>
        </w:rPr>
        <w:t xml:space="preserve"> (nelarabine) –</w:t>
      </w:r>
      <w:r>
        <w:rPr>
          <w:rFonts w:ascii="Arial" w:hAnsi="Arial" w:cs="Arial"/>
          <w:b/>
          <w:bCs/>
          <w:sz w:val="22"/>
          <w:szCs w:val="22"/>
        </w:rPr>
        <w:t xml:space="preserve"> PA</w:t>
      </w:r>
      <w:r>
        <w:rPr>
          <w:rFonts w:ascii="Arial" w:hAnsi="Arial" w:cs="Arial"/>
          <w:sz w:val="22"/>
          <w:szCs w:val="22"/>
        </w:rPr>
        <w:t>; MB</w:t>
      </w:r>
    </w:p>
    <w:p w14:paraId="4ADEC3A1"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Arzerra</w:t>
      </w:r>
      <w:proofErr w:type="spellEnd"/>
      <w:r>
        <w:rPr>
          <w:rFonts w:ascii="Arial" w:hAnsi="Arial" w:cs="Arial"/>
          <w:sz w:val="22"/>
          <w:szCs w:val="22"/>
        </w:rPr>
        <w:t xml:space="preserve"> (ofatumumab vial) –</w:t>
      </w:r>
      <w:r>
        <w:rPr>
          <w:rFonts w:ascii="Arial" w:hAnsi="Arial" w:cs="Arial"/>
          <w:b/>
          <w:bCs/>
          <w:sz w:val="22"/>
          <w:szCs w:val="22"/>
        </w:rPr>
        <w:t xml:space="preserve"> PA</w:t>
      </w:r>
      <w:r>
        <w:rPr>
          <w:rFonts w:ascii="Arial" w:hAnsi="Arial" w:cs="Arial"/>
          <w:sz w:val="22"/>
          <w:szCs w:val="22"/>
        </w:rPr>
        <w:t>; MB</w:t>
      </w:r>
    </w:p>
    <w:p w14:paraId="5F03D6DF"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Avastin (bevacizumab) –</w:t>
      </w:r>
      <w:r>
        <w:rPr>
          <w:rFonts w:ascii="Arial" w:hAnsi="Arial" w:cs="Arial"/>
          <w:b/>
          <w:bCs/>
          <w:sz w:val="22"/>
          <w:szCs w:val="22"/>
        </w:rPr>
        <w:t xml:space="preserve"> PA</w:t>
      </w:r>
      <w:r>
        <w:rPr>
          <w:rFonts w:ascii="Arial" w:hAnsi="Arial" w:cs="Arial"/>
          <w:sz w:val="22"/>
          <w:szCs w:val="22"/>
        </w:rPr>
        <w:t>; MB</w:t>
      </w:r>
    </w:p>
    <w:p w14:paraId="5AC381A4"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Bavencio (avelumab) –</w:t>
      </w:r>
      <w:r>
        <w:rPr>
          <w:rFonts w:ascii="Arial" w:hAnsi="Arial" w:cs="Arial"/>
          <w:b/>
          <w:bCs/>
          <w:sz w:val="22"/>
          <w:szCs w:val="22"/>
        </w:rPr>
        <w:t xml:space="preserve"> PA</w:t>
      </w:r>
      <w:r>
        <w:rPr>
          <w:rFonts w:ascii="Arial" w:hAnsi="Arial" w:cs="Arial"/>
          <w:sz w:val="22"/>
          <w:szCs w:val="22"/>
        </w:rPr>
        <w:t>; MB</w:t>
      </w:r>
    </w:p>
    <w:p w14:paraId="19514E17"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Beleodaq</w:t>
      </w:r>
      <w:proofErr w:type="spellEnd"/>
      <w:r>
        <w:rPr>
          <w:rFonts w:ascii="Arial" w:hAnsi="Arial" w:cs="Arial"/>
          <w:sz w:val="22"/>
          <w:szCs w:val="22"/>
        </w:rPr>
        <w:t xml:space="preserve"> (</w:t>
      </w:r>
      <w:proofErr w:type="spellStart"/>
      <w:r>
        <w:rPr>
          <w:rFonts w:ascii="Arial" w:hAnsi="Arial" w:cs="Arial"/>
          <w:sz w:val="22"/>
          <w:szCs w:val="22"/>
        </w:rPr>
        <w:t>belinostat</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5F2D9634"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Benlysta (belimumab vial) –</w:t>
      </w:r>
      <w:r>
        <w:rPr>
          <w:rFonts w:ascii="Arial" w:hAnsi="Arial" w:cs="Arial"/>
          <w:b/>
          <w:bCs/>
          <w:sz w:val="22"/>
          <w:szCs w:val="22"/>
        </w:rPr>
        <w:t xml:space="preserve"> PA</w:t>
      </w:r>
      <w:r>
        <w:rPr>
          <w:rFonts w:ascii="Arial" w:hAnsi="Arial" w:cs="Arial"/>
          <w:sz w:val="22"/>
          <w:szCs w:val="22"/>
        </w:rPr>
        <w:t>; MB</w:t>
      </w:r>
    </w:p>
    <w:p w14:paraId="72E83E86"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Besponsa</w:t>
      </w:r>
      <w:proofErr w:type="spellEnd"/>
      <w:r>
        <w:rPr>
          <w:rFonts w:ascii="Arial" w:hAnsi="Arial" w:cs="Arial"/>
          <w:sz w:val="22"/>
          <w:szCs w:val="22"/>
        </w:rPr>
        <w:t xml:space="preserve"> (</w:t>
      </w:r>
      <w:proofErr w:type="spellStart"/>
      <w:r>
        <w:rPr>
          <w:rFonts w:ascii="Arial" w:hAnsi="Arial" w:cs="Arial"/>
          <w:sz w:val="22"/>
          <w:szCs w:val="22"/>
        </w:rPr>
        <w:t>inotuzumab</w:t>
      </w:r>
      <w:proofErr w:type="spellEnd"/>
      <w:r>
        <w:rPr>
          <w:rFonts w:ascii="Arial" w:hAnsi="Arial" w:cs="Arial"/>
          <w:sz w:val="22"/>
          <w:szCs w:val="22"/>
        </w:rPr>
        <w:t xml:space="preserve"> </w:t>
      </w:r>
      <w:proofErr w:type="spellStart"/>
      <w:r>
        <w:rPr>
          <w:rFonts w:ascii="Arial" w:hAnsi="Arial" w:cs="Arial"/>
          <w:sz w:val="22"/>
          <w:szCs w:val="22"/>
        </w:rPr>
        <w:t>ozogamicin</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52B3A1A0"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Blincyto</w:t>
      </w:r>
      <w:proofErr w:type="spellEnd"/>
      <w:r>
        <w:rPr>
          <w:rFonts w:ascii="Arial" w:hAnsi="Arial" w:cs="Arial"/>
          <w:sz w:val="22"/>
          <w:szCs w:val="22"/>
        </w:rPr>
        <w:t xml:space="preserve"> (blinatumomab) –</w:t>
      </w:r>
      <w:r>
        <w:rPr>
          <w:rFonts w:ascii="Arial" w:hAnsi="Arial" w:cs="Arial"/>
          <w:b/>
          <w:bCs/>
          <w:sz w:val="22"/>
          <w:szCs w:val="22"/>
        </w:rPr>
        <w:t xml:space="preserve"> PA</w:t>
      </w:r>
      <w:r>
        <w:rPr>
          <w:rFonts w:ascii="Arial" w:hAnsi="Arial" w:cs="Arial"/>
          <w:sz w:val="22"/>
          <w:szCs w:val="22"/>
        </w:rPr>
        <w:t>; MB</w:t>
      </w:r>
    </w:p>
    <w:p w14:paraId="504C5635"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Cerezyme (</w:t>
      </w:r>
      <w:proofErr w:type="spellStart"/>
      <w:r>
        <w:rPr>
          <w:rFonts w:ascii="Arial" w:hAnsi="Arial" w:cs="Arial"/>
          <w:sz w:val="22"/>
          <w:szCs w:val="22"/>
        </w:rPr>
        <w:t>imiglucerase</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1B941C5A"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Cinqair</w:t>
      </w:r>
      <w:proofErr w:type="spellEnd"/>
      <w:r>
        <w:rPr>
          <w:rFonts w:ascii="Arial" w:hAnsi="Arial" w:cs="Arial"/>
          <w:sz w:val="22"/>
          <w:szCs w:val="22"/>
        </w:rPr>
        <w:t xml:space="preserve"> (</w:t>
      </w:r>
      <w:proofErr w:type="spellStart"/>
      <w:r>
        <w:rPr>
          <w:rFonts w:ascii="Arial" w:hAnsi="Arial" w:cs="Arial"/>
          <w:sz w:val="22"/>
          <w:szCs w:val="22"/>
        </w:rPr>
        <w:t>reslizumab</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1C106E28"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Clorotekal</w:t>
      </w:r>
      <w:proofErr w:type="spellEnd"/>
      <w:r>
        <w:rPr>
          <w:rFonts w:ascii="Arial" w:hAnsi="Arial" w:cs="Arial"/>
          <w:sz w:val="22"/>
          <w:szCs w:val="22"/>
        </w:rPr>
        <w:t xml:space="preserve"> (</w:t>
      </w:r>
      <w:proofErr w:type="spellStart"/>
      <w:r>
        <w:rPr>
          <w:rFonts w:ascii="Arial" w:hAnsi="Arial" w:cs="Arial"/>
          <w:sz w:val="22"/>
          <w:szCs w:val="22"/>
        </w:rPr>
        <w:t>chloroprocaine</w:t>
      </w:r>
      <w:proofErr w:type="spellEnd"/>
      <w:r>
        <w:rPr>
          <w:rFonts w:ascii="Arial" w:hAnsi="Arial" w:cs="Arial"/>
          <w:sz w:val="22"/>
          <w:szCs w:val="22"/>
        </w:rPr>
        <w:t xml:space="preserve">); MB </w:t>
      </w:r>
    </w:p>
    <w:p w14:paraId="3D5EB69E"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Cosela</w:t>
      </w:r>
      <w:proofErr w:type="spellEnd"/>
      <w:r>
        <w:rPr>
          <w:rFonts w:ascii="Arial" w:hAnsi="Arial" w:cs="Arial"/>
          <w:sz w:val="22"/>
          <w:szCs w:val="22"/>
        </w:rPr>
        <w:t xml:space="preserve"> (</w:t>
      </w:r>
      <w:proofErr w:type="spellStart"/>
      <w:r>
        <w:rPr>
          <w:rFonts w:ascii="Arial" w:hAnsi="Arial" w:cs="Arial"/>
          <w:sz w:val="22"/>
          <w:szCs w:val="22"/>
        </w:rPr>
        <w:t>trilaciclib</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7590AD2D"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Crysvita</w:t>
      </w:r>
      <w:proofErr w:type="spellEnd"/>
      <w:r>
        <w:rPr>
          <w:rFonts w:ascii="Arial" w:hAnsi="Arial" w:cs="Arial"/>
          <w:sz w:val="22"/>
          <w:szCs w:val="22"/>
        </w:rPr>
        <w:t xml:space="preserve"> (</w:t>
      </w:r>
      <w:proofErr w:type="spellStart"/>
      <w:r>
        <w:rPr>
          <w:rFonts w:ascii="Arial" w:hAnsi="Arial" w:cs="Arial"/>
          <w:sz w:val="22"/>
          <w:szCs w:val="22"/>
        </w:rPr>
        <w:t>burosumab-twza</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4A509920"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Cyramza</w:t>
      </w:r>
      <w:proofErr w:type="spellEnd"/>
      <w:r>
        <w:rPr>
          <w:rFonts w:ascii="Arial" w:hAnsi="Arial" w:cs="Arial"/>
          <w:sz w:val="22"/>
          <w:szCs w:val="22"/>
        </w:rPr>
        <w:t xml:space="preserve"> (ramucirumab) –</w:t>
      </w:r>
      <w:r>
        <w:rPr>
          <w:rFonts w:ascii="Arial" w:hAnsi="Arial" w:cs="Arial"/>
          <w:b/>
          <w:bCs/>
          <w:sz w:val="22"/>
          <w:szCs w:val="22"/>
        </w:rPr>
        <w:t xml:space="preserve"> PA</w:t>
      </w:r>
      <w:r>
        <w:rPr>
          <w:rFonts w:ascii="Arial" w:hAnsi="Arial" w:cs="Arial"/>
          <w:sz w:val="22"/>
          <w:szCs w:val="22"/>
        </w:rPr>
        <w:t>; MB</w:t>
      </w:r>
    </w:p>
    <w:p w14:paraId="110F2B2F"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Danyelza</w:t>
      </w:r>
      <w:proofErr w:type="spellEnd"/>
      <w:r>
        <w:rPr>
          <w:rFonts w:ascii="Arial" w:hAnsi="Arial" w:cs="Arial"/>
          <w:sz w:val="22"/>
          <w:szCs w:val="22"/>
        </w:rPr>
        <w:t xml:space="preserve"> (</w:t>
      </w:r>
      <w:proofErr w:type="spellStart"/>
      <w:r>
        <w:rPr>
          <w:rFonts w:ascii="Arial" w:hAnsi="Arial" w:cs="Arial"/>
          <w:sz w:val="22"/>
          <w:szCs w:val="22"/>
        </w:rPr>
        <w:t>naxitamab-gqgk</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0DF8534A"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Darzalex</w:t>
      </w:r>
      <w:proofErr w:type="spellEnd"/>
      <w:r>
        <w:rPr>
          <w:rFonts w:ascii="Arial" w:hAnsi="Arial" w:cs="Arial"/>
          <w:sz w:val="22"/>
          <w:szCs w:val="22"/>
        </w:rPr>
        <w:t xml:space="preserve"> (daratumumab) –</w:t>
      </w:r>
      <w:r>
        <w:rPr>
          <w:rFonts w:ascii="Arial" w:hAnsi="Arial" w:cs="Arial"/>
          <w:b/>
          <w:bCs/>
          <w:sz w:val="22"/>
          <w:szCs w:val="22"/>
        </w:rPr>
        <w:t xml:space="preserve"> PA</w:t>
      </w:r>
      <w:r>
        <w:rPr>
          <w:rFonts w:ascii="Arial" w:hAnsi="Arial" w:cs="Arial"/>
          <w:sz w:val="22"/>
          <w:szCs w:val="22"/>
        </w:rPr>
        <w:t>; MB</w:t>
      </w:r>
    </w:p>
    <w:p w14:paraId="0A9FED9E"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Durolane</w:t>
      </w:r>
      <w:proofErr w:type="spellEnd"/>
      <w:r>
        <w:rPr>
          <w:rFonts w:ascii="Arial" w:hAnsi="Arial" w:cs="Arial"/>
          <w:sz w:val="22"/>
          <w:szCs w:val="22"/>
        </w:rPr>
        <w:t xml:space="preserve"> (hyaluronate, stabilized) –</w:t>
      </w:r>
      <w:r>
        <w:rPr>
          <w:rFonts w:ascii="Arial" w:hAnsi="Arial" w:cs="Arial"/>
          <w:b/>
          <w:bCs/>
          <w:sz w:val="22"/>
          <w:szCs w:val="22"/>
        </w:rPr>
        <w:t xml:space="preserve"> PA</w:t>
      </w:r>
      <w:r>
        <w:rPr>
          <w:rFonts w:ascii="Arial" w:hAnsi="Arial" w:cs="Arial"/>
          <w:sz w:val="22"/>
          <w:szCs w:val="22"/>
        </w:rPr>
        <w:t>; MB</w:t>
      </w:r>
    </w:p>
    <w:p w14:paraId="346B6E90"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Elaprase</w:t>
      </w:r>
      <w:proofErr w:type="spellEnd"/>
      <w:r>
        <w:rPr>
          <w:rFonts w:ascii="Arial" w:hAnsi="Arial" w:cs="Arial"/>
          <w:sz w:val="22"/>
          <w:szCs w:val="22"/>
        </w:rPr>
        <w:t xml:space="preserve"> (</w:t>
      </w:r>
      <w:proofErr w:type="spellStart"/>
      <w:r>
        <w:rPr>
          <w:rFonts w:ascii="Arial" w:hAnsi="Arial" w:cs="Arial"/>
          <w:sz w:val="22"/>
          <w:szCs w:val="22"/>
        </w:rPr>
        <w:t>idursulfase</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187D4B94"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Elelyso</w:t>
      </w:r>
      <w:proofErr w:type="spellEnd"/>
      <w:r>
        <w:rPr>
          <w:rFonts w:ascii="Arial" w:hAnsi="Arial" w:cs="Arial"/>
          <w:sz w:val="22"/>
          <w:szCs w:val="22"/>
        </w:rPr>
        <w:t xml:space="preserve"> (</w:t>
      </w:r>
      <w:proofErr w:type="spellStart"/>
      <w:r>
        <w:rPr>
          <w:rFonts w:ascii="Arial" w:hAnsi="Arial" w:cs="Arial"/>
          <w:sz w:val="22"/>
          <w:szCs w:val="22"/>
        </w:rPr>
        <w:t>taliglucerase</w:t>
      </w:r>
      <w:proofErr w:type="spellEnd"/>
      <w:r>
        <w:rPr>
          <w:rFonts w:ascii="Arial" w:hAnsi="Arial" w:cs="Arial"/>
          <w:sz w:val="22"/>
          <w:szCs w:val="22"/>
        </w:rPr>
        <w:t xml:space="preserve"> alfa) –</w:t>
      </w:r>
      <w:r>
        <w:rPr>
          <w:rFonts w:ascii="Arial" w:hAnsi="Arial" w:cs="Arial"/>
          <w:b/>
          <w:bCs/>
          <w:sz w:val="22"/>
          <w:szCs w:val="22"/>
        </w:rPr>
        <w:t xml:space="preserve"> PA</w:t>
      </w:r>
      <w:r>
        <w:rPr>
          <w:rFonts w:ascii="Arial" w:hAnsi="Arial" w:cs="Arial"/>
          <w:sz w:val="22"/>
          <w:szCs w:val="22"/>
        </w:rPr>
        <w:t>; MB</w:t>
      </w:r>
    </w:p>
    <w:p w14:paraId="19C92843"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Elzonris</w:t>
      </w:r>
      <w:proofErr w:type="spellEnd"/>
      <w:r>
        <w:rPr>
          <w:rFonts w:ascii="Arial" w:hAnsi="Arial" w:cs="Arial"/>
          <w:sz w:val="22"/>
          <w:szCs w:val="22"/>
        </w:rPr>
        <w:t xml:space="preserve"> (</w:t>
      </w:r>
      <w:proofErr w:type="spellStart"/>
      <w:r>
        <w:rPr>
          <w:rFonts w:ascii="Arial" w:hAnsi="Arial" w:cs="Arial"/>
          <w:sz w:val="22"/>
          <w:szCs w:val="22"/>
        </w:rPr>
        <w:t>tagraxofusp-erzs</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551A4E5B"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Empliciti</w:t>
      </w:r>
      <w:proofErr w:type="spellEnd"/>
      <w:r>
        <w:rPr>
          <w:rFonts w:ascii="Arial" w:hAnsi="Arial" w:cs="Arial"/>
          <w:sz w:val="22"/>
          <w:szCs w:val="22"/>
        </w:rPr>
        <w:t xml:space="preserve"> (</w:t>
      </w:r>
      <w:proofErr w:type="spellStart"/>
      <w:r>
        <w:rPr>
          <w:rFonts w:ascii="Arial" w:hAnsi="Arial" w:cs="Arial"/>
          <w:sz w:val="22"/>
          <w:szCs w:val="22"/>
        </w:rPr>
        <w:t>elotuzumab</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6D3CE5DA"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Etopophos</w:t>
      </w:r>
      <w:proofErr w:type="spellEnd"/>
      <w:r>
        <w:rPr>
          <w:rFonts w:ascii="Arial" w:hAnsi="Arial" w:cs="Arial"/>
          <w:sz w:val="22"/>
          <w:szCs w:val="22"/>
        </w:rPr>
        <w:t xml:space="preserve"> (etoposide phosphate) –</w:t>
      </w:r>
      <w:r>
        <w:rPr>
          <w:rFonts w:ascii="Arial" w:hAnsi="Arial" w:cs="Arial"/>
          <w:b/>
          <w:bCs/>
          <w:sz w:val="22"/>
          <w:szCs w:val="22"/>
        </w:rPr>
        <w:t xml:space="preserve"> PA</w:t>
      </w:r>
      <w:r>
        <w:rPr>
          <w:rFonts w:ascii="Arial" w:hAnsi="Arial" w:cs="Arial"/>
          <w:sz w:val="22"/>
          <w:szCs w:val="22"/>
        </w:rPr>
        <w:t>; MB</w:t>
      </w:r>
    </w:p>
    <w:p w14:paraId="544AD282"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Euflexxa</w:t>
      </w:r>
      <w:proofErr w:type="spellEnd"/>
      <w:r>
        <w:rPr>
          <w:rFonts w:ascii="Arial" w:hAnsi="Arial" w:cs="Arial"/>
          <w:sz w:val="22"/>
          <w:szCs w:val="22"/>
        </w:rPr>
        <w:t xml:space="preserve"> (hyaluronate) –</w:t>
      </w:r>
      <w:r>
        <w:rPr>
          <w:rFonts w:ascii="Arial" w:hAnsi="Arial" w:cs="Arial"/>
          <w:b/>
          <w:bCs/>
          <w:sz w:val="22"/>
          <w:szCs w:val="22"/>
        </w:rPr>
        <w:t xml:space="preserve"> PA</w:t>
      </w:r>
      <w:r>
        <w:rPr>
          <w:rFonts w:ascii="Arial" w:hAnsi="Arial" w:cs="Arial"/>
          <w:sz w:val="22"/>
          <w:szCs w:val="22"/>
        </w:rPr>
        <w:t>; MB</w:t>
      </w:r>
    </w:p>
    <w:p w14:paraId="557A97DF"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Evkeeza</w:t>
      </w:r>
      <w:proofErr w:type="spellEnd"/>
      <w:r>
        <w:rPr>
          <w:rFonts w:ascii="Arial" w:hAnsi="Arial" w:cs="Arial"/>
          <w:sz w:val="22"/>
          <w:szCs w:val="22"/>
        </w:rPr>
        <w:t xml:space="preserve"> (</w:t>
      </w:r>
      <w:proofErr w:type="spellStart"/>
      <w:r>
        <w:rPr>
          <w:rFonts w:ascii="Arial" w:hAnsi="Arial" w:cs="Arial"/>
          <w:sz w:val="22"/>
          <w:szCs w:val="22"/>
        </w:rPr>
        <w:t>evinacumab-dgnb</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5B212D43"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Faslodex (</w:t>
      </w:r>
      <w:proofErr w:type="spellStart"/>
      <w:r>
        <w:rPr>
          <w:rFonts w:ascii="Arial" w:hAnsi="Arial" w:cs="Arial"/>
          <w:sz w:val="22"/>
          <w:szCs w:val="22"/>
        </w:rPr>
        <w:t>fulvestrant</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22D248B8"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Gazyva</w:t>
      </w:r>
      <w:proofErr w:type="spellEnd"/>
      <w:r>
        <w:rPr>
          <w:rFonts w:ascii="Arial" w:hAnsi="Arial" w:cs="Arial"/>
          <w:sz w:val="22"/>
          <w:szCs w:val="22"/>
        </w:rPr>
        <w:t xml:space="preserve"> (</w:t>
      </w:r>
      <w:proofErr w:type="spellStart"/>
      <w:r>
        <w:rPr>
          <w:rFonts w:ascii="Arial" w:hAnsi="Arial" w:cs="Arial"/>
          <w:sz w:val="22"/>
          <w:szCs w:val="22"/>
        </w:rPr>
        <w:t>obinutuzumab</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783C8B77"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Gel-One (hyaluronate, crossed-linked) –</w:t>
      </w:r>
      <w:r>
        <w:rPr>
          <w:rFonts w:ascii="Arial" w:hAnsi="Arial" w:cs="Arial"/>
          <w:b/>
          <w:bCs/>
          <w:sz w:val="22"/>
          <w:szCs w:val="22"/>
        </w:rPr>
        <w:t xml:space="preserve"> PA</w:t>
      </w:r>
      <w:r>
        <w:rPr>
          <w:rFonts w:ascii="Arial" w:hAnsi="Arial" w:cs="Arial"/>
          <w:sz w:val="22"/>
          <w:szCs w:val="22"/>
        </w:rPr>
        <w:t>; MB</w:t>
      </w:r>
    </w:p>
    <w:p w14:paraId="45BF3F27"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Gelsyn</w:t>
      </w:r>
      <w:proofErr w:type="spellEnd"/>
      <w:r>
        <w:rPr>
          <w:rFonts w:ascii="Arial" w:hAnsi="Arial" w:cs="Arial"/>
          <w:sz w:val="22"/>
          <w:szCs w:val="22"/>
        </w:rPr>
        <w:t xml:space="preserve"> (hyaluronate) –</w:t>
      </w:r>
      <w:r>
        <w:rPr>
          <w:rFonts w:ascii="Arial" w:hAnsi="Arial" w:cs="Arial"/>
          <w:b/>
          <w:bCs/>
          <w:sz w:val="22"/>
          <w:szCs w:val="22"/>
        </w:rPr>
        <w:t xml:space="preserve"> PA</w:t>
      </w:r>
      <w:r>
        <w:rPr>
          <w:rFonts w:ascii="Arial" w:hAnsi="Arial" w:cs="Arial"/>
          <w:sz w:val="22"/>
          <w:szCs w:val="22"/>
        </w:rPr>
        <w:t>; MB</w:t>
      </w:r>
    </w:p>
    <w:p w14:paraId="54E69CCC"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Genvisc</w:t>
      </w:r>
      <w:proofErr w:type="spellEnd"/>
      <w:r>
        <w:rPr>
          <w:rFonts w:ascii="Arial" w:hAnsi="Arial" w:cs="Arial"/>
          <w:sz w:val="22"/>
          <w:szCs w:val="22"/>
        </w:rPr>
        <w:t xml:space="preserve"> (hyaluronate) –</w:t>
      </w:r>
      <w:r>
        <w:rPr>
          <w:rFonts w:ascii="Arial" w:hAnsi="Arial" w:cs="Arial"/>
          <w:b/>
          <w:bCs/>
          <w:sz w:val="22"/>
          <w:szCs w:val="22"/>
        </w:rPr>
        <w:t xml:space="preserve"> PA</w:t>
      </w:r>
      <w:r>
        <w:rPr>
          <w:rFonts w:ascii="Arial" w:hAnsi="Arial" w:cs="Arial"/>
          <w:sz w:val="22"/>
          <w:szCs w:val="22"/>
        </w:rPr>
        <w:t>; MB</w:t>
      </w:r>
    </w:p>
    <w:p w14:paraId="2E1A31F3"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Givlaari</w:t>
      </w:r>
      <w:proofErr w:type="spellEnd"/>
      <w:r>
        <w:rPr>
          <w:rFonts w:ascii="Arial" w:hAnsi="Arial" w:cs="Arial"/>
          <w:sz w:val="22"/>
          <w:szCs w:val="22"/>
        </w:rPr>
        <w:t xml:space="preserve"> (</w:t>
      </w:r>
      <w:proofErr w:type="spellStart"/>
      <w:r>
        <w:rPr>
          <w:rFonts w:ascii="Arial" w:hAnsi="Arial" w:cs="Arial"/>
          <w:sz w:val="22"/>
          <w:szCs w:val="22"/>
        </w:rPr>
        <w:t>givosiran</w:t>
      </w:r>
      <w:proofErr w:type="spellEnd"/>
      <w:r>
        <w:rPr>
          <w:rFonts w:ascii="Arial" w:hAnsi="Arial" w:cs="Arial"/>
          <w:sz w:val="22"/>
          <w:szCs w:val="22"/>
        </w:rPr>
        <w:t xml:space="preserve">) </w:t>
      </w:r>
      <w:r>
        <w:rPr>
          <w:rFonts w:ascii="Arial" w:hAnsi="Arial" w:cs="Arial"/>
          <w:sz w:val="22"/>
          <w:szCs w:val="22"/>
          <w:vertAlign w:val="superscript"/>
        </w:rPr>
        <w:t>PD</w:t>
      </w:r>
      <w:r>
        <w:rPr>
          <w:rFonts w:ascii="Arial" w:hAnsi="Arial" w:cs="Arial"/>
          <w:sz w:val="22"/>
          <w:szCs w:val="22"/>
        </w:rPr>
        <w:t xml:space="preserve"> –</w:t>
      </w:r>
      <w:r>
        <w:rPr>
          <w:rFonts w:ascii="Arial" w:hAnsi="Arial" w:cs="Arial"/>
          <w:b/>
          <w:bCs/>
          <w:sz w:val="22"/>
          <w:szCs w:val="22"/>
        </w:rPr>
        <w:t xml:space="preserve"> PA</w:t>
      </w:r>
      <w:r>
        <w:rPr>
          <w:rFonts w:ascii="Arial" w:hAnsi="Arial" w:cs="Arial"/>
          <w:sz w:val="22"/>
          <w:szCs w:val="22"/>
        </w:rPr>
        <w:t>; MB</w:t>
      </w:r>
    </w:p>
    <w:p w14:paraId="3DFB0A13"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Halaven</w:t>
      </w:r>
      <w:proofErr w:type="spellEnd"/>
      <w:r>
        <w:rPr>
          <w:rFonts w:ascii="Arial" w:hAnsi="Arial" w:cs="Arial"/>
          <w:sz w:val="22"/>
          <w:szCs w:val="22"/>
        </w:rPr>
        <w:t xml:space="preserve"> (</w:t>
      </w:r>
      <w:proofErr w:type="spellStart"/>
      <w:r>
        <w:rPr>
          <w:rFonts w:ascii="Arial" w:hAnsi="Arial" w:cs="Arial"/>
          <w:sz w:val="22"/>
          <w:szCs w:val="22"/>
        </w:rPr>
        <w:t>eribulin</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42D2F8AB" w14:textId="2D0E0034" w:rsidR="004A6FF1" w:rsidRPr="004A6FF1" w:rsidRDefault="004A6FF1" w:rsidP="004A6FF1">
      <w:pPr>
        <w:pStyle w:val="Heading1"/>
        <w:spacing w:before="120" w:after="120" w:line="276" w:lineRule="auto"/>
        <w:jc w:val="left"/>
        <w:rPr>
          <w:rFonts w:ascii="Arial Black" w:hAnsi="Arial Black" w:cs="Arial"/>
          <w:sz w:val="22"/>
          <w:szCs w:val="22"/>
        </w:rPr>
      </w:pPr>
      <w:r w:rsidRPr="004A6FF1">
        <w:rPr>
          <w:rFonts w:ascii="Arial Black" w:hAnsi="Arial Black" w:cs="Arial"/>
          <w:sz w:val="22"/>
          <w:szCs w:val="22"/>
        </w:rPr>
        <w:lastRenderedPageBreak/>
        <w:t>Change in Coverage Status</w:t>
      </w:r>
      <w:r>
        <w:rPr>
          <w:rFonts w:ascii="Arial Black" w:hAnsi="Arial Black" w:cs="Arial"/>
          <w:sz w:val="22"/>
          <w:szCs w:val="22"/>
        </w:rPr>
        <w:t>, cont’d</w:t>
      </w:r>
    </w:p>
    <w:p w14:paraId="62BE49BA"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Hyalgan</w:t>
      </w:r>
      <w:proofErr w:type="spellEnd"/>
      <w:r>
        <w:rPr>
          <w:rFonts w:ascii="Arial" w:hAnsi="Arial" w:cs="Arial"/>
          <w:sz w:val="22"/>
          <w:szCs w:val="22"/>
        </w:rPr>
        <w:t xml:space="preserve"> (hyaluronate) –</w:t>
      </w:r>
      <w:r>
        <w:rPr>
          <w:rFonts w:ascii="Arial" w:hAnsi="Arial" w:cs="Arial"/>
          <w:b/>
          <w:bCs/>
          <w:sz w:val="22"/>
          <w:szCs w:val="22"/>
        </w:rPr>
        <w:t xml:space="preserve"> PA</w:t>
      </w:r>
      <w:r>
        <w:rPr>
          <w:rFonts w:ascii="Arial" w:hAnsi="Arial" w:cs="Arial"/>
          <w:sz w:val="22"/>
          <w:szCs w:val="22"/>
        </w:rPr>
        <w:t>; MB</w:t>
      </w:r>
    </w:p>
    <w:p w14:paraId="391F41B5"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Hymovis</w:t>
      </w:r>
      <w:proofErr w:type="spellEnd"/>
      <w:r>
        <w:rPr>
          <w:rFonts w:ascii="Arial" w:hAnsi="Arial" w:cs="Arial"/>
          <w:sz w:val="22"/>
          <w:szCs w:val="22"/>
        </w:rPr>
        <w:t xml:space="preserve"> (hyaluronate, modified) –</w:t>
      </w:r>
      <w:r>
        <w:rPr>
          <w:rFonts w:ascii="Arial" w:hAnsi="Arial" w:cs="Arial"/>
          <w:b/>
          <w:bCs/>
          <w:sz w:val="22"/>
          <w:szCs w:val="22"/>
        </w:rPr>
        <w:t xml:space="preserve"> PA</w:t>
      </w:r>
      <w:r>
        <w:rPr>
          <w:rFonts w:ascii="Arial" w:hAnsi="Arial" w:cs="Arial"/>
          <w:sz w:val="22"/>
          <w:szCs w:val="22"/>
        </w:rPr>
        <w:t>; MB</w:t>
      </w:r>
    </w:p>
    <w:p w14:paraId="7F288E1F"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Imfinzi (durvalumab) –</w:t>
      </w:r>
      <w:r>
        <w:rPr>
          <w:rFonts w:ascii="Arial" w:hAnsi="Arial" w:cs="Arial"/>
          <w:b/>
          <w:bCs/>
          <w:sz w:val="22"/>
          <w:szCs w:val="22"/>
        </w:rPr>
        <w:t xml:space="preserve"> PA</w:t>
      </w:r>
      <w:r>
        <w:rPr>
          <w:rFonts w:ascii="Arial" w:hAnsi="Arial" w:cs="Arial"/>
          <w:sz w:val="22"/>
          <w:szCs w:val="22"/>
        </w:rPr>
        <w:t>; MB</w:t>
      </w:r>
    </w:p>
    <w:p w14:paraId="51E14581"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Infugem</w:t>
      </w:r>
      <w:proofErr w:type="spellEnd"/>
      <w:r>
        <w:rPr>
          <w:rFonts w:ascii="Arial" w:hAnsi="Arial" w:cs="Arial"/>
          <w:sz w:val="22"/>
          <w:szCs w:val="22"/>
        </w:rPr>
        <w:t xml:space="preserve"> (gemcitabine premixed infusion) –</w:t>
      </w:r>
      <w:r>
        <w:rPr>
          <w:rFonts w:ascii="Arial" w:hAnsi="Arial" w:cs="Arial"/>
          <w:b/>
          <w:bCs/>
          <w:sz w:val="22"/>
          <w:szCs w:val="22"/>
        </w:rPr>
        <w:t xml:space="preserve"> PA</w:t>
      </w:r>
      <w:r>
        <w:rPr>
          <w:rFonts w:ascii="Arial" w:hAnsi="Arial" w:cs="Arial"/>
          <w:sz w:val="22"/>
          <w:szCs w:val="22"/>
        </w:rPr>
        <w:t>; MB</w:t>
      </w:r>
    </w:p>
    <w:p w14:paraId="4A3444A6"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Injectafer</w:t>
      </w:r>
      <w:proofErr w:type="spellEnd"/>
      <w:r>
        <w:rPr>
          <w:rFonts w:ascii="Arial" w:hAnsi="Arial" w:cs="Arial"/>
          <w:sz w:val="22"/>
          <w:szCs w:val="22"/>
        </w:rPr>
        <w:t xml:space="preserve"> (ferric </w:t>
      </w:r>
      <w:proofErr w:type="spellStart"/>
      <w:r>
        <w:rPr>
          <w:rFonts w:ascii="Arial" w:hAnsi="Arial" w:cs="Arial"/>
          <w:sz w:val="22"/>
          <w:szCs w:val="22"/>
        </w:rPr>
        <w:t>carboxymaltose</w:t>
      </w:r>
      <w:proofErr w:type="spellEnd"/>
      <w:r>
        <w:rPr>
          <w:rFonts w:ascii="Arial" w:hAnsi="Arial" w:cs="Arial"/>
          <w:sz w:val="22"/>
          <w:szCs w:val="22"/>
        </w:rPr>
        <w:t xml:space="preserve"> injection) –</w:t>
      </w:r>
      <w:r>
        <w:rPr>
          <w:rFonts w:ascii="Arial" w:hAnsi="Arial" w:cs="Arial"/>
          <w:b/>
          <w:bCs/>
          <w:sz w:val="22"/>
          <w:szCs w:val="22"/>
        </w:rPr>
        <w:t xml:space="preserve"> PA</w:t>
      </w:r>
      <w:r>
        <w:rPr>
          <w:rFonts w:ascii="Arial" w:hAnsi="Arial" w:cs="Arial"/>
          <w:sz w:val="22"/>
          <w:szCs w:val="22"/>
        </w:rPr>
        <w:t>; MB</w:t>
      </w:r>
    </w:p>
    <w:p w14:paraId="523A6587"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Istodax</w:t>
      </w:r>
      <w:proofErr w:type="spellEnd"/>
      <w:r>
        <w:rPr>
          <w:rFonts w:ascii="Arial" w:hAnsi="Arial" w:cs="Arial"/>
          <w:sz w:val="22"/>
          <w:szCs w:val="22"/>
        </w:rPr>
        <w:t xml:space="preserve"> (</w:t>
      </w:r>
      <w:proofErr w:type="spellStart"/>
      <w:r>
        <w:rPr>
          <w:rFonts w:ascii="Arial" w:hAnsi="Arial" w:cs="Arial"/>
          <w:sz w:val="22"/>
          <w:szCs w:val="22"/>
        </w:rPr>
        <w:t>romidepsin</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2555C1FD"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Jevtana</w:t>
      </w:r>
      <w:proofErr w:type="spellEnd"/>
      <w:r>
        <w:rPr>
          <w:rFonts w:ascii="Arial" w:hAnsi="Arial" w:cs="Arial"/>
          <w:sz w:val="22"/>
          <w:szCs w:val="22"/>
        </w:rPr>
        <w:t xml:space="preserve"> (</w:t>
      </w:r>
      <w:proofErr w:type="spellStart"/>
      <w:r>
        <w:rPr>
          <w:rFonts w:ascii="Arial" w:hAnsi="Arial" w:cs="Arial"/>
          <w:sz w:val="22"/>
          <w:szCs w:val="22"/>
        </w:rPr>
        <w:t>cabazitaxel</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65FFC77F"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Kadcyla</w:t>
      </w:r>
      <w:proofErr w:type="spellEnd"/>
      <w:r>
        <w:rPr>
          <w:rFonts w:ascii="Arial" w:hAnsi="Arial" w:cs="Arial"/>
          <w:sz w:val="22"/>
          <w:szCs w:val="22"/>
        </w:rPr>
        <w:t xml:space="preserve"> (ado-trastuzumab) –</w:t>
      </w:r>
      <w:r>
        <w:rPr>
          <w:rFonts w:ascii="Arial" w:hAnsi="Arial" w:cs="Arial"/>
          <w:b/>
          <w:bCs/>
          <w:sz w:val="22"/>
          <w:szCs w:val="22"/>
        </w:rPr>
        <w:t xml:space="preserve"> PA</w:t>
      </w:r>
      <w:r>
        <w:rPr>
          <w:rFonts w:ascii="Arial" w:hAnsi="Arial" w:cs="Arial"/>
          <w:sz w:val="22"/>
          <w:szCs w:val="22"/>
        </w:rPr>
        <w:t>; MB</w:t>
      </w:r>
    </w:p>
    <w:p w14:paraId="20954302"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Kanuma (</w:t>
      </w:r>
      <w:proofErr w:type="spellStart"/>
      <w:r>
        <w:rPr>
          <w:rFonts w:ascii="Arial" w:hAnsi="Arial" w:cs="Arial"/>
          <w:sz w:val="22"/>
          <w:szCs w:val="22"/>
        </w:rPr>
        <w:t>sebelipase</w:t>
      </w:r>
      <w:proofErr w:type="spellEnd"/>
      <w:r>
        <w:rPr>
          <w:rFonts w:ascii="Arial" w:hAnsi="Arial" w:cs="Arial"/>
          <w:sz w:val="22"/>
          <w:szCs w:val="22"/>
        </w:rPr>
        <w:t xml:space="preserve"> alfa) –</w:t>
      </w:r>
      <w:r>
        <w:rPr>
          <w:rFonts w:ascii="Arial" w:hAnsi="Arial" w:cs="Arial"/>
          <w:b/>
          <w:bCs/>
          <w:sz w:val="22"/>
          <w:szCs w:val="22"/>
        </w:rPr>
        <w:t xml:space="preserve"> PA</w:t>
      </w:r>
      <w:r>
        <w:rPr>
          <w:rFonts w:ascii="Arial" w:hAnsi="Arial" w:cs="Arial"/>
          <w:sz w:val="22"/>
          <w:szCs w:val="22"/>
        </w:rPr>
        <w:t>; MB</w:t>
      </w:r>
    </w:p>
    <w:p w14:paraId="19385E79"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Keytruda (pembrolizumab) –</w:t>
      </w:r>
      <w:r>
        <w:rPr>
          <w:rFonts w:ascii="Arial" w:hAnsi="Arial" w:cs="Arial"/>
          <w:b/>
          <w:bCs/>
          <w:sz w:val="22"/>
          <w:szCs w:val="22"/>
        </w:rPr>
        <w:t xml:space="preserve"> PA</w:t>
      </w:r>
      <w:r>
        <w:rPr>
          <w:rFonts w:ascii="Arial" w:hAnsi="Arial" w:cs="Arial"/>
          <w:sz w:val="22"/>
          <w:szCs w:val="22"/>
        </w:rPr>
        <w:t>; MB</w:t>
      </w:r>
    </w:p>
    <w:p w14:paraId="228D0B05"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Krystexxa</w:t>
      </w:r>
      <w:proofErr w:type="spellEnd"/>
      <w:r>
        <w:rPr>
          <w:rFonts w:ascii="Arial" w:hAnsi="Arial" w:cs="Arial"/>
          <w:sz w:val="22"/>
          <w:szCs w:val="22"/>
        </w:rPr>
        <w:t xml:space="preserve"> (</w:t>
      </w:r>
      <w:proofErr w:type="spellStart"/>
      <w:r>
        <w:rPr>
          <w:rFonts w:ascii="Arial" w:hAnsi="Arial" w:cs="Arial"/>
          <w:sz w:val="22"/>
          <w:szCs w:val="22"/>
        </w:rPr>
        <w:t>pegloticase</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17EC8819"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Kyprolis</w:t>
      </w:r>
      <w:proofErr w:type="spellEnd"/>
      <w:r>
        <w:rPr>
          <w:rFonts w:ascii="Arial" w:hAnsi="Arial" w:cs="Arial"/>
          <w:sz w:val="22"/>
          <w:szCs w:val="22"/>
        </w:rPr>
        <w:t xml:space="preserve"> (carfilzomib) –</w:t>
      </w:r>
      <w:r>
        <w:rPr>
          <w:rFonts w:ascii="Arial" w:hAnsi="Arial" w:cs="Arial"/>
          <w:b/>
          <w:bCs/>
          <w:sz w:val="22"/>
          <w:szCs w:val="22"/>
        </w:rPr>
        <w:t xml:space="preserve"> PA</w:t>
      </w:r>
      <w:r>
        <w:rPr>
          <w:rFonts w:ascii="Arial" w:hAnsi="Arial" w:cs="Arial"/>
          <w:sz w:val="22"/>
          <w:szCs w:val="22"/>
        </w:rPr>
        <w:t>; MB</w:t>
      </w:r>
    </w:p>
    <w:p w14:paraId="682DF348"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Libtayo</w:t>
      </w:r>
      <w:proofErr w:type="spellEnd"/>
      <w:r>
        <w:rPr>
          <w:rFonts w:ascii="Arial" w:hAnsi="Arial" w:cs="Arial"/>
          <w:sz w:val="22"/>
          <w:szCs w:val="22"/>
        </w:rPr>
        <w:t xml:space="preserve"> (</w:t>
      </w:r>
      <w:proofErr w:type="spellStart"/>
      <w:r>
        <w:rPr>
          <w:rFonts w:ascii="Arial" w:hAnsi="Arial" w:cs="Arial"/>
          <w:sz w:val="22"/>
          <w:szCs w:val="22"/>
        </w:rPr>
        <w:t>cemiplimab-rwlc</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45DB06F2"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Lumizyme</w:t>
      </w:r>
      <w:proofErr w:type="spellEnd"/>
      <w:r>
        <w:rPr>
          <w:rFonts w:ascii="Arial" w:hAnsi="Arial" w:cs="Arial"/>
          <w:sz w:val="22"/>
          <w:szCs w:val="22"/>
        </w:rPr>
        <w:t xml:space="preserve"> (</w:t>
      </w:r>
      <w:proofErr w:type="spellStart"/>
      <w:r>
        <w:rPr>
          <w:rFonts w:ascii="Arial" w:hAnsi="Arial" w:cs="Arial"/>
          <w:sz w:val="22"/>
          <w:szCs w:val="22"/>
        </w:rPr>
        <w:t>alglucosidase</w:t>
      </w:r>
      <w:proofErr w:type="spellEnd"/>
      <w:r>
        <w:rPr>
          <w:rFonts w:ascii="Arial" w:hAnsi="Arial" w:cs="Arial"/>
          <w:sz w:val="22"/>
          <w:szCs w:val="22"/>
        </w:rPr>
        <w:t xml:space="preserve"> alfa) –</w:t>
      </w:r>
      <w:r>
        <w:rPr>
          <w:rFonts w:ascii="Arial" w:hAnsi="Arial" w:cs="Arial"/>
          <w:b/>
          <w:bCs/>
          <w:sz w:val="22"/>
          <w:szCs w:val="22"/>
        </w:rPr>
        <w:t xml:space="preserve"> PA</w:t>
      </w:r>
      <w:r>
        <w:rPr>
          <w:rFonts w:ascii="Arial" w:hAnsi="Arial" w:cs="Arial"/>
          <w:sz w:val="22"/>
          <w:szCs w:val="22"/>
        </w:rPr>
        <w:t>; MB</w:t>
      </w:r>
    </w:p>
    <w:p w14:paraId="7EA63A11"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Lumoxiti</w:t>
      </w:r>
      <w:proofErr w:type="spellEnd"/>
      <w:r>
        <w:rPr>
          <w:rFonts w:ascii="Arial" w:hAnsi="Arial" w:cs="Arial"/>
          <w:sz w:val="22"/>
          <w:szCs w:val="22"/>
        </w:rPr>
        <w:t xml:space="preserve"> (</w:t>
      </w:r>
      <w:proofErr w:type="spellStart"/>
      <w:r>
        <w:rPr>
          <w:rFonts w:ascii="Arial" w:hAnsi="Arial" w:cs="Arial"/>
          <w:sz w:val="22"/>
          <w:szCs w:val="22"/>
        </w:rPr>
        <w:t>moxetumomab</w:t>
      </w:r>
      <w:proofErr w:type="spellEnd"/>
      <w:r>
        <w:rPr>
          <w:rFonts w:ascii="Arial" w:hAnsi="Arial" w:cs="Arial"/>
          <w:sz w:val="22"/>
          <w:szCs w:val="22"/>
        </w:rPr>
        <w:t xml:space="preserve"> </w:t>
      </w:r>
      <w:proofErr w:type="spellStart"/>
      <w:r>
        <w:rPr>
          <w:rFonts w:ascii="Arial" w:hAnsi="Arial" w:cs="Arial"/>
          <w:sz w:val="22"/>
          <w:szCs w:val="22"/>
        </w:rPr>
        <w:t>pasudotox-tdfk</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4A0E9B4E"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Margenza</w:t>
      </w:r>
      <w:proofErr w:type="spellEnd"/>
      <w:r>
        <w:rPr>
          <w:rFonts w:ascii="Arial" w:hAnsi="Arial" w:cs="Arial"/>
          <w:sz w:val="22"/>
          <w:szCs w:val="22"/>
        </w:rPr>
        <w:t xml:space="preserve"> (</w:t>
      </w:r>
      <w:proofErr w:type="spellStart"/>
      <w:r>
        <w:rPr>
          <w:rFonts w:ascii="Arial" w:hAnsi="Arial" w:cs="Arial"/>
          <w:sz w:val="22"/>
          <w:szCs w:val="22"/>
        </w:rPr>
        <w:t>margetuximab-cmkb</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2D68E65D"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Marqibo</w:t>
      </w:r>
      <w:proofErr w:type="spellEnd"/>
      <w:r>
        <w:rPr>
          <w:rFonts w:ascii="Arial" w:hAnsi="Arial" w:cs="Arial"/>
          <w:sz w:val="22"/>
          <w:szCs w:val="22"/>
        </w:rPr>
        <w:t xml:space="preserve"> (vincristine liposome) –</w:t>
      </w:r>
      <w:r>
        <w:rPr>
          <w:rFonts w:ascii="Arial" w:hAnsi="Arial" w:cs="Arial"/>
          <w:b/>
          <w:bCs/>
          <w:sz w:val="22"/>
          <w:szCs w:val="22"/>
        </w:rPr>
        <w:t xml:space="preserve"> PA</w:t>
      </w:r>
      <w:r>
        <w:rPr>
          <w:rFonts w:ascii="Arial" w:hAnsi="Arial" w:cs="Arial"/>
          <w:sz w:val="22"/>
          <w:szCs w:val="22"/>
        </w:rPr>
        <w:t>; MB</w:t>
      </w:r>
    </w:p>
    <w:p w14:paraId="2C5A4E42"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Mepsevii</w:t>
      </w:r>
      <w:proofErr w:type="spellEnd"/>
      <w:r>
        <w:rPr>
          <w:rFonts w:ascii="Arial" w:hAnsi="Arial" w:cs="Arial"/>
          <w:sz w:val="22"/>
          <w:szCs w:val="22"/>
        </w:rPr>
        <w:t xml:space="preserve"> (</w:t>
      </w:r>
      <w:proofErr w:type="spellStart"/>
      <w:r>
        <w:rPr>
          <w:rFonts w:ascii="Arial" w:hAnsi="Arial" w:cs="Arial"/>
          <w:sz w:val="22"/>
          <w:szCs w:val="22"/>
        </w:rPr>
        <w:t>vestronidase</w:t>
      </w:r>
      <w:proofErr w:type="spellEnd"/>
      <w:r>
        <w:rPr>
          <w:rFonts w:ascii="Arial" w:hAnsi="Arial" w:cs="Arial"/>
          <w:sz w:val="22"/>
          <w:szCs w:val="22"/>
        </w:rPr>
        <w:t xml:space="preserve"> alfa-</w:t>
      </w:r>
      <w:proofErr w:type="spellStart"/>
      <w:r>
        <w:rPr>
          <w:rFonts w:ascii="Arial" w:hAnsi="Arial" w:cs="Arial"/>
          <w:sz w:val="22"/>
          <w:szCs w:val="22"/>
        </w:rPr>
        <w:t>vjbk</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1F7916F7"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Monovisc</w:t>
      </w:r>
      <w:proofErr w:type="spellEnd"/>
      <w:r>
        <w:rPr>
          <w:rFonts w:ascii="Arial" w:hAnsi="Arial" w:cs="Arial"/>
          <w:sz w:val="22"/>
          <w:szCs w:val="22"/>
        </w:rPr>
        <w:t xml:space="preserve"> (hyaluronate) –</w:t>
      </w:r>
      <w:r>
        <w:rPr>
          <w:rFonts w:ascii="Arial" w:hAnsi="Arial" w:cs="Arial"/>
          <w:b/>
          <w:bCs/>
          <w:sz w:val="22"/>
          <w:szCs w:val="22"/>
        </w:rPr>
        <w:t xml:space="preserve"> PA</w:t>
      </w:r>
      <w:r>
        <w:rPr>
          <w:rFonts w:ascii="Arial" w:hAnsi="Arial" w:cs="Arial"/>
          <w:sz w:val="22"/>
          <w:szCs w:val="22"/>
        </w:rPr>
        <w:t>; MB</w:t>
      </w:r>
    </w:p>
    <w:p w14:paraId="0372C52C"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Mvasi</w:t>
      </w:r>
      <w:proofErr w:type="spellEnd"/>
      <w:r>
        <w:rPr>
          <w:rFonts w:ascii="Arial" w:hAnsi="Arial" w:cs="Arial"/>
          <w:sz w:val="22"/>
          <w:szCs w:val="22"/>
        </w:rPr>
        <w:t xml:space="preserve"> (bevacizumab-</w:t>
      </w:r>
      <w:proofErr w:type="spellStart"/>
      <w:r>
        <w:rPr>
          <w:rFonts w:ascii="Arial" w:hAnsi="Arial" w:cs="Arial"/>
          <w:sz w:val="22"/>
          <w:szCs w:val="22"/>
        </w:rPr>
        <w:t>awwb</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6502C861"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Naglazyme</w:t>
      </w:r>
      <w:proofErr w:type="spellEnd"/>
      <w:r>
        <w:rPr>
          <w:rFonts w:ascii="Arial" w:hAnsi="Arial" w:cs="Arial"/>
          <w:sz w:val="22"/>
          <w:szCs w:val="22"/>
        </w:rPr>
        <w:t xml:space="preserve"> (</w:t>
      </w:r>
      <w:proofErr w:type="spellStart"/>
      <w:r>
        <w:rPr>
          <w:rFonts w:ascii="Arial" w:hAnsi="Arial" w:cs="Arial"/>
          <w:sz w:val="22"/>
          <w:szCs w:val="22"/>
        </w:rPr>
        <w:t>galsulfase</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36CE0F33"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Nplate</w:t>
      </w:r>
      <w:proofErr w:type="spellEnd"/>
      <w:r>
        <w:rPr>
          <w:rFonts w:ascii="Arial" w:hAnsi="Arial" w:cs="Arial"/>
          <w:sz w:val="22"/>
          <w:szCs w:val="22"/>
        </w:rPr>
        <w:t xml:space="preserve"> (romiplostim) –</w:t>
      </w:r>
      <w:r>
        <w:rPr>
          <w:rFonts w:ascii="Arial" w:hAnsi="Arial" w:cs="Arial"/>
          <w:b/>
          <w:bCs/>
          <w:sz w:val="22"/>
          <w:szCs w:val="22"/>
        </w:rPr>
        <w:t xml:space="preserve"> PA</w:t>
      </w:r>
      <w:r>
        <w:rPr>
          <w:rFonts w:ascii="Arial" w:hAnsi="Arial" w:cs="Arial"/>
          <w:sz w:val="22"/>
          <w:szCs w:val="22"/>
        </w:rPr>
        <w:t>; MB</w:t>
      </w:r>
    </w:p>
    <w:p w14:paraId="1A29E8D4"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Nulibry</w:t>
      </w:r>
      <w:proofErr w:type="spellEnd"/>
      <w:r>
        <w:rPr>
          <w:rFonts w:ascii="Arial" w:hAnsi="Arial" w:cs="Arial"/>
          <w:sz w:val="22"/>
          <w:szCs w:val="22"/>
        </w:rPr>
        <w:t xml:space="preserve"> (</w:t>
      </w:r>
      <w:proofErr w:type="spellStart"/>
      <w:r>
        <w:rPr>
          <w:rFonts w:ascii="Arial" w:hAnsi="Arial" w:cs="Arial"/>
          <w:sz w:val="22"/>
          <w:szCs w:val="22"/>
        </w:rPr>
        <w:t>fosdenopterin</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54D5C390"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Onivyde</w:t>
      </w:r>
      <w:proofErr w:type="spellEnd"/>
      <w:r>
        <w:rPr>
          <w:rFonts w:ascii="Arial" w:hAnsi="Arial" w:cs="Arial"/>
          <w:sz w:val="22"/>
          <w:szCs w:val="22"/>
        </w:rPr>
        <w:t xml:space="preserve"> (irinotecan liposome) –</w:t>
      </w:r>
      <w:r>
        <w:rPr>
          <w:rFonts w:ascii="Arial" w:hAnsi="Arial" w:cs="Arial"/>
          <w:b/>
          <w:bCs/>
          <w:sz w:val="22"/>
          <w:szCs w:val="22"/>
        </w:rPr>
        <w:t xml:space="preserve"> PA</w:t>
      </w:r>
      <w:r>
        <w:rPr>
          <w:rFonts w:ascii="Arial" w:hAnsi="Arial" w:cs="Arial"/>
          <w:sz w:val="22"/>
          <w:szCs w:val="22"/>
        </w:rPr>
        <w:t>; MB</w:t>
      </w:r>
    </w:p>
    <w:p w14:paraId="27BC4E25"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Onpattro</w:t>
      </w:r>
      <w:proofErr w:type="spellEnd"/>
      <w:r>
        <w:rPr>
          <w:rFonts w:ascii="Arial" w:hAnsi="Arial" w:cs="Arial"/>
          <w:sz w:val="22"/>
          <w:szCs w:val="22"/>
        </w:rPr>
        <w:t xml:space="preserve"> (</w:t>
      </w:r>
      <w:proofErr w:type="spellStart"/>
      <w:r>
        <w:rPr>
          <w:rFonts w:ascii="Arial" w:hAnsi="Arial" w:cs="Arial"/>
          <w:sz w:val="22"/>
          <w:szCs w:val="22"/>
        </w:rPr>
        <w:t>patisiran</w:t>
      </w:r>
      <w:proofErr w:type="spellEnd"/>
      <w:r>
        <w:rPr>
          <w:rFonts w:ascii="Arial" w:hAnsi="Arial" w:cs="Arial"/>
          <w:sz w:val="22"/>
          <w:szCs w:val="22"/>
        </w:rPr>
        <w:t xml:space="preserve">) </w:t>
      </w:r>
      <w:r>
        <w:rPr>
          <w:rFonts w:ascii="Arial" w:hAnsi="Arial" w:cs="Arial"/>
          <w:sz w:val="22"/>
          <w:szCs w:val="22"/>
          <w:vertAlign w:val="superscript"/>
        </w:rPr>
        <w:t>PD</w:t>
      </w:r>
      <w:r>
        <w:rPr>
          <w:rFonts w:ascii="Arial" w:hAnsi="Arial" w:cs="Arial"/>
          <w:sz w:val="22"/>
          <w:szCs w:val="22"/>
        </w:rPr>
        <w:t xml:space="preserve"> –</w:t>
      </w:r>
      <w:r>
        <w:rPr>
          <w:rFonts w:ascii="Arial" w:hAnsi="Arial" w:cs="Arial"/>
          <w:b/>
          <w:bCs/>
          <w:sz w:val="22"/>
          <w:szCs w:val="22"/>
        </w:rPr>
        <w:t xml:space="preserve"> PA</w:t>
      </w:r>
      <w:r>
        <w:rPr>
          <w:rFonts w:ascii="Arial" w:hAnsi="Arial" w:cs="Arial"/>
          <w:sz w:val="22"/>
          <w:szCs w:val="22"/>
        </w:rPr>
        <w:t>; MB</w:t>
      </w:r>
    </w:p>
    <w:p w14:paraId="7E0EAB51"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Opdivo</w:t>
      </w:r>
      <w:proofErr w:type="spellEnd"/>
      <w:r>
        <w:rPr>
          <w:rFonts w:ascii="Arial" w:hAnsi="Arial" w:cs="Arial"/>
          <w:sz w:val="22"/>
          <w:szCs w:val="22"/>
        </w:rPr>
        <w:t xml:space="preserve"> (nivolumab) –</w:t>
      </w:r>
      <w:r>
        <w:rPr>
          <w:rFonts w:ascii="Arial" w:hAnsi="Arial" w:cs="Arial"/>
          <w:b/>
          <w:bCs/>
          <w:sz w:val="22"/>
          <w:szCs w:val="22"/>
        </w:rPr>
        <w:t xml:space="preserve"> PA</w:t>
      </w:r>
      <w:r>
        <w:rPr>
          <w:rFonts w:ascii="Arial" w:hAnsi="Arial" w:cs="Arial"/>
          <w:sz w:val="22"/>
          <w:szCs w:val="22"/>
        </w:rPr>
        <w:t>; MB</w:t>
      </w:r>
    </w:p>
    <w:p w14:paraId="13CF4661"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Orencia (abatacept vial) –</w:t>
      </w:r>
      <w:r>
        <w:rPr>
          <w:rFonts w:ascii="Arial" w:hAnsi="Arial" w:cs="Arial"/>
          <w:b/>
          <w:bCs/>
          <w:sz w:val="22"/>
          <w:szCs w:val="22"/>
        </w:rPr>
        <w:t xml:space="preserve"> PA</w:t>
      </w:r>
      <w:r>
        <w:rPr>
          <w:rFonts w:ascii="Arial" w:hAnsi="Arial" w:cs="Arial"/>
          <w:sz w:val="22"/>
          <w:szCs w:val="22"/>
        </w:rPr>
        <w:t>; MB</w:t>
      </w:r>
    </w:p>
    <w:p w14:paraId="11CBA5C6"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Orthovisc</w:t>
      </w:r>
      <w:proofErr w:type="spellEnd"/>
      <w:r>
        <w:rPr>
          <w:rFonts w:ascii="Arial" w:hAnsi="Arial" w:cs="Arial"/>
          <w:sz w:val="22"/>
          <w:szCs w:val="22"/>
        </w:rPr>
        <w:t xml:space="preserve"> (hyaluronan, high molecular weight) –</w:t>
      </w:r>
      <w:r>
        <w:rPr>
          <w:rFonts w:ascii="Arial" w:hAnsi="Arial" w:cs="Arial"/>
          <w:b/>
          <w:bCs/>
          <w:sz w:val="22"/>
          <w:szCs w:val="22"/>
        </w:rPr>
        <w:t xml:space="preserve"> PA</w:t>
      </w:r>
      <w:r>
        <w:rPr>
          <w:rFonts w:ascii="Arial" w:hAnsi="Arial" w:cs="Arial"/>
          <w:sz w:val="22"/>
          <w:szCs w:val="22"/>
        </w:rPr>
        <w:t>; MB</w:t>
      </w:r>
    </w:p>
    <w:p w14:paraId="4CA348B0"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Oxlumo</w:t>
      </w:r>
      <w:proofErr w:type="spellEnd"/>
      <w:r>
        <w:rPr>
          <w:rFonts w:ascii="Arial" w:hAnsi="Arial" w:cs="Arial"/>
          <w:sz w:val="22"/>
          <w:szCs w:val="22"/>
        </w:rPr>
        <w:t xml:space="preserve"> (</w:t>
      </w:r>
      <w:proofErr w:type="spellStart"/>
      <w:r>
        <w:rPr>
          <w:rFonts w:ascii="Arial" w:hAnsi="Arial" w:cs="Arial"/>
          <w:sz w:val="22"/>
          <w:szCs w:val="22"/>
        </w:rPr>
        <w:t>lumasiran</w:t>
      </w:r>
      <w:proofErr w:type="spellEnd"/>
      <w:r>
        <w:rPr>
          <w:rFonts w:ascii="Arial" w:hAnsi="Arial" w:cs="Arial"/>
          <w:sz w:val="22"/>
          <w:szCs w:val="22"/>
        </w:rPr>
        <w:t xml:space="preserve">) </w:t>
      </w:r>
      <w:r>
        <w:rPr>
          <w:rFonts w:ascii="Arial" w:hAnsi="Arial" w:cs="Arial"/>
          <w:sz w:val="22"/>
          <w:szCs w:val="22"/>
          <w:vertAlign w:val="superscript"/>
        </w:rPr>
        <w:t>PD</w:t>
      </w:r>
      <w:r>
        <w:rPr>
          <w:rFonts w:ascii="Arial" w:hAnsi="Arial" w:cs="Arial"/>
          <w:sz w:val="22"/>
          <w:szCs w:val="22"/>
        </w:rPr>
        <w:t xml:space="preserve"> –</w:t>
      </w:r>
      <w:r>
        <w:rPr>
          <w:rFonts w:ascii="Arial" w:hAnsi="Arial" w:cs="Arial"/>
          <w:b/>
          <w:bCs/>
          <w:sz w:val="22"/>
          <w:szCs w:val="22"/>
        </w:rPr>
        <w:t xml:space="preserve"> PA</w:t>
      </w:r>
      <w:r>
        <w:rPr>
          <w:rFonts w:ascii="Arial" w:hAnsi="Arial" w:cs="Arial"/>
          <w:sz w:val="22"/>
          <w:szCs w:val="22"/>
        </w:rPr>
        <w:t>; MB</w:t>
      </w:r>
    </w:p>
    <w:p w14:paraId="2F2864C6"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Pemfexy</w:t>
      </w:r>
      <w:proofErr w:type="spellEnd"/>
      <w:r>
        <w:rPr>
          <w:rFonts w:ascii="Arial" w:hAnsi="Arial" w:cs="Arial"/>
          <w:sz w:val="22"/>
          <w:szCs w:val="22"/>
        </w:rPr>
        <w:t xml:space="preserve"> (pemetrexed) –</w:t>
      </w:r>
      <w:r>
        <w:rPr>
          <w:rFonts w:ascii="Arial" w:hAnsi="Arial" w:cs="Arial"/>
          <w:b/>
          <w:bCs/>
          <w:sz w:val="22"/>
          <w:szCs w:val="22"/>
        </w:rPr>
        <w:t xml:space="preserve"> PA</w:t>
      </w:r>
      <w:r>
        <w:rPr>
          <w:rFonts w:ascii="Arial" w:hAnsi="Arial" w:cs="Arial"/>
          <w:sz w:val="22"/>
          <w:szCs w:val="22"/>
        </w:rPr>
        <w:t>; MB</w:t>
      </w:r>
    </w:p>
    <w:p w14:paraId="3BAEDBCB"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Perjeta (</w:t>
      </w:r>
      <w:proofErr w:type="spellStart"/>
      <w:r>
        <w:rPr>
          <w:rFonts w:ascii="Arial" w:hAnsi="Arial" w:cs="Arial"/>
          <w:sz w:val="22"/>
          <w:szCs w:val="22"/>
        </w:rPr>
        <w:t>pertuzumab</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3E32C8BF"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Phesgo</w:t>
      </w:r>
      <w:proofErr w:type="spellEnd"/>
      <w:r>
        <w:rPr>
          <w:rFonts w:ascii="Arial" w:hAnsi="Arial" w:cs="Arial"/>
          <w:sz w:val="22"/>
          <w:szCs w:val="22"/>
        </w:rPr>
        <w:t xml:space="preserve"> (</w:t>
      </w:r>
      <w:proofErr w:type="spellStart"/>
      <w:r>
        <w:rPr>
          <w:rFonts w:ascii="Arial" w:hAnsi="Arial" w:cs="Arial"/>
          <w:sz w:val="22"/>
          <w:szCs w:val="22"/>
        </w:rPr>
        <w:t>pertuzumab</w:t>
      </w:r>
      <w:proofErr w:type="spellEnd"/>
      <w:r>
        <w:rPr>
          <w:rFonts w:ascii="Arial" w:hAnsi="Arial" w:cs="Arial"/>
          <w:sz w:val="22"/>
          <w:szCs w:val="22"/>
        </w:rPr>
        <w:t>/trastuzumab/hyaluronidase-</w:t>
      </w:r>
      <w:proofErr w:type="spellStart"/>
      <w:r>
        <w:rPr>
          <w:rFonts w:ascii="Arial" w:hAnsi="Arial" w:cs="Arial"/>
          <w:sz w:val="22"/>
          <w:szCs w:val="22"/>
        </w:rPr>
        <w:t>zzxf</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3D4C2499"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Polivy</w:t>
      </w:r>
      <w:proofErr w:type="spellEnd"/>
      <w:r>
        <w:rPr>
          <w:rFonts w:ascii="Arial" w:hAnsi="Arial" w:cs="Arial"/>
          <w:sz w:val="22"/>
          <w:szCs w:val="22"/>
        </w:rPr>
        <w:t xml:space="preserve"> (</w:t>
      </w:r>
      <w:proofErr w:type="spellStart"/>
      <w:r>
        <w:rPr>
          <w:rFonts w:ascii="Arial" w:hAnsi="Arial" w:cs="Arial"/>
          <w:sz w:val="22"/>
          <w:szCs w:val="22"/>
        </w:rPr>
        <w:t>polatuzumab</w:t>
      </w:r>
      <w:proofErr w:type="spellEnd"/>
      <w:r>
        <w:rPr>
          <w:rFonts w:ascii="Arial" w:hAnsi="Arial" w:cs="Arial"/>
          <w:sz w:val="22"/>
          <w:szCs w:val="22"/>
        </w:rPr>
        <w:t xml:space="preserve"> </w:t>
      </w:r>
      <w:proofErr w:type="spellStart"/>
      <w:r>
        <w:rPr>
          <w:rFonts w:ascii="Arial" w:hAnsi="Arial" w:cs="Arial"/>
          <w:sz w:val="22"/>
          <w:szCs w:val="22"/>
        </w:rPr>
        <w:t>vedotin-piiq</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2D24D9ED"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Poteligeo</w:t>
      </w:r>
      <w:proofErr w:type="spellEnd"/>
      <w:r>
        <w:rPr>
          <w:rFonts w:ascii="Arial" w:hAnsi="Arial" w:cs="Arial"/>
          <w:sz w:val="22"/>
          <w:szCs w:val="22"/>
        </w:rPr>
        <w:t xml:space="preserve"> (mogamulizumab-</w:t>
      </w:r>
      <w:proofErr w:type="spellStart"/>
      <w:r>
        <w:rPr>
          <w:rFonts w:ascii="Arial" w:hAnsi="Arial" w:cs="Arial"/>
          <w:sz w:val="22"/>
          <w:szCs w:val="22"/>
        </w:rPr>
        <w:t>kpkc</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79C9127D"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Reblozyl</w:t>
      </w:r>
      <w:proofErr w:type="spellEnd"/>
      <w:r>
        <w:rPr>
          <w:rFonts w:ascii="Arial" w:hAnsi="Arial" w:cs="Arial"/>
          <w:sz w:val="22"/>
          <w:szCs w:val="22"/>
        </w:rPr>
        <w:t xml:space="preserve"> (</w:t>
      </w:r>
      <w:proofErr w:type="spellStart"/>
      <w:r>
        <w:rPr>
          <w:rFonts w:ascii="Arial" w:hAnsi="Arial" w:cs="Arial"/>
          <w:sz w:val="22"/>
          <w:szCs w:val="22"/>
        </w:rPr>
        <w:t>luspatercept-aamt</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31D74ADC"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Riabni</w:t>
      </w:r>
      <w:proofErr w:type="spellEnd"/>
      <w:r>
        <w:rPr>
          <w:rFonts w:ascii="Arial" w:hAnsi="Arial" w:cs="Arial"/>
          <w:sz w:val="22"/>
          <w:szCs w:val="22"/>
        </w:rPr>
        <w:t xml:space="preserve"> (rituximab-</w:t>
      </w:r>
      <w:proofErr w:type="spellStart"/>
      <w:r>
        <w:rPr>
          <w:rFonts w:ascii="Arial" w:hAnsi="Arial" w:cs="Arial"/>
          <w:sz w:val="22"/>
          <w:szCs w:val="22"/>
        </w:rPr>
        <w:t>arrx</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2B5FA0BB"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Rituxan (rituximab) –</w:t>
      </w:r>
      <w:r>
        <w:rPr>
          <w:rFonts w:ascii="Arial" w:hAnsi="Arial" w:cs="Arial"/>
          <w:b/>
          <w:bCs/>
          <w:sz w:val="22"/>
          <w:szCs w:val="22"/>
        </w:rPr>
        <w:t xml:space="preserve"> PA</w:t>
      </w:r>
      <w:r>
        <w:rPr>
          <w:rFonts w:ascii="Arial" w:hAnsi="Arial" w:cs="Arial"/>
          <w:sz w:val="22"/>
          <w:szCs w:val="22"/>
        </w:rPr>
        <w:t>; MB</w:t>
      </w:r>
    </w:p>
    <w:p w14:paraId="0EA5F25D"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 xml:space="preserve">Rituxan </w:t>
      </w:r>
      <w:proofErr w:type="spellStart"/>
      <w:r>
        <w:rPr>
          <w:rFonts w:ascii="Arial" w:hAnsi="Arial" w:cs="Arial"/>
          <w:sz w:val="22"/>
          <w:szCs w:val="22"/>
        </w:rPr>
        <w:t>Hycela</w:t>
      </w:r>
      <w:proofErr w:type="spellEnd"/>
      <w:r>
        <w:rPr>
          <w:rFonts w:ascii="Arial" w:hAnsi="Arial" w:cs="Arial"/>
          <w:sz w:val="22"/>
          <w:szCs w:val="22"/>
        </w:rPr>
        <w:t xml:space="preserve"> (rituximab/hyaluronidase human) –</w:t>
      </w:r>
      <w:r>
        <w:rPr>
          <w:rFonts w:ascii="Arial" w:hAnsi="Arial" w:cs="Arial"/>
          <w:b/>
          <w:bCs/>
          <w:sz w:val="22"/>
          <w:szCs w:val="22"/>
        </w:rPr>
        <w:t xml:space="preserve"> PA</w:t>
      </w:r>
      <w:r>
        <w:rPr>
          <w:rFonts w:ascii="Arial" w:hAnsi="Arial" w:cs="Arial"/>
          <w:sz w:val="22"/>
          <w:szCs w:val="22"/>
        </w:rPr>
        <w:t>; MB</w:t>
      </w:r>
    </w:p>
    <w:p w14:paraId="0F4F97C1"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romidepsin</w:t>
      </w:r>
      <w:proofErr w:type="spellEnd"/>
      <w:r>
        <w:rPr>
          <w:rFonts w:ascii="Arial" w:hAnsi="Arial" w:cs="Arial"/>
          <w:sz w:val="22"/>
          <w:szCs w:val="22"/>
        </w:rPr>
        <w:t xml:space="preserve"> –</w:t>
      </w:r>
      <w:r>
        <w:rPr>
          <w:rFonts w:ascii="Arial" w:hAnsi="Arial" w:cs="Arial"/>
          <w:b/>
          <w:bCs/>
          <w:sz w:val="22"/>
          <w:szCs w:val="22"/>
        </w:rPr>
        <w:t xml:space="preserve"> PA</w:t>
      </w:r>
      <w:r>
        <w:rPr>
          <w:rFonts w:ascii="Arial" w:hAnsi="Arial" w:cs="Arial"/>
          <w:sz w:val="22"/>
          <w:szCs w:val="22"/>
        </w:rPr>
        <w:t>; MB</w:t>
      </w:r>
    </w:p>
    <w:p w14:paraId="7B7D82E7"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Ruxience</w:t>
      </w:r>
      <w:proofErr w:type="spellEnd"/>
      <w:r>
        <w:rPr>
          <w:rFonts w:ascii="Arial" w:hAnsi="Arial" w:cs="Arial"/>
          <w:sz w:val="22"/>
          <w:szCs w:val="22"/>
        </w:rPr>
        <w:t xml:space="preserve"> (rituximab-</w:t>
      </w:r>
      <w:proofErr w:type="spellStart"/>
      <w:r>
        <w:rPr>
          <w:rFonts w:ascii="Arial" w:hAnsi="Arial" w:cs="Arial"/>
          <w:sz w:val="22"/>
          <w:szCs w:val="22"/>
        </w:rPr>
        <w:t>pvvr</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1913D62D"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Saphnelo</w:t>
      </w:r>
      <w:proofErr w:type="spellEnd"/>
      <w:r>
        <w:rPr>
          <w:rFonts w:ascii="Arial" w:hAnsi="Arial" w:cs="Arial"/>
          <w:sz w:val="22"/>
          <w:szCs w:val="22"/>
        </w:rPr>
        <w:t xml:space="preserve"> (</w:t>
      </w:r>
      <w:proofErr w:type="spellStart"/>
      <w:r>
        <w:rPr>
          <w:rFonts w:ascii="Arial" w:hAnsi="Arial" w:cs="Arial"/>
          <w:sz w:val="22"/>
          <w:szCs w:val="22"/>
        </w:rPr>
        <w:t>anifrolumab-fnia</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290C325F"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Signifor</w:t>
      </w:r>
      <w:proofErr w:type="spellEnd"/>
      <w:r>
        <w:rPr>
          <w:rFonts w:ascii="Arial" w:hAnsi="Arial" w:cs="Arial"/>
          <w:sz w:val="22"/>
          <w:szCs w:val="22"/>
        </w:rPr>
        <w:t xml:space="preserve"> LAR (</w:t>
      </w:r>
      <w:proofErr w:type="spellStart"/>
      <w:r>
        <w:rPr>
          <w:rFonts w:ascii="Arial" w:hAnsi="Arial" w:cs="Arial"/>
          <w:sz w:val="22"/>
          <w:szCs w:val="22"/>
        </w:rPr>
        <w:t>pasireotide</w:t>
      </w:r>
      <w:proofErr w:type="spellEnd"/>
      <w:r>
        <w:rPr>
          <w:rFonts w:ascii="Arial" w:hAnsi="Arial" w:cs="Arial"/>
          <w:sz w:val="22"/>
          <w:szCs w:val="22"/>
        </w:rPr>
        <w:t xml:space="preserve"> injectable suspension) –</w:t>
      </w:r>
      <w:r>
        <w:rPr>
          <w:rFonts w:ascii="Arial" w:hAnsi="Arial" w:cs="Arial"/>
          <w:b/>
          <w:bCs/>
          <w:sz w:val="22"/>
          <w:szCs w:val="22"/>
        </w:rPr>
        <w:t xml:space="preserve"> PA</w:t>
      </w:r>
      <w:r>
        <w:rPr>
          <w:rFonts w:ascii="Arial" w:hAnsi="Arial" w:cs="Arial"/>
          <w:sz w:val="22"/>
          <w:szCs w:val="22"/>
        </w:rPr>
        <w:t>; MB</w:t>
      </w:r>
    </w:p>
    <w:p w14:paraId="53F53EED"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Spinraza</w:t>
      </w:r>
      <w:proofErr w:type="spellEnd"/>
      <w:r>
        <w:rPr>
          <w:rFonts w:ascii="Arial" w:hAnsi="Arial" w:cs="Arial"/>
          <w:sz w:val="22"/>
          <w:szCs w:val="22"/>
        </w:rPr>
        <w:t xml:space="preserve"> (</w:t>
      </w:r>
      <w:proofErr w:type="spellStart"/>
      <w:r>
        <w:rPr>
          <w:rFonts w:ascii="Arial" w:hAnsi="Arial" w:cs="Arial"/>
          <w:sz w:val="22"/>
          <w:szCs w:val="22"/>
        </w:rPr>
        <w:t>nusinersen</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027BF0D4"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Spravato</w:t>
      </w:r>
      <w:proofErr w:type="spellEnd"/>
      <w:r>
        <w:rPr>
          <w:rFonts w:ascii="Arial" w:hAnsi="Arial" w:cs="Arial"/>
          <w:sz w:val="22"/>
          <w:szCs w:val="22"/>
        </w:rPr>
        <w:t xml:space="preserve"> (</w:t>
      </w:r>
      <w:proofErr w:type="spellStart"/>
      <w:r>
        <w:rPr>
          <w:rFonts w:ascii="Arial" w:hAnsi="Arial" w:cs="Arial"/>
          <w:sz w:val="22"/>
          <w:szCs w:val="22"/>
        </w:rPr>
        <w:t>esketamine</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67D2A99D"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Stelara (</w:t>
      </w:r>
      <w:proofErr w:type="spellStart"/>
      <w:r>
        <w:rPr>
          <w:rFonts w:ascii="Arial" w:hAnsi="Arial" w:cs="Arial"/>
          <w:sz w:val="22"/>
          <w:szCs w:val="22"/>
        </w:rPr>
        <w:t>ustekinumab</w:t>
      </w:r>
      <w:proofErr w:type="spellEnd"/>
      <w:r>
        <w:rPr>
          <w:rFonts w:ascii="Arial" w:hAnsi="Arial" w:cs="Arial"/>
          <w:sz w:val="22"/>
          <w:szCs w:val="22"/>
        </w:rPr>
        <w:t xml:space="preserve"> 130 mg/26 mL vial) </w:t>
      </w:r>
      <w:r>
        <w:rPr>
          <w:rFonts w:ascii="Arial" w:hAnsi="Arial" w:cs="Arial"/>
          <w:sz w:val="22"/>
          <w:szCs w:val="22"/>
          <w:vertAlign w:val="superscript"/>
        </w:rPr>
        <w:t>PD</w:t>
      </w:r>
      <w:r>
        <w:rPr>
          <w:rFonts w:ascii="Arial" w:hAnsi="Arial" w:cs="Arial"/>
          <w:sz w:val="22"/>
          <w:szCs w:val="22"/>
        </w:rPr>
        <w:t xml:space="preserve"> –</w:t>
      </w:r>
      <w:r>
        <w:rPr>
          <w:rFonts w:ascii="Arial" w:hAnsi="Arial" w:cs="Arial"/>
          <w:b/>
          <w:bCs/>
          <w:sz w:val="22"/>
          <w:szCs w:val="22"/>
        </w:rPr>
        <w:t xml:space="preserve"> PA</w:t>
      </w:r>
      <w:r>
        <w:rPr>
          <w:rFonts w:ascii="Arial" w:hAnsi="Arial" w:cs="Arial"/>
          <w:sz w:val="22"/>
          <w:szCs w:val="22"/>
        </w:rPr>
        <w:t>; MB</w:t>
      </w:r>
    </w:p>
    <w:p w14:paraId="17C1D983"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Supartz</w:t>
      </w:r>
      <w:proofErr w:type="spellEnd"/>
      <w:r>
        <w:rPr>
          <w:rFonts w:ascii="Arial" w:hAnsi="Arial" w:cs="Arial"/>
          <w:sz w:val="22"/>
          <w:szCs w:val="22"/>
        </w:rPr>
        <w:t xml:space="preserve"> (hyaluronate) –</w:t>
      </w:r>
      <w:r>
        <w:rPr>
          <w:rFonts w:ascii="Arial" w:hAnsi="Arial" w:cs="Arial"/>
          <w:b/>
          <w:bCs/>
          <w:sz w:val="22"/>
          <w:szCs w:val="22"/>
        </w:rPr>
        <w:t xml:space="preserve"> PA</w:t>
      </w:r>
      <w:r>
        <w:rPr>
          <w:rFonts w:ascii="Arial" w:hAnsi="Arial" w:cs="Arial"/>
          <w:sz w:val="22"/>
          <w:szCs w:val="22"/>
        </w:rPr>
        <w:t>; MB</w:t>
      </w:r>
    </w:p>
    <w:p w14:paraId="02C2292C"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Sylvant (</w:t>
      </w:r>
      <w:proofErr w:type="spellStart"/>
      <w:r>
        <w:rPr>
          <w:rFonts w:ascii="Arial" w:hAnsi="Arial" w:cs="Arial"/>
          <w:sz w:val="22"/>
          <w:szCs w:val="22"/>
        </w:rPr>
        <w:t>siltuximab</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6DB22166"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Synojoynt</w:t>
      </w:r>
      <w:proofErr w:type="spellEnd"/>
      <w:r>
        <w:rPr>
          <w:rFonts w:ascii="Arial" w:hAnsi="Arial" w:cs="Arial"/>
          <w:sz w:val="22"/>
          <w:szCs w:val="22"/>
        </w:rPr>
        <w:t xml:space="preserve"> (hyaluronate) –</w:t>
      </w:r>
      <w:r>
        <w:rPr>
          <w:rFonts w:ascii="Arial" w:hAnsi="Arial" w:cs="Arial"/>
          <w:b/>
          <w:bCs/>
          <w:sz w:val="22"/>
          <w:szCs w:val="22"/>
        </w:rPr>
        <w:t xml:space="preserve"> PA</w:t>
      </w:r>
      <w:r>
        <w:rPr>
          <w:rFonts w:ascii="Arial" w:hAnsi="Arial" w:cs="Arial"/>
          <w:sz w:val="22"/>
          <w:szCs w:val="22"/>
        </w:rPr>
        <w:t>; MB</w:t>
      </w:r>
    </w:p>
    <w:p w14:paraId="65B82A89"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Synvisc (</w:t>
      </w:r>
      <w:proofErr w:type="spellStart"/>
      <w:r>
        <w:rPr>
          <w:rFonts w:ascii="Arial" w:hAnsi="Arial" w:cs="Arial"/>
          <w:sz w:val="22"/>
          <w:szCs w:val="22"/>
        </w:rPr>
        <w:t>hylan</w:t>
      </w:r>
      <w:proofErr w:type="spellEnd"/>
      <w:r>
        <w:rPr>
          <w:rFonts w:ascii="Arial" w:hAnsi="Arial" w:cs="Arial"/>
          <w:sz w:val="22"/>
          <w:szCs w:val="22"/>
        </w:rPr>
        <w:t xml:space="preserve"> G-F20) –</w:t>
      </w:r>
      <w:r>
        <w:rPr>
          <w:rFonts w:ascii="Arial" w:hAnsi="Arial" w:cs="Arial"/>
          <w:b/>
          <w:bCs/>
          <w:sz w:val="22"/>
          <w:szCs w:val="22"/>
        </w:rPr>
        <w:t xml:space="preserve"> PA</w:t>
      </w:r>
      <w:r>
        <w:rPr>
          <w:rFonts w:ascii="Arial" w:hAnsi="Arial" w:cs="Arial"/>
          <w:sz w:val="22"/>
          <w:szCs w:val="22"/>
        </w:rPr>
        <w:t>; MB</w:t>
      </w:r>
    </w:p>
    <w:p w14:paraId="6544AA80"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Synvisc-One (</w:t>
      </w:r>
      <w:proofErr w:type="spellStart"/>
      <w:r>
        <w:rPr>
          <w:rFonts w:ascii="Arial" w:hAnsi="Arial" w:cs="Arial"/>
          <w:sz w:val="22"/>
          <w:szCs w:val="22"/>
        </w:rPr>
        <w:t>hylan</w:t>
      </w:r>
      <w:proofErr w:type="spellEnd"/>
      <w:r>
        <w:rPr>
          <w:rFonts w:ascii="Arial" w:hAnsi="Arial" w:cs="Arial"/>
          <w:sz w:val="22"/>
          <w:szCs w:val="22"/>
        </w:rPr>
        <w:t xml:space="preserve"> G-F20) –</w:t>
      </w:r>
      <w:r>
        <w:rPr>
          <w:rFonts w:ascii="Arial" w:hAnsi="Arial" w:cs="Arial"/>
          <w:b/>
          <w:bCs/>
          <w:sz w:val="22"/>
          <w:szCs w:val="22"/>
        </w:rPr>
        <w:t xml:space="preserve"> PA</w:t>
      </w:r>
      <w:r>
        <w:rPr>
          <w:rFonts w:ascii="Arial" w:hAnsi="Arial" w:cs="Arial"/>
          <w:sz w:val="22"/>
          <w:szCs w:val="22"/>
        </w:rPr>
        <w:t>; MB</w:t>
      </w:r>
    </w:p>
    <w:p w14:paraId="164DDD73"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Tecentriq</w:t>
      </w:r>
      <w:proofErr w:type="spellEnd"/>
      <w:r>
        <w:rPr>
          <w:rFonts w:ascii="Arial" w:hAnsi="Arial" w:cs="Arial"/>
          <w:sz w:val="22"/>
          <w:szCs w:val="22"/>
        </w:rPr>
        <w:t xml:space="preserve"> (atezolizumab) –</w:t>
      </w:r>
      <w:r>
        <w:rPr>
          <w:rFonts w:ascii="Arial" w:hAnsi="Arial" w:cs="Arial"/>
          <w:b/>
          <w:bCs/>
          <w:sz w:val="22"/>
          <w:szCs w:val="22"/>
        </w:rPr>
        <w:t xml:space="preserve"> PA</w:t>
      </w:r>
      <w:r>
        <w:rPr>
          <w:rFonts w:ascii="Arial" w:hAnsi="Arial" w:cs="Arial"/>
          <w:sz w:val="22"/>
          <w:szCs w:val="22"/>
        </w:rPr>
        <w:t>; MB</w:t>
      </w:r>
    </w:p>
    <w:p w14:paraId="44353C4D"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Tepezza</w:t>
      </w:r>
      <w:proofErr w:type="spellEnd"/>
      <w:r>
        <w:rPr>
          <w:rFonts w:ascii="Arial" w:hAnsi="Arial" w:cs="Arial"/>
          <w:sz w:val="22"/>
          <w:szCs w:val="22"/>
        </w:rPr>
        <w:t xml:space="preserve"> (teprotumumab-</w:t>
      </w:r>
      <w:proofErr w:type="spellStart"/>
      <w:r>
        <w:rPr>
          <w:rFonts w:ascii="Arial" w:hAnsi="Arial" w:cs="Arial"/>
          <w:sz w:val="22"/>
          <w:szCs w:val="22"/>
        </w:rPr>
        <w:t>trbw</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4957204D"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Trelstar (triptorelin) –</w:t>
      </w:r>
      <w:r>
        <w:rPr>
          <w:rFonts w:ascii="Arial" w:hAnsi="Arial" w:cs="Arial"/>
          <w:b/>
          <w:bCs/>
          <w:sz w:val="22"/>
          <w:szCs w:val="22"/>
        </w:rPr>
        <w:t xml:space="preserve"> PA</w:t>
      </w:r>
      <w:r>
        <w:rPr>
          <w:rFonts w:ascii="Arial" w:hAnsi="Arial" w:cs="Arial"/>
          <w:sz w:val="22"/>
          <w:szCs w:val="22"/>
        </w:rPr>
        <w:t>; MB</w:t>
      </w:r>
    </w:p>
    <w:p w14:paraId="2E7F0B02"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Triluron</w:t>
      </w:r>
      <w:proofErr w:type="spellEnd"/>
      <w:r>
        <w:rPr>
          <w:rFonts w:ascii="Arial" w:hAnsi="Arial" w:cs="Arial"/>
          <w:sz w:val="22"/>
          <w:szCs w:val="22"/>
        </w:rPr>
        <w:t xml:space="preserve"> (hyaluronate) –</w:t>
      </w:r>
      <w:r>
        <w:rPr>
          <w:rFonts w:ascii="Arial" w:hAnsi="Arial" w:cs="Arial"/>
          <w:b/>
          <w:bCs/>
          <w:sz w:val="22"/>
          <w:szCs w:val="22"/>
        </w:rPr>
        <w:t xml:space="preserve"> PA</w:t>
      </w:r>
      <w:r>
        <w:rPr>
          <w:rFonts w:ascii="Arial" w:hAnsi="Arial" w:cs="Arial"/>
          <w:sz w:val="22"/>
          <w:szCs w:val="22"/>
        </w:rPr>
        <w:t>; MB</w:t>
      </w:r>
    </w:p>
    <w:p w14:paraId="5AD607D1"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Trivisc</w:t>
      </w:r>
      <w:proofErr w:type="spellEnd"/>
      <w:r>
        <w:rPr>
          <w:rFonts w:ascii="Arial" w:hAnsi="Arial" w:cs="Arial"/>
          <w:sz w:val="22"/>
          <w:szCs w:val="22"/>
        </w:rPr>
        <w:t xml:space="preserve"> (hyaluronate) –</w:t>
      </w:r>
      <w:r>
        <w:rPr>
          <w:rFonts w:ascii="Arial" w:hAnsi="Arial" w:cs="Arial"/>
          <w:b/>
          <w:bCs/>
          <w:sz w:val="22"/>
          <w:szCs w:val="22"/>
        </w:rPr>
        <w:t xml:space="preserve"> PA</w:t>
      </w:r>
      <w:r>
        <w:rPr>
          <w:rFonts w:ascii="Arial" w:hAnsi="Arial" w:cs="Arial"/>
          <w:sz w:val="22"/>
          <w:szCs w:val="22"/>
        </w:rPr>
        <w:t>; MB</w:t>
      </w:r>
    </w:p>
    <w:p w14:paraId="5FF6D0B0"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Truxima</w:t>
      </w:r>
      <w:proofErr w:type="spellEnd"/>
      <w:r>
        <w:rPr>
          <w:rFonts w:ascii="Arial" w:hAnsi="Arial" w:cs="Arial"/>
          <w:sz w:val="22"/>
          <w:szCs w:val="22"/>
        </w:rPr>
        <w:t xml:space="preserve"> (rituximab-abbs) –</w:t>
      </w:r>
      <w:r>
        <w:rPr>
          <w:rFonts w:ascii="Arial" w:hAnsi="Arial" w:cs="Arial"/>
          <w:b/>
          <w:bCs/>
          <w:sz w:val="22"/>
          <w:szCs w:val="22"/>
        </w:rPr>
        <w:t xml:space="preserve"> PA</w:t>
      </w:r>
      <w:r>
        <w:rPr>
          <w:rFonts w:ascii="Arial" w:hAnsi="Arial" w:cs="Arial"/>
          <w:sz w:val="22"/>
          <w:szCs w:val="22"/>
        </w:rPr>
        <w:t>; MB</w:t>
      </w:r>
    </w:p>
    <w:p w14:paraId="1AB0E221"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Ultomiris</w:t>
      </w:r>
      <w:proofErr w:type="spellEnd"/>
      <w:r>
        <w:rPr>
          <w:rFonts w:ascii="Arial" w:hAnsi="Arial" w:cs="Arial"/>
          <w:sz w:val="22"/>
          <w:szCs w:val="22"/>
        </w:rPr>
        <w:t xml:space="preserve"> (</w:t>
      </w:r>
      <w:proofErr w:type="spellStart"/>
      <w:r>
        <w:rPr>
          <w:rFonts w:ascii="Arial" w:hAnsi="Arial" w:cs="Arial"/>
          <w:sz w:val="22"/>
          <w:szCs w:val="22"/>
        </w:rPr>
        <w:t>ravulizumab-cwvz</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p>
    <w:p w14:paraId="0EDFDEF0"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Venofer</w:t>
      </w:r>
      <w:proofErr w:type="spellEnd"/>
      <w:r>
        <w:rPr>
          <w:rFonts w:ascii="Arial" w:hAnsi="Arial" w:cs="Arial"/>
          <w:sz w:val="22"/>
          <w:szCs w:val="22"/>
        </w:rPr>
        <w:t xml:space="preserve"> (iron sucrose); MB</w:t>
      </w:r>
    </w:p>
    <w:p w14:paraId="3D785396"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Vimizim</w:t>
      </w:r>
      <w:proofErr w:type="spellEnd"/>
      <w:r>
        <w:rPr>
          <w:rFonts w:ascii="Arial" w:hAnsi="Arial" w:cs="Arial"/>
          <w:sz w:val="22"/>
          <w:szCs w:val="22"/>
        </w:rPr>
        <w:t xml:space="preserve"> (</w:t>
      </w:r>
      <w:proofErr w:type="spellStart"/>
      <w:r>
        <w:rPr>
          <w:rFonts w:ascii="Arial" w:hAnsi="Arial" w:cs="Arial"/>
          <w:sz w:val="22"/>
          <w:szCs w:val="22"/>
        </w:rPr>
        <w:t>elosulfase</w:t>
      </w:r>
      <w:proofErr w:type="spellEnd"/>
      <w:r>
        <w:rPr>
          <w:rFonts w:ascii="Arial" w:hAnsi="Arial" w:cs="Arial"/>
          <w:sz w:val="22"/>
          <w:szCs w:val="22"/>
        </w:rPr>
        <w:t xml:space="preserve"> alfa) –</w:t>
      </w:r>
      <w:r>
        <w:rPr>
          <w:rFonts w:ascii="Arial" w:hAnsi="Arial" w:cs="Arial"/>
          <w:b/>
          <w:bCs/>
          <w:sz w:val="22"/>
          <w:szCs w:val="22"/>
        </w:rPr>
        <w:t xml:space="preserve"> PA</w:t>
      </w:r>
      <w:r>
        <w:rPr>
          <w:rFonts w:ascii="Arial" w:hAnsi="Arial" w:cs="Arial"/>
          <w:sz w:val="22"/>
          <w:szCs w:val="22"/>
        </w:rPr>
        <w:t>; MB</w:t>
      </w:r>
    </w:p>
    <w:p w14:paraId="4C2B7663" w14:textId="77777777" w:rsidR="00FA099B" w:rsidRDefault="00FA099B" w:rsidP="00316718">
      <w:pPr>
        <w:pStyle w:val="Default"/>
        <w:numPr>
          <w:ilvl w:val="1"/>
          <w:numId w:val="27"/>
        </w:numPr>
        <w:spacing w:line="276" w:lineRule="auto"/>
        <w:ind w:left="936"/>
        <w:rPr>
          <w:rFonts w:ascii="Arial" w:hAnsi="Arial" w:cs="Arial"/>
          <w:sz w:val="22"/>
          <w:szCs w:val="22"/>
        </w:rPr>
      </w:pPr>
      <w:r>
        <w:rPr>
          <w:rFonts w:ascii="Arial" w:hAnsi="Arial" w:cs="Arial"/>
          <w:sz w:val="22"/>
          <w:szCs w:val="22"/>
        </w:rPr>
        <w:t>Visco-3 (hyaluronate) –</w:t>
      </w:r>
      <w:r>
        <w:rPr>
          <w:rFonts w:ascii="Arial" w:hAnsi="Arial" w:cs="Arial"/>
          <w:b/>
          <w:bCs/>
          <w:sz w:val="22"/>
          <w:szCs w:val="22"/>
        </w:rPr>
        <w:t xml:space="preserve"> PA</w:t>
      </w:r>
      <w:r>
        <w:rPr>
          <w:rFonts w:ascii="Arial" w:hAnsi="Arial" w:cs="Arial"/>
          <w:sz w:val="22"/>
          <w:szCs w:val="22"/>
        </w:rPr>
        <w:t>; MB</w:t>
      </w:r>
    </w:p>
    <w:p w14:paraId="3A698616"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Vpriv</w:t>
      </w:r>
      <w:proofErr w:type="spellEnd"/>
      <w:r>
        <w:rPr>
          <w:rFonts w:ascii="Arial" w:hAnsi="Arial" w:cs="Arial"/>
          <w:sz w:val="22"/>
          <w:szCs w:val="22"/>
        </w:rPr>
        <w:t xml:space="preserve"> (</w:t>
      </w:r>
      <w:proofErr w:type="spellStart"/>
      <w:r>
        <w:rPr>
          <w:rFonts w:ascii="Arial" w:hAnsi="Arial" w:cs="Arial"/>
          <w:sz w:val="22"/>
          <w:szCs w:val="22"/>
        </w:rPr>
        <w:t>velaglucerase</w:t>
      </w:r>
      <w:proofErr w:type="spellEnd"/>
      <w:r>
        <w:rPr>
          <w:rFonts w:ascii="Arial" w:hAnsi="Arial" w:cs="Arial"/>
          <w:sz w:val="22"/>
          <w:szCs w:val="22"/>
        </w:rPr>
        <w:t xml:space="preserve"> alfa) –</w:t>
      </w:r>
      <w:r>
        <w:rPr>
          <w:rFonts w:ascii="Arial" w:hAnsi="Arial" w:cs="Arial"/>
          <w:b/>
          <w:bCs/>
          <w:sz w:val="22"/>
          <w:szCs w:val="22"/>
        </w:rPr>
        <w:t xml:space="preserve"> PA</w:t>
      </w:r>
      <w:r>
        <w:rPr>
          <w:rFonts w:ascii="Arial" w:hAnsi="Arial" w:cs="Arial"/>
          <w:sz w:val="22"/>
          <w:szCs w:val="22"/>
        </w:rPr>
        <w:t>; MB</w:t>
      </w:r>
    </w:p>
    <w:p w14:paraId="7D49D6D3"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Yervoy</w:t>
      </w:r>
      <w:proofErr w:type="spellEnd"/>
      <w:r>
        <w:rPr>
          <w:rFonts w:ascii="Arial" w:hAnsi="Arial" w:cs="Arial"/>
          <w:sz w:val="22"/>
          <w:szCs w:val="22"/>
        </w:rPr>
        <w:t xml:space="preserve"> (ipilimumab) –</w:t>
      </w:r>
      <w:r>
        <w:rPr>
          <w:rFonts w:ascii="Arial" w:hAnsi="Arial" w:cs="Arial"/>
          <w:b/>
          <w:bCs/>
          <w:sz w:val="22"/>
          <w:szCs w:val="22"/>
        </w:rPr>
        <w:t xml:space="preserve"> PA</w:t>
      </w:r>
      <w:r>
        <w:rPr>
          <w:rFonts w:ascii="Arial" w:hAnsi="Arial" w:cs="Arial"/>
          <w:sz w:val="22"/>
          <w:szCs w:val="22"/>
        </w:rPr>
        <w:t>; MB</w:t>
      </w:r>
    </w:p>
    <w:p w14:paraId="14C35EE1" w14:textId="77777777" w:rsidR="00FA099B"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Zaltrap</w:t>
      </w:r>
      <w:proofErr w:type="spellEnd"/>
      <w:r>
        <w:rPr>
          <w:rFonts w:ascii="Arial" w:hAnsi="Arial" w:cs="Arial"/>
          <w:sz w:val="22"/>
          <w:szCs w:val="22"/>
        </w:rPr>
        <w:t xml:space="preserve"> (</w:t>
      </w:r>
      <w:proofErr w:type="spellStart"/>
      <w:r>
        <w:rPr>
          <w:rFonts w:ascii="Arial" w:hAnsi="Arial" w:cs="Arial"/>
          <w:sz w:val="22"/>
          <w:szCs w:val="22"/>
        </w:rPr>
        <w:t>ziv</w:t>
      </w:r>
      <w:proofErr w:type="spellEnd"/>
      <w:r>
        <w:rPr>
          <w:rFonts w:ascii="Arial" w:hAnsi="Arial" w:cs="Arial"/>
          <w:sz w:val="22"/>
          <w:szCs w:val="22"/>
        </w:rPr>
        <w:t>-aflibercept) –</w:t>
      </w:r>
      <w:r>
        <w:rPr>
          <w:rFonts w:ascii="Arial" w:hAnsi="Arial" w:cs="Arial"/>
          <w:b/>
          <w:bCs/>
          <w:sz w:val="22"/>
          <w:szCs w:val="22"/>
        </w:rPr>
        <w:t xml:space="preserve"> PA</w:t>
      </w:r>
      <w:r>
        <w:rPr>
          <w:rFonts w:ascii="Arial" w:hAnsi="Arial" w:cs="Arial"/>
          <w:sz w:val="22"/>
          <w:szCs w:val="22"/>
        </w:rPr>
        <w:t>; MB</w:t>
      </w:r>
    </w:p>
    <w:p w14:paraId="261BABE4" w14:textId="24F684F5" w:rsidR="004A6FF1" w:rsidRDefault="00FA099B" w:rsidP="00316718">
      <w:pPr>
        <w:pStyle w:val="Default"/>
        <w:numPr>
          <w:ilvl w:val="1"/>
          <w:numId w:val="27"/>
        </w:numPr>
        <w:spacing w:line="276" w:lineRule="auto"/>
        <w:ind w:left="936"/>
        <w:rPr>
          <w:rFonts w:ascii="Arial" w:hAnsi="Arial" w:cs="Arial"/>
          <w:sz w:val="22"/>
          <w:szCs w:val="22"/>
        </w:rPr>
      </w:pPr>
      <w:proofErr w:type="spellStart"/>
      <w:r>
        <w:rPr>
          <w:rFonts w:ascii="Arial" w:hAnsi="Arial" w:cs="Arial"/>
          <w:sz w:val="22"/>
          <w:szCs w:val="22"/>
        </w:rPr>
        <w:t>Zirabev</w:t>
      </w:r>
      <w:proofErr w:type="spellEnd"/>
      <w:r>
        <w:rPr>
          <w:rFonts w:ascii="Arial" w:hAnsi="Arial" w:cs="Arial"/>
          <w:sz w:val="22"/>
          <w:szCs w:val="22"/>
        </w:rPr>
        <w:t xml:space="preserve"> (bevacizumab-</w:t>
      </w:r>
      <w:proofErr w:type="spellStart"/>
      <w:r>
        <w:rPr>
          <w:rFonts w:ascii="Arial" w:hAnsi="Arial" w:cs="Arial"/>
          <w:sz w:val="22"/>
          <w:szCs w:val="22"/>
        </w:rPr>
        <w:t>bvzr</w:t>
      </w:r>
      <w:proofErr w:type="spellEnd"/>
      <w:r>
        <w:rPr>
          <w:rFonts w:ascii="Arial" w:hAnsi="Arial" w:cs="Arial"/>
          <w:sz w:val="22"/>
          <w:szCs w:val="22"/>
        </w:rPr>
        <w:t>) –</w:t>
      </w:r>
      <w:r>
        <w:rPr>
          <w:rFonts w:ascii="Arial" w:hAnsi="Arial" w:cs="Arial"/>
          <w:b/>
          <w:bCs/>
          <w:sz w:val="22"/>
          <w:szCs w:val="22"/>
        </w:rPr>
        <w:t xml:space="preserve"> PA</w:t>
      </w:r>
      <w:r>
        <w:rPr>
          <w:rFonts w:ascii="Arial" w:hAnsi="Arial" w:cs="Arial"/>
          <w:sz w:val="22"/>
          <w:szCs w:val="22"/>
        </w:rPr>
        <w:t>; MB</w:t>
      </w:r>
      <w:r w:rsidR="004A6FF1">
        <w:rPr>
          <w:rFonts w:ascii="Arial" w:hAnsi="Arial" w:cs="Arial"/>
          <w:sz w:val="22"/>
          <w:szCs w:val="22"/>
        </w:rPr>
        <w:br/>
      </w:r>
      <w:r w:rsidR="004A6FF1">
        <w:rPr>
          <w:rFonts w:ascii="Arial" w:hAnsi="Arial" w:cs="Arial"/>
          <w:sz w:val="22"/>
          <w:szCs w:val="22"/>
        </w:rPr>
        <w:br w:type="page"/>
      </w:r>
    </w:p>
    <w:p w14:paraId="0E9E0E9E" w14:textId="62FF5770" w:rsidR="00FA099B" w:rsidRDefault="00FA099B" w:rsidP="00316718">
      <w:pPr>
        <w:pStyle w:val="Default"/>
        <w:numPr>
          <w:ilvl w:val="0"/>
          <w:numId w:val="27"/>
        </w:numPr>
        <w:spacing w:line="276" w:lineRule="auto"/>
        <w:ind w:left="648"/>
        <w:rPr>
          <w:rFonts w:ascii="Arial" w:hAnsi="Arial" w:cs="Arial"/>
          <w:sz w:val="22"/>
          <w:szCs w:val="22"/>
        </w:rPr>
      </w:pPr>
      <w:r>
        <w:rPr>
          <w:rFonts w:ascii="Arial" w:hAnsi="Arial" w:cs="Arial"/>
          <w:sz w:val="22"/>
          <w:szCs w:val="22"/>
        </w:rPr>
        <w:lastRenderedPageBreak/>
        <w:t>Effective April 1, 2023, the following agent will no longer be available through medical billing only</w:t>
      </w:r>
      <w:r w:rsidR="004A6FF1">
        <w:rPr>
          <w:rFonts w:ascii="Arial" w:hAnsi="Arial" w:cs="Arial"/>
          <w:sz w:val="22"/>
          <w:szCs w:val="22"/>
        </w:rPr>
        <w:t xml:space="preserve">. It </w:t>
      </w:r>
      <w:r>
        <w:rPr>
          <w:rFonts w:ascii="Arial" w:hAnsi="Arial" w:cs="Arial"/>
          <w:sz w:val="22"/>
          <w:szCs w:val="22"/>
        </w:rPr>
        <w:t>will be available through pharmacy billing</w:t>
      </w:r>
      <w:r w:rsidR="004A6FF1">
        <w:rPr>
          <w:rFonts w:ascii="Arial" w:hAnsi="Arial" w:cs="Arial"/>
          <w:sz w:val="22"/>
          <w:szCs w:val="22"/>
        </w:rPr>
        <w:t xml:space="preserve"> only</w:t>
      </w:r>
      <w:r>
        <w:rPr>
          <w:rFonts w:ascii="Arial" w:hAnsi="Arial" w:cs="Arial"/>
          <w:sz w:val="22"/>
          <w:szCs w:val="22"/>
        </w:rPr>
        <w:t>.</w:t>
      </w:r>
    </w:p>
    <w:p w14:paraId="60A36D22" w14:textId="77777777" w:rsidR="00FA099B" w:rsidRDefault="00FA099B" w:rsidP="00DB2CFD">
      <w:pPr>
        <w:pStyle w:val="Default"/>
        <w:numPr>
          <w:ilvl w:val="0"/>
          <w:numId w:val="28"/>
        </w:numPr>
        <w:spacing w:line="276" w:lineRule="auto"/>
        <w:ind w:left="936"/>
        <w:rPr>
          <w:rFonts w:ascii="Arial" w:hAnsi="Arial" w:cs="Arial"/>
          <w:sz w:val="22"/>
          <w:szCs w:val="22"/>
        </w:rPr>
      </w:pPr>
      <w:proofErr w:type="spellStart"/>
      <w:r>
        <w:rPr>
          <w:rFonts w:ascii="Arial" w:hAnsi="Arial" w:cs="Arial"/>
          <w:sz w:val="22"/>
          <w:szCs w:val="22"/>
        </w:rPr>
        <w:t>Xipere</w:t>
      </w:r>
      <w:proofErr w:type="spellEnd"/>
      <w:r>
        <w:rPr>
          <w:rFonts w:ascii="Arial" w:hAnsi="Arial" w:cs="Arial"/>
          <w:sz w:val="22"/>
          <w:szCs w:val="22"/>
        </w:rPr>
        <w:t xml:space="preserve"> (triamcinolone ophthalmic suspension)</w:t>
      </w:r>
    </w:p>
    <w:p w14:paraId="3830E4D4" w14:textId="225FA76A" w:rsidR="00B2666A" w:rsidRDefault="00B2666A" w:rsidP="00CD6D68">
      <w:pPr>
        <w:rPr>
          <w:rFonts w:ascii="Arial" w:hAnsi="Arial" w:cs="Arial"/>
          <w:sz w:val="22"/>
          <w:szCs w:val="22"/>
        </w:rPr>
      </w:pPr>
    </w:p>
    <w:p w14:paraId="693CDC84" w14:textId="77777777" w:rsidR="00FA099B" w:rsidRPr="004A6FF1" w:rsidRDefault="00FA099B" w:rsidP="00316718">
      <w:pPr>
        <w:pStyle w:val="Heading1"/>
        <w:spacing w:after="120" w:line="276" w:lineRule="auto"/>
        <w:jc w:val="left"/>
        <w:rPr>
          <w:rFonts w:ascii="Arial Black" w:hAnsi="Arial Black" w:cs="Arial"/>
          <w:sz w:val="22"/>
          <w:szCs w:val="22"/>
        </w:rPr>
      </w:pPr>
      <w:r w:rsidRPr="004A6FF1">
        <w:rPr>
          <w:rFonts w:ascii="Arial Black" w:hAnsi="Arial Black" w:cs="Arial"/>
          <w:sz w:val="22"/>
          <w:szCs w:val="22"/>
        </w:rPr>
        <w:t>Updated MassHealth Brand Name Preferred Over Generic Drug List</w:t>
      </w:r>
    </w:p>
    <w:p w14:paraId="03D53741" w14:textId="77777777" w:rsidR="00FA099B" w:rsidRPr="00FA099B" w:rsidRDefault="00FA099B" w:rsidP="00316718">
      <w:pPr>
        <w:spacing w:after="120"/>
        <w:rPr>
          <w:rFonts w:ascii="Arial" w:hAnsi="Arial" w:cs="Arial"/>
          <w:color w:val="000000"/>
          <w:sz w:val="22"/>
          <w:szCs w:val="22"/>
        </w:rPr>
      </w:pPr>
      <w:r w:rsidRPr="00FA099B">
        <w:rPr>
          <w:rFonts w:ascii="Arial" w:hAnsi="Arial" w:cs="Arial"/>
          <w:color w:val="000000"/>
          <w:sz w:val="22"/>
          <w:szCs w:val="22"/>
        </w:rPr>
        <w:t>The MassHealth Brand Name Preferred Over Generic Drug List has been updated to reflect recent changes to the MassHealth Drug List.</w:t>
      </w:r>
    </w:p>
    <w:p w14:paraId="3C93196F" w14:textId="77777777" w:rsidR="00FA099B" w:rsidRPr="00FA099B" w:rsidRDefault="00FA099B" w:rsidP="00316718">
      <w:pPr>
        <w:pStyle w:val="Default"/>
        <w:spacing w:line="276" w:lineRule="auto"/>
        <w:rPr>
          <w:rFonts w:ascii="Arial" w:hAnsi="Arial" w:cs="Arial"/>
          <w:sz w:val="22"/>
          <w:szCs w:val="22"/>
        </w:rPr>
      </w:pPr>
      <w:bookmarkStart w:id="0" w:name="_Hlk14249184"/>
      <w:bookmarkStart w:id="1" w:name="_Hlk536624120"/>
      <w:r w:rsidRPr="00FA099B">
        <w:rPr>
          <w:rFonts w:ascii="Arial" w:hAnsi="Arial" w:cs="Arial"/>
          <w:sz w:val="22"/>
          <w:szCs w:val="22"/>
        </w:rPr>
        <w:t xml:space="preserve">Effective April 1, 2023, the following agents will be removed from the MassHealth Brand Name Preferred Over Generic Drug List. </w:t>
      </w:r>
    </w:p>
    <w:bookmarkEnd w:id="0"/>
    <w:p w14:paraId="72437E5A" w14:textId="77777777" w:rsidR="00FA099B" w:rsidRDefault="00FA099B" w:rsidP="00FA099B">
      <w:pPr>
        <w:pStyle w:val="Default"/>
        <w:numPr>
          <w:ilvl w:val="0"/>
          <w:numId w:val="29"/>
        </w:numPr>
        <w:spacing w:line="276" w:lineRule="auto"/>
        <w:ind w:left="720"/>
        <w:rPr>
          <w:rFonts w:ascii="Arial" w:hAnsi="Arial" w:cs="Arial"/>
          <w:sz w:val="22"/>
          <w:szCs w:val="22"/>
        </w:rPr>
      </w:pPr>
      <w:proofErr w:type="spellStart"/>
      <w:r>
        <w:rPr>
          <w:rFonts w:ascii="Arial" w:hAnsi="Arial" w:cs="Arial"/>
          <w:sz w:val="22"/>
          <w:szCs w:val="22"/>
        </w:rPr>
        <w:t>Jevtana</w:t>
      </w:r>
      <w:proofErr w:type="spellEnd"/>
      <w:r>
        <w:rPr>
          <w:rFonts w:ascii="Arial" w:hAnsi="Arial" w:cs="Arial"/>
          <w:sz w:val="22"/>
          <w:szCs w:val="22"/>
        </w:rPr>
        <w:t xml:space="preserve"> (</w:t>
      </w:r>
      <w:proofErr w:type="spellStart"/>
      <w:r>
        <w:rPr>
          <w:rFonts w:ascii="Arial" w:hAnsi="Arial" w:cs="Arial"/>
          <w:sz w:val="22"/>
          <w:szCs w:val="22"/>
        </w:rPr>
        <w:t>cabazitaxel</w:t>
      </w:r>
      <w:proofErr w:type="spellEnd"/>
      <w:r>
        <w:rPr>
          <w:rFonts w:ascii="Arial" w:hAnsi="Arial" w:cs="Arial"/>
          <w:sz w:val="22"/>
          <w:szCs w:val="22"/>
        </w:rPr>
        <w:t>) –</w:t>
      </w:r>
      <w:r w:rsidRPr="00FA099B">
        <w:rPr>
          <w:rFonts w:ascii="Arial" w:hAnsi="Arial" w:cs="Arial"/>
          <w:sz w:val="22"/>
          <w:szCs w:val="22"/>
        </w:rPr>
        <w:t xml:space="preserve"> </w:t>
      </w:r>
      <w:r w:rsidRPr="00316718">
        <w:rPr>
          <w:rFonts w:ascii="Arial" w:hAnsi="Arial" w:cs="Arial"/>
          <w:b/>
          <w:bCs/>
          <w:sz w:val="22"/>
          <w:szCs w:val="22"/>
        </w:rPr>
        <w:t>PA</w:t>
      </w:r>
      <w:r>
        <w:rPr>
          <w:rFonts w:ascii="Arial" w:hAnsi="Arial" w:cs="Arial"/>
          <w:sz w:val="22"/>
          <w:szCs w:val="22"/>
        </w:rPr>
        <w:t>; MB</w:t>
      </w:r>
    </w:p>
    <w:p w14:paraId="22534A65" w14:textId="479F0553" w:rsidR="00FA099B" w:rsidRDefault="00FA099B" w:rsidP="00FA099B">
      <w:pPr>
        <w:pStyle w:val="Default"/>
        <w:numPr>
          <w:ilvl w:val="0"/>
          <w:numId w:val="29"/>
        </w:numPr>
        <w:pBdr>
          <w:bottom w:val="single" w:sz="6" w:space="1" w:color="auto"/>
        </w:pBdr>
        <w:spacing w:line="276" w:lineRule="auto"/>
        <w:ind w:left="720"/>
        <w:rPr>
          <w:rFonts w:ascii="Arial" w:hAnsi="Arial" w:cs="Arial"/>
          <w:sz w:val="22"/>
          <w:szCs w:val="22"/>
        </w:rPr>
      </w:pPr>
      <w:r>
        <w:rPr>
          <w:rFonts w:ascii="Arial" w:hAnsi="Arial" w:cs="Arial"/>
          <w:sz w:val="22"/>
          <w:szCs w:val="22"/>
        </w:rPr>
        <w:t>Lidoderm (lidocaine 5% patch) –</w:t>
      </w:r>
      <w:r w:rsidRPr="00FA099B">
        <w:rPr>
          <w:rFonts w:ascii="Arial" w:hAnsi="Arial" w:cs="Arial"/>
          <w:sz w:val="22"/>
          <w:szCs w:val="22"/>
        </w:rPr>
        <w:t xml:space="preserve"> </w:t>
      </w:r>
      <w:r w:rsidRPr="00316718">
        <w:rPr>
          <w:rFonts w:ascii="Arial" w:hAnsi="Arial" w:cs="Arial"/>
          <w:b/>
          <w:bCs/>
          <w:sz w:val="22"/>
          <w:szCs w:val="22"/>
        </w:rPr>
        <w:t>PA</w:t>
      </w:r>
      <w:r>
        <w:rPr>
          <w:rFonts w:ascii="Arial" w:hAnsi="Arial" w:cs="Arial"/>
          <w:sz w:val="22"/>
          <w:szCs w:val="22"/>
        </w:rPr>
        <w:t>; A90</w:t>
      </w:r>
      <w:bookmarkEnd w:id="1"/>
      <w:r w:rsidR="00DB2CFD">
        <w:rPr>
          <w:rFonts w:ascii="Arial" w:hAnsi="Arial" w:cs="Arial"/>
          <w:sz w:val="22"/>
          <w:szCs w:val="22"/>
        </w:rPr>
        <w:br/>
      </w:r>
    </w:p>
    <w:p w14:paraId="3B48E12F" w14:textId="77777777" w:rsidR="00DB2CFD" w:rsidRPr="00B2666A" w:rsidRDefault="00DB2CFD" w:rsidP="00CD6D68">
      <w:pPr>
        <w:rPr>
          <w:rFonts w:ascii="Arial" w:hAnsi="Arial" w:cs="Arial"/>
          <w:sz w:val="22"/>
          <w:szCs w:val="22"/>
        </w:rPr>
      </w:pPr>
    </w:p>
    <w:p w14:paraId="5B1A8C47" w14:textId="17921B69" w:rsidR="00EF7C8A" w:rsidRPr="00FA099B" w:rsidRDefault="00F512EE" w:rsidP="004A6FF1">
      <w:pPr>
        <w:shd w:val="clear" w:color="auto" w:fill="FFFFFF"/>
        <w:spacing w:before="600"/>
        <w:ind w:left="729" w:hanging="630"/>
        <w:jc w:val="center"/>
        <w:rPr>
          <w:rFonts w:ascii="Arial" w:hAnsi="Arial"/>
          <w:b/>
          <w:bCs/>
          <w:sz w:val="18"/>
          <w:szCs w:val="18"/>
        </w:rPr>
      </w:pPr>
      <w:r w:rsidRPr="00FA099B">
        <w:rPr>
          <w:rFonts w:ascii="Arial" w:hAnsi="Arial"/>
          <w:b/>
          <w:bCs/>
          <w:sz w:val="18"/>
          <w:szCs w:val="18"/>
        </w:rPr>
        <w:t>L</w:t>
      </w:r>
      <w:r w:rsidR="00EF7C8A" w:rsidRPr="00FA099B">
        <w:rPr>
          <w:rFonts w:ascii="Arial" w:hAnsi="Arial"/>
          <w:b/>
          <w:bCs/>
          <w:sz w:val="18"/>
          <w:szCs w:val="18"/>
        </w:rPr>
        <w:t>egend</w:t>
      </w:r>
    </w:p>
    <w:p w14:paraId="5B1A8C49" w14:textId="77777777" w:rsidR="00F512EE" w:rsidRPr="00FA099B" w:rsidRDefault="00F512EE" w:rsidP="005B15B3">
      <w:pPr>
        <w:shd w:val="clear" w:color="auto" w:fill="FFFFFF"/>
        <w:tabs>
          <w:tab w:val="left" w:pos="180"/>
          <w:tab w:val="left" w:pos="360"/>
        </w:tabs>
        <w:ind w:left="270" w:hanging="360"/>
        <w:rPr>
          <w:rFonts w:ascii="Arial" w:hAnsi="Arial"/>
          <w:b/>
          <w:bCs/>
          <w:sz w:val="18"/>
          <w:szCs w:val="18"/>
        </w:rPr>
      </w:pPr>
    </w:p>
    <w:p w14:paraId="5B1A8C4A" w14:textId="77777777" w:rsidR="00E50862" w:rsidRDefault="00E50862" w:rsidP="00316718">
      <w:pPr>
        <w:shd w:val="clear" w:color="auto" w:fill="FFFFFF"/>
        <w:tabs>
          <w:tab w:val="left" w:pos="180"/>
          <w:tab w:val="left" w:pos="360"/>
        </w:tabs>
        <w:spacing w:after="80"/>
        <w:ind w:left="274" w:hanging="360"/>
        <w:rPr>
          <w:rFonts w:ascii="Arial" w:hAnsi="Arial"/>
          <w:bCs/>
          <w:sz w:val="18"/>
          <w:szCs w:val="18"/>
        </w:rPr>
      </w:pPr>
      <w:r w:rsidRPr="00B645C9">
        <w:rPr>
          <w:rFonts w:ascii="Arial" w:hAnsi="Arial"/>
          <w:b/>
          <w:bCs/>
          <w:sz w:val="18"/>
          <w:szCs w:val="18"/>
        </w:rPr>
        <w:t>PA</w:t>
      </w:r>
      <w:r w:rsidR="009F0526">
        <w:rPr>
          <w:rFonts w:ascii="Arial" w:hAnsi="Arial"/>
          <w:b/>
          <w:bCs/>
          <w:sz w:val="18"/>
          <w:szCs w:val="18"/>
        </w:rPr>
        <w:t xml:space="preserve"> </w:t>
      </w:r>
      <w:r>
        <w:rPr>
          <w:rFonts w:ascii="Arial" w:hAnsi="Arial"/>
          <w:b/>
          <w:bCs/>
          <w:sz w:val="18"/>
          <w:szCs w:val="18"/>
        </w:rPr>
        <w:t xml:space="preserve"> </w:t>
      </w:r>
      <w:r>
        <w:rPr>
          <w:rFonts w:ascii="Arial" w:hAnsi="Arial"/>
          <w:bCs/>
          <w:sz w:val="18"/>
          <w:szCs w:val="18"/>
        </w:rPr>
        <w:t>Prior authorization is required. The prescriber must obtain prior authorization for the drug in order for the pharmacy to receive payment. Note: PA applies to both the brand-name and the FDA “A”-rated generic equivalent of listed product.</w:t>
      </w:r>
    </w:p>
    <w:p w14:paraId="3262B232" w14:textId="0587D96B" w:rsidR="00FA099B" w:rsidRPr="00FA099B" w:rsidRDefault="00FA099B" w:rsidP="004A6FF1">
      <w:pPr>
        <w:shd w:val="clear" w:color="auto" w:fill="FFFFFF"/>
        <w:spacing w:after="80"/>
        <w:ind w:left="274" w:hanging="441"/>
        <w:rPr>
          <w:rFonts w:ascii="Arial" w:hAnsi="Arial"/>
          <w:bCs/>
          <w:sz w:val="18"/>
          <w:szCs w:val="18"/>
        </w:rPr>
      </w:pPr>
      <w:r w:rsidRPr="00316718">
        <w:rPr>
          <w:rFonts w:ascii="Arial" w:hAnsi="Arial" w:cs="Arial"/>
          <w:bCs/>
          <w:sz w:val="22"/>
          <w:szCs w:val="22"/>
          <w:vertAlign w:val="superscript"/>
        </w:rPr>
        <w:t>MB</w:t>
      </w:r>
      <w:r w:rsidRPr="003A7B5A">
        <w:rPr>
          <w:sz w:val="22"/>
          <w:szCs w:val="22"/>
        </w:rPr>
        <w:t xml:space="preserve"> </w:t>
      </w:r>
      <w:r>
        <w:rPr>
          <w:sz w:val="22"/>
          <w:szCs w:val="22"/>
        </w:rPr>
        <w:t xml:space="preserve">   </w:t>
      </w:r>
      <w:r w:rsidRPr="00FA099B">
        <w:rPr>
          <w:rFonts w:ascii="Arial" w:eastAsia="Calibri" w:hAnsi="Arial" w:cs="Arial"/>
          <w:sz w:val="18"/>
          <w:szCs w:val="18"/>
        </w:rPr>
        <w:t xml:space="preserve">This drug is available through the health care professional who administers the drug or in an outpatient or inpatient hospital setting. MassHealth does not pay for this drug to be dispensed through the retail pharmacy. If listed, prior authorization </w:t>
      </w:r>
      <w:r w:rsidR="00F82611">
        <w:rPr>
          <w:rFonts w:ascii="Arial" w:eastAsia="Calibri" w:hAnsi="Arial" w:cs="Arial"/>
          <w:sz w:val="18"/>
          <w:szCs w:val="18"/>
        </w:rPr>
        <w:t xml:space="preserve">(PA) </w:t>
      </w:r>
      <w:r w:rsidRPr="00FA099B">
        <w:rPr>
          <w:rFonts w:ascii="Arial" w:eastAsia="Calibri" w:hAnsi="Arial" w:cs="Arial"/>
          <w:sz w:val="18"/>
          <w:szCs w:val="18"/>
        </w:rPr>
        <w:t xml:space="preserve">does not apply through the hospital outpatient and inpatient settings. Please refer to 130 CMR 433.408 for </w:t>
      </w:r>
      <w:r w:rsidR="00F82611">
        <w:rPr>
          <w:rFonts w:ascii="Arial" w:eastAsia="Calibri" w:hAnsi="Arial" w:cs="Arial"/>
          <w:sz w:val="18"/>
          <w:szCs w:val="18"/>
        </w:rPr>
        <w:t>PA</w:t>
      </w:r>
      <w:r w:rsidRPr="00FA099B">
        <w:rPr>
          <w:rFonts w:ascii="Arial" w:eastAsia="Calibri" w:hAnsi="Arial" w:cs="Arial"/>
          <w:sz w:val="18"/>
          <w:szCs w:val="18"/>
        </w:rPr>
        <w:t xml:space="preserve"> requirements for other health care professionals.</w:t>
      </w:r>
    </w:p>
    <w:p w14:paraId="5B1A8C54" w14:textId="03C8820C" w:rsidR="00212622" w:rsidRPr="005B15B3" w:rsidRDefault="00212622" w:rsidP="00316718">
      <w:pPr>
        <w:shd w:val="clear" w:color="auto" w:fill="FFFFFF"/>
        <w:spacing w:after="80"/>
        <w:ind w:left="270" w:hanging="441"/>
        <w:rPr>
          <w:rFonts w:ascii="Arial" w:hAnsi="Arial"/>
          <w:bCs/>
          <w:sz w:val="18"/>
          <w:szCs w:val="18"/>
        </w:rPr>
      </w:pPr>
      <w:r w:rsidRPr="00DB2CFD">
        <w:rPr>
          <w:rFonts w:ascii="Arial" w:hAnsi="Arial"/>
          <w:bCs/>
          <w:sz w:val="22"/>
          <w:szCs w:val="22"/>
          <w:vertAlign w:val="superscript"/>
        </w:rPr>
        <w:t>PD</w:t>
      </w:r>
      <w:r w:rsidRPr="00B645C9">
        <w:rPr>
          <w:rFonts w:ascii="Arial" w:hAnsi="Arial"/>
          <w:b/>
          <w:sz w:val="18"/>
          <w:szCs w:val="18"/>
          <w:vertAlign w:val="superscript"/>
        </w:rPr>
        <w:t xml:space="preserve">    </w:t>
      </w:r>
      <w:r>
        <w:rPr>
          <w:rFonts w:ascii="Arial" w:hAnsi="Arial"/>
          <w:bCs/>
          <w:sz w:val="18"/>
          <w:szCs w:val="18"/>
          <w:vertAlign w:val="superscript"/>
        </w:rPr>
        <w:tab/>
      </w:r>
      <w:r w:rsidRPr="004D79B2">
        <w:rPr>
          <w:rFonts w:ascii="Arial" w:eastAsia="Calibri" w:hAnsi="Arial" w:cs="Arial"/>
          <w:sz w:val="18"/>
          <w:szCs w:val="18"/>
        </w:rPr>
        <w:t>In general, MassHealth requires a trial of the preferred drug (PD) or a clinical rationale for prescribing a nonpreferred drug within a therapeutic class.</w:t>
      </w:r>
      <w:r w:rsidRPr="00212622">
        <w:rPr>
          <w:rFonts w:ascii="Arial" w:hAnsi="Arial"/>
          <w:bCs/>
          <w:sz w:val="18"/>
          <w:szCs w:val="18"/>
        </w:rPr>
        <w:t xml:space="preserve"> </w:t>
      </w:r>
      <w:r>
        <w:rPr>
          <w:rFonts w:ascii="Arial" w:hAnsi="Arial" w:cs="Arial"/>
          <w:sz w:val="18"/>
          <w:szCs w:val="18"/>
          <w:vertAlign w:val="superscript"/>
        </w:rPr>
        <w:t xml:space="preserve">  </w:t>
      </w:r>
      <w:r>
        <w:rPr>
          <w:rFonts w:ascii="Arial" w:hAnsi="Arial" w:cs="Arial"/>
          <w:bCs/>
          <w:sz w:val="18"/>
          <w:szCs w:val="18"/>
        </w:rPr>
        <w:t xml:space="preserve"> </w:t>
      </w:r>
      <w:r>
        <w:rPr>
          <w:rFonts w:ascii="Arial" w:hAnsi="Arial" w:cs="Arial"/>
          <w:bCs/>
          <w:sz w:val="18"/>
          <w:szCs w:val="18"/>
        </w:rPr>
        <w:tab/>
      </w:r>
      <w:r>
        <w:rPr>
          <w:rFonts w:ascii="Arial" w:eastAsia="Calibri" w:hAnsi="Arial" w:cs="Arial"/>
          <w:sz w:val="18"/>
          <w:szCs w:val="18"/>
        </w:rPr>
        <w:t xml:space="preserve"> </w:t>
      </w:r>
    </w:p>
    <w:p w14:paraId="5B1A8C56" w14:textId="2FE57245" w:rsidR="0041065E" w:rsidRDefault="0041065E" w:rsidP="00316718">
      <w:pPr>
        <w:shd w:val="clear" w:color="auto" w:fill="FFFFFF"/>
        <w:spacing w:after="80"/>
        <w:ind w:left="270" w:hanging="450"/>
        <w:rPr>
          <w:rFonts w:ascii="Arial" w:eastAsia="Calibri" w:hAnsi="Arial" w:cs="Arial"/>
          <w:sz w:val="18"/>
          <w:szCs w:val="18"/>
        </w:rPr>
      </w:pPr>
    </w:p>
    <w:p w14:paraId="5B1A8C59" w14:textId="4A72AB6A" w:rsidR="0041065E" w:rsidRDefault="0041065E" w:rsidP="0041065E">
      <w:pPr>
        <w:shd w:val="clear" w:color="auto" w:fill="FFFFFF"/>
        <w:ind w:left="270" w:hanging="441"/>
        <w:rPr>
          <w:bCs/>
          <w:sz w:val="18"/>
          <w:szCs w:val="18"/>
        </w:rPr>
      </w:pPr>
    </w:p>
    <w:p w14:paraId="2C26E9CF" w14:textId="6BE47E0B" w:rsidR="00DB2CFD" w:rsidRDefault="00DB2CFD" w:rsidP="0041065E">
      <w:pPr>
        <w:shd w:val="clear" w:color="auto" w:fill="FFFFFF"/>
        <w:ind w:left="270" w:hanging="441"/>
        <w:rPr>
          <w:bCs/>
          <w:sz w:val="18"/>
          <w:szCs w:val="18"/>
        </w:rPr>
      </w:pPr>
    </w:p>
    <w:p w14:paraId="37C44FA7" w14:textId="013083A0" w:rsidR="00DB2CFD" w:rsidRDefault="00DB2CFD" w:rsidP="0041065E">
      <w:pPr>
        <w:shd w:val="clear" w:color="auto" w:fill="FFFFFF"/>
        <w:ind w:left="270" w:hanging="441"/>
        <w:rPr>
          <w:bCs/>
          <w:sz w:val="18"/>
          <w:szCs w:val="18"/>
        </w:rPr>
      </w:pPr>
    </w:p>
    <w:p w14:paraId="3D364F51" w14:textId="77777777" w:rsidR="00DB2CFD" w:rsidRPr="0041065E" w:rsidRDefault="00DB2CFD" w:rsidP="0041065E">
      <w:pPr>
        <w:shd w:val="clear" w:color="auto" w:fill="FFFFFF"/>
        <w:ind w:left="270" w:hanging="441"/>
        <w:rPr>
          <w:bCs/>
          <w:sz w:val="18"/>
          <w:szCs w:val="18"/>
        </w:rPr>
      </w:pPr>
    </w:p>
    <w:p w14:paraId="5B1A8C5A" w14:textId="77777777" w:rsidR="0041065E" w:rsidRDefault="0041065E" w:rsidP="00212622">
      <w:pPr>
        <w:shd w:val="clear" w:color="auto" w:fill="FFFFFF"/>
        <w:ind w:left="270" w:hanging="441"/>
        <w:rPr>
          <w:bCs/>
          <w:sz w:val="18"/>
          <w:szCs w:val="18"/>
        </w:rPr>
        <w:sectPr w:rsidR="0041065E" w:rsidSect="003C1739">
          <w:footerReference w:type="default" r:id="rId14"/>
          <w:type w:val="continuous"/>
          <w:pgSz w:w="12240" w:h="15840" w:code="1"/>
          <w:pgMar w:top="360" w:right="907" w:bottom="432" w:left="907" w:header="720" w:footer="576" w:gutter="0"/>
          <w:cols w:num="2" w:sep="1" w:space="720"/>
          <w:docGrid w:linePitch="360"/>
        </w:sectPr>
      </w:pPr>
    </w:p>
    <w:p w14:paraId="5B1A8C5B" w14:textId="77777777"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8BB9" w14:textId="77777777" w:rsidR="00F217BD" w:rsidRDefault="00F217BD" w:rsidP="00492602">
      <w:r>
        <w:separator/>
      </w:r>
    </w:p>
  </w:endnote>
  <w:endnote w:type="continuationSeparator" w:id="0">
    <w:p w14:paraId="531B8024" w14:textId="77777777" w:rsidR="00F217BD" w:rsidRDefault="00F217BD"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6"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8" w14:textId="77777777" w:rsidR="00637A67" w:rsidRDefault="00637A67">
    <w:pPr>
      <w:pStyle w:val="Footer"/>
    </w:pPr>
    <w:r>
      <w:t>[Type text]</w:t>
    </w:r>
  </w:p>
  <w:p w14:paraId="5B1A8C6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C" w14:textId="77777777" w:rsidR="00E95805" w:rsidRDefault="00E95805"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sidR="000A440A">
      <w:rPr>
        <w:rFonts w:ascii="Arial" w:hAnsi="Arial" w:cs="Arial"/>
        <w:iCs/>
        <w:sz w:val="18"/>
        <w:szCs w:val="18"/>
      </w:rPr>
      <w:t>to</w:t>
    </w:r>
  </w:p>
  <w:p w14:paraId="5B1A8C6D" w14:textId="22582DEB" w:rsidR="003C1739" w:rsidRPr="00F82611" w:rsidRDefault="00F85151" w:rsidP="00E95805">
    <w:pPr>
      <w:pStyle w:val="Footer"/>
      <w:jc w:val="center"/>
    </w:pPr>
    <w:hyperlink r:id="rId1" w:history="1">
      <w:r w:rsidR="00E95805" w:rsidRPr="00386AF8">
        <w:rPr>
          <w:rStyle w:val="Hyperlink"/>
          <w:rFonts w:ascii="Arial" w:hAnsi="Arial" w:cs="Arial"/>
          <w:iCs/>
          <w:sz w:val="18"/>
          <w:szCs w:val="18"/>
        </w:rPr>
        <w:t>PharmFactsMA@Conduent.com</w:t>
      </w:r>
    </w:hyperlink>
    <w:r w:rsidR="00F82611">
      <w:rPr>
        <w:rStyle w:val="Hyperlink"/>
        <w:rFonts w:ascii="Arial" w:hAnsi="Arial" w:cs="Arial"/>
        <w:iCs/>
        <w:color w:val="auto"/>
        <w:sz w:val="18"/>
        <w:szCs w:val="18"/>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2C28" w14:textId="77777777" w:rsidR="00F217BD" w:rsidRDefault="00F217BD" w:rsidP="00492602">
      <w:r>
        <w:separator/>
      </w:r>
    </w:p>
  </w:footnote>
  <w:footnote w:type="continuationSeparator" w:id="0">
    <w:p w14:paraId="30E6DC54" w14:textId="77777777" w:rsidR="00F217BD" w:rsidRDefault="00F217BD"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3" w14:textId="77777777" w:rsidR="00492602" w:rsidRDefault="00492602" w:rsidP="00492602">
    <w:pPr>
      <w:pStyle w:val="Header"/>
    </w:pPr>
  </w:p>
  <w:p w14:paraId="5B1A8C64" w14:textId="77777777" w:rsidR="00492602" w:rsidRDefault="0049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D4C94"/>
    <w:multiLevelType w:val="hybridMultilevel"/>
    <w:tmpl w:val="DB9469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877A4"/>
    <w:multiLevelType w:val="hybridMultilevel"/>
    <w:tmpl w:val="B2CEFEE6"/>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979860">
    <w:abstractNumId w:val="11"/>
  </w:num>
  <w:num w:numId="2" w16cid:durableId="2111007317">
    <w:abstractNumId w:val="16"/>
  </w:num>
  <w:num w:numId="3" w16cid:durableId="369457637">
    <w:abstractNumId w:val="20"/>
  </w:num>
  <w:num w:numId="4" w16cid:durableId="2009404911">
    <w:abstractNumId w:val="7"/>
  </w:num>
  <w:num w:numId="5" w16cid:durableId="574824265">
    <w:abstractNumId w:val="10"/>
  </w:num>
  <w:num w:numId="6" w16cid:durableId="700790867">
    <w:abstractNumId w:val="15"/>
  </w:num>
  <w:num w:numId="7" w16cid:durableId="1272123554">
    <w:abstractNumId w:val="21"/>
  </w:num>
  <w:num w:numId="8" w16cid:durableId="1547911339">
    <w:abstractNumId w:val="2"/>
  </w:num>
  <w:num w:numId="9" w16cid:durableId="1668289408">
    <w:abstractNumId w:val="0"/>
  </w:num>
  <w:num w:numId="10" w16cid:durableId="800660007">
    <w:abstractNumId w:val="18"/>
  </w:num>
  <w:num w:numId="11" w16cid:durableId="83738597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313859">
    <w:abstractNumId w:val="4"/>
  </w:num>
  <w:num w:numId="13" w16cid:durableId="1488550753">
    <w:abstractNumId w:val="20"/>
  </w:num>
  <w:num w:numId="14" w16cid:durableId="84759471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6757501">
    <w:abstractNumId w:val="15"/>
  </w:num>
  <w:num w:numId="16" w16cid:durableId="848906834">
    <w:abstractNumId w:val="17"/>
  </w:num>
  <w:num w:numId="17" w16cid:durableId="1048844366">
    <w:abstractNumId w:val="1"/>
  </w:num>
  <w:num w:numId="18" w16cid:durableId="1923564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661611">
    <w:abstractNumId w:val="5"/>
  </w:num>
  <w:num w:numId="20" w16cid:durableId="1061295609">
    <w:abstractNumId w:val="3"/>
  </w:num>
  <w:num w:numId="21" w16cid:durableId="1680037690">
    <w:abstractNumId w:val="9"/>
  </w:num>
  <w:num w:numId="22" w16cid:durableId="1818912590">
    <w:abstractNumId w:val="22"/>
  </w:num>
  <w:num w:numId="23" w16cid:durableId="798456400">
    <w:abstractNumId w:val="23"/>
  </w:num>
  <w:num w:numId="24" w16cid:durableId="79065478">
    <w:abstractNumId w:val="14"/>
  </w:num>
  <w:num w:numId="25" w16cid:durableId="1864124739">
    <w:abstractNumId w:val="19"/>
  </w:num>
  <w:num w:numId="26" w16cid:durableId="204363100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202603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9872794">
    <w:abstractNumId w:val="6"/>
  </w:num>
  <w:num w:numId="29" w16cid:durableId="5491951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54839"/>
    <w:rsid w:val="00063DDE"/>
    <w:rsid w:val="000713D3"/>
    <w:rsid w:val="000735C4"/>
    <w:rsid w:val="00074014"/>
    <w:rsid w:val="00081E8E"/>
    <w:rsid w:val="000A440A"/>
    <w:rsid w:val="000A6318"/>
    <w:rsid w:val="000D1502"/>
    <w:rsid w:val="000F5C22"/>
    <w:rsid w:val="00123D58"/>
    <w:rsid w:val="00137D3D"/>
    <w:rsid w:val="00140D08"/>
    <w:rsid w:val="00147437"/>
    <w:rsid w:val="00157A49"/>
    <w:rsid w:val="00171445"/>
    <w:rsid w:val="001721D8"/>
    <w:rsid w:val="0018357E"/>
    <w:rsid w:val="001864A9"/>
    <w:rsid w:val="001A125B"/>
    <w:rsid w:val="001A55D4"/>
    <w:rsid w:val="001C1481"/>
    <w:rsid w:val="001E779F"/>
    <w:rsid w:val="0021214A"/>
    <w:rsid w:val="00212622"/>
    <w:rsid w:val="002275AE"/>
    <w:rsid w:val="00230996"/>
    <w:rsid w:val="002509E9"/>
    <w:rsid w:val="00265457"/>
    <w:rsid w:val="002727AB"/>
    <w:rsid w:val="00276F3A"/>
    <w:rsid w:val="00286CBE"/>
    <w:rsid w:val="00291397"/>
    <w:rsid w:val="002C7C67"/>
    <w:rsid w:val="002D390F"/>
    <w:rsid w:val="002D3BB5"/>
    <w:rsid w:val="002D3C44"/>
    <w:rsid w:val="002D738C"/>
    <w:rsid w:val="002E2F9E"/>
    <w:rsid w:val="002F4E7B"/>
    <w:rsid w:val="003152DA"/>
    <w:rsid w:val="00316718"/>
    <w:rsid w:val="0033053B"/>
    <w:rsid w:val="00334D14"/>
    <w:rsid w:val="00360067"/>
    <w:rsid w:val="0036343A"/>
    <w:rsid w:val="0037087D"/>
    <w:rsid w:val="0037373E"/>
    <w:rsid w:val="00375713"/>
    <w:rsid w:val="00382054"/>
    <w:rsid w:val="00387C1F"/>
    <w:rsid w:val="003911FC"/>
    <w:rsid w:val="003B6839"/>
    <w:rsid w:val="003C060B"/>
    <w:rsid w:val="003C1739"/>
    <w:rsid w:val="003D2B74"/>
    <w:rsid w:val="003F533B"/>
    <w:rsid w:val="0041065E"/>
    <w:rsid w:val="00447A5F"/>
    <w:rsid w:val="00453E30"/>
    <w:rsid w:val="00453F3E"/>
    <w:rsid w:val="00456B5A"/>
    <w:rsid w:val="004664D3"/>
    <w:rsid w:val="00477916"/>
    <w:rsid w:val="004910B8"/>
    <w:rsid w:val="00492602"/>
    <w:rsid w:val="004A3BAA"/>
    <w:rsid w:val="004A6FF1"/>
    <w:rsid w:val="004A7395"/>
    <w:rsid w:val="004C18F4"/>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C7622"/>
    <w:rsid w:val="005D723D"/>
    <w:rsid w:val="00607CFA"/>
    <w:rsid w:val="00623469"/>
    <w:rsid w:val="00634C49"/>
    <w:rsid w:val="00637A67"/>
    <w:rsid w:val="00650095"/>
    <w:rsid w:val="00651CA7"/>
    <w:rsid w:val="00654C4E"/>
    <w:rsid w:val="006615EC"/>
    <w:rsid w:val="00673F96"/>
    <w:rsid w:val="00674418"/>
    <w:rsid w:val="00674428"/>
    <w:rsid w:val="00683872"/>
    <w:rsid w:val="00686C26"/>
    <w:rsid w:val="00690023"/>
    <w:rsid w:val="00696F48"/>
    <w:rsid w:val="0069772F"/>
    <w:rsid w:val="006A32AA"/>
    <w:rsid w:val="006D3B5F"/>
    <w:rsid w:val="006E0C20"/>
    <w:rsid w:val="006E22A3"/>
    <w:rsid w:val="006E6AFF"/>
    <w:rsid w:val="006F35F9"/>
    <w:rsid w:val="007319D7"/>
    <w:rsid w:val="00731FAF"/>
    <w:rsid w:val="007400F4"/>
    <w:rsid w:val="007426BF"/>
    <w:rsid w:val="00760FDF"/>
    <w:rsid w:val="007757E7"/>
    <w:rsid w:val="00781D3B"/>
    <w:rsid w:val="007A41F5"/>
    <w:rsid w:val="007B2F2D"/>
    <w:rsid w:val="007B4429"/>
    <w:rsid w:val="007B7425"/>
    <w:rsid w:val="007E4380"/>
    <w:rsid w:val="007F5417"/>
    <w:rsid w:val="00804116"/>
    <w:rsid w:val="00812480"/>
    <w:rsid w:val="00821937"/>
    <w:rsid w:val="008340D0"/>
    <w:rsid w:val="008403CA"/>
    <w:rsid w:val="0085395A"/>
    <w:rsid w:val="00853F8E"/>
    <w:rsid w:val="0086142C"/>
    <w:rsid w:val="00872E7F"/>
    <w:rsid w:val="00880FA9"/>
    <w:rsid w:val="008930F1"/>
    <w:rsid w:val="00893F45"/>
    <w:rsid w:val="008C5414"/>
    <w:rsid w:val="008F0130"/>
    <w:rsid w:val="008F2E4C"/>
    <w:rsid w:val="0090587E"/>
    <w:rsid w:val="00905C46"/>
    <w:rsid w:val="00906EEC"/>
    <w:rsid w:val="009166DF"/>
    <w:rsid w:val="009204C7"/>
    <w:rsid w:val="00922030"/>
    <w:rsid w:val="0093532E"/>
    <w:rsid w:val="00941258"/>
    <w:rsid w:val="00942245"/>
    <w:rsid w:val="00945279"/>
    <w:rsid w:val="00956812"/>
    <w:rsid w:val="00963957"/>
    <w:rsid w:val="009725E5"/>
    <w:rsid w:val="00974CFD"/>
    <w:rsid w:val="00981567"/>
    <w:rsid w:val="00995B50"/>
    <w:rsid w:val="009C3981"/>
    <w:rsid w:val="009C3CFF"/>
    <w:rsid w:val="009D1341"/>
    <w:rsid w:val="009D6D73"/>
    <w:rsid w:val="009D79C6"/>
    <w:rsid w:val="009E55A1"/>
    <w:rsid w:val="009E7225"/>
    <w:rsid w:val="009F0440"/>
    <w:rsid w:val="009F0526"/>
    <w:rsid w:val="00A01DE3"/>
    <w:rsid w:val="00A11371"/>
    <w:rsid w:val="00A120E1"/>
    <w:rsid w:val="00A31FAA"/>
    <w:rsid w:val="00A343A9"/>
    <w:rsid w:val="00A5239C"/>
    <w:rsid w:val="00A650DC"/>
    <w:rsid w:val="00A6764A"/>
    <w:rsid w:val="00A84255"/>
    <w:rsid w:val="00A93734"/>
    <w:rsid w:val="00AC1AC7"/>
    <w:rsid w:val="00AD18B8"/>
    <w:rsid w:val="00AD33D5"/>
    <w:rsid w:val="00AE21FC"/>
    <w:rsid w:val="00AE7072"/>
    <w:rsid w:val="00B01BAA"/>
    <w:rsid w:val="00B07BD7"/>
    <w:rsid w:val="00B13AA5"/>
    <w:rsid w:val="00B2666A"/>
    <w:rsid w:val="00B3099B"/>
    <w:rsid w:val="00B40A71"/>
    <w:rsid w:val="00B41B0C"/>
    <w:rsid w:val="00B503C7"/>
    <w:rsid w:val="00B54AB5"/>
    <w:rsid w:val="00B645C9"/>
    <w:rsid w:val="00B92C96"/>
    <w:rsid w:val="00B94D4E"/>
    <w:rsid w:val="00BA68F0"/>
    <w:rsid w:val="00BD08CA"/>
    <w:rsid w:val="00BE1214"/>
    <w:rsid w:val="00BE3015"/>
    <w:rsid w:val="00C15672"/>
    <w:rsid w:val="00C31421"/>
    <w:rsid w:val="00C33753"/>
    <w:rsid w:val="00C35B94"/>
    <w:rsid w:val="00C82FA4"/>
    <w:rsid w:val="00CA0669"/>
    <w:rsid w:val="00CA1E7C"/>
    <w:rsid w:val="00CB0030"/>
    <w:rsid w:val="00CB7521"/>
    <w:rsid w:val="00CC57AC"/>
    <w:rsid w:val="00CC776C"/>
    <w:rsid w:val="00CD6D68"/>
    <w:rsid w:val="00CE3864"/>
    <w:rsid w:val="00CF383E"/>
    <w:rsid w:val="00D0584B"/>
    <w:rsid w:val="00D2467C"/>
    <w:rsid w:val="00D2695E"/>
    <w:rsid w:val="00D335C5"/>
    <w:rsid w:val="00D521FA"/>
    <w:rsid w:val="00D5685A"/>
    <w:rsid w:val="00D81121"/>
    <w:rsid w:val="00D83FDF"/>
    <w:rsid w:val="00DB2CFD"/>
    <w:rsid w:val="00DB5DBC"/>
    <w:rsid w:val="00DB6A12"/>
    <w:rsid w:val="00DD44E8"/>
    <w:rsid w:val="00E02354"/>
    <w:rsid w:val="00E10EA0"/>
    <w:rsid w:val="00E24139"/>
    <w:rsid w:val="00E34C02"/>
    <w:rsid w:val="00E3616D"/>
    <w:rsid w:val="00E44D32"/>
    <w:rsid w:val="00E50862"/>
    <w:rsid w:val="00E60ABB"/>
    <w:rsid w:val="00E62D91"/>
    <w:rsid w:val="00E67611"/>
    <w:rsid w:val="00E67713"/>
    <w:rsid w:val="00E72DFF"/>
    <w:rsid w:val="00E92E47"/>
    <w:rsid w:val="00E9576D"/>
    <w:rsid w:val="00E95805"/>
    <w:rsid w:val="00EC08AC"/>
    <w:rsid w:val="00EC1948"/>
    <w:rsid w:val="00ED4639"/>
    <w:rsid w:val="00EE54D2"/>
    <w:rsid w:val="00EF7C8A"/>
    <w:rsid w:val="00F217BD"/>
    <w:rsid w:val="00F25E7F"/>
    <w:rsid w:val="00F305F6"/>
    <w:rsid w:val="00F307D6"/>
    <w:rsid w:val="00F44518"/>
    <w:rsid w:val="00F45E31"/>
    <w:rsid w:val="00F512EE"/>
    <w:rsid w:val="00F643E6"/>
    <w:rsid w:val="00F76D69"/>
    <w:rsid w:val="00F80E73"/>
    <w:rsid w:val="00F82611"/>
    <w:rsid w:val="00F85151"/>
    <w:rsid w:val="00F9012C"/>
    <w:rsid w:val="00F9097E"/>
    <w:rsid w:val="00F93C6C"/>
    <w:rsid w:val="00FA099B"/>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2666A"/>
    <w:pPr>
      <w:keepNext/>
      <w:jc w:val="center"/>
      <w:outlineLvl w:val="0"/>
    </w:pPr>
    <w:rPr>
      <w:rFonts w:ascii="Tahoma" w:hAnsi="Tahoma" w:cs="Tahom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customStyle="1" w:styleId="Heading1Char">
    <w:name w:val="Heading 1 Char"/>
    <w:basedOn w:val="DefaultParagraphFont"/>
    <w:link w:val="Heading1"/>
    <w:rsid w:val="00B2666A"/>
    <w:rPr>
      <w:rFonts w:ascii="Tahoma" w:hAnsi="Tahoma" w:cs="Tahoma"/>
      <w:b/>
      <w:bCs/>
      <w:sz w:val="32"/>
      <w:szCs w:val="24"/>
    </w:rPr>
  </w:style>
  <w:style w:type="character" w:styleId="CommentReference">
    <w:name w:val="annotation reference"/>
    <w:basedOn w:val="DefaultParagraphFont"/>
    <w:semiHidden/>
    <w:unhideWhenUsed/>
    <w:rsid w:val="00DB2CFD"/>
    <w:rPr>
      <w:sz w:val="16"/>
      <w:szCs w:val="16"/>
    </w:rPr>
  </w:style>
  <w:style w:type="paragraph" w:styleId="CommentText">
    <w:name w:val="annotation text"/>
    <w:basedOn w:val="Normal"/>
    <w:link w:val="CommentTextChar"/>
    <w:semiHidden/>
    <w:unhideWhenUsed/>
    <w:rsid w:val="00DB2CFD"/>
    <w:rPr>
      <w:sz w:val="20"/>
      <w:szCs w:val="20"/>
    </w:rPr>
  </w:style>
  <w:style w:type="character" w:customStyle="1" w:styleId="CommentTextChar">
    <w:name w:val="Comment Text Char"/>
    <w:basedOn w:val="DefaultParagraphFont"/>
    <w:link w:val="CommentText"/>
    <w:semiHidden/>
    <w:rsid w:val="00DB2CFD"/>
  </w:style>
  <w:style w:type="paragraph" w:styleId="CommentSubject">
    <w:name w:val="annotation subject"/>
    <w:basedOn w:val="CommentText"/>
    <w:next w:val="CommentText"/>
    <w:link w:val="CommentSubjectChar"/>
    <w:semiHidden/>
    <w:unhideWhenUsed/>
    <w:rsid w:val="00DB2CFD"/>
    <w:rPr>
      <w:b/>
      <w:bCs/>
    </w:rPr>
  </w:style>
  <w:style w:type="character" w:customStyle="1" w:styleId="CommentSubjectChar">
    <w:name w:val="Comment Subject Char"/>
    <w:basedOn w:val="CommentTextChar"/>
    <w:link w:val="CommentSubject"/>
    <w:semiHidden/>
    <w:rsid w:val="00DB2CFD"/>
    <w:rPr>
      <w:b/>
      <w:bCs/>
    </w:rPr>
  </w:style>
  <w:style w:type="character" w:styleId="FollowedHyperlink">
    <w:name w:val="FollowedHyperlink"/>
    <w:basedOn w:val="DefaultParagraphFont"/>
    <w:semiHidden/>
    <w:unhideWhenUsed/>
    <w:rsid w:val="00F82611"/>
    <w:rPr>
      <w:color w:val="800080" w:themeColor="followedHyperlink"/>
      <w:u w:val="single"/>
    </w:rPr>
  </w:style>
  <w:style w:type="paragraph" w:styleId="Revision">
    <w:name w:val="Revision"/>
    <w:hidden/>
    <w:uiPriority w:val="99"/>
    <w:semiHidden/>
    <w:rsid w:val="00F82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hdl.pharmacy.services.conduent.com/MHD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hdl.pharmacy.services.conduent.com/MHD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5501</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2023-03-29T17:53:00Z</dcterms:created>
  <dcterms:modified xsi:type="dcterms:W3CDTF">2023-03-29T17:53:00Z</dcterms:modified>
</cp:coreProperties>
</file>