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2633" w:right="2691" w:firstLine="0"/>
        <w:jc w:val="center"/>
        <w:rPr>
          <w:rFonts w:ascii="Verdana"/>
          <w:b/>
          <w:i/>
          <w:sz w:val="50"/>
        </w:rPr>
      </w:pPr>
      <w:r>
        <w:rPr/>
        <w:pict>
          <v:shapetype id="_x0000_t202" o:spt="202" coordsize="21600,21600" path="m,l,21600r21600,l21600,xe">
            <v:stroke joinstyle="miter"/>
            <v:path gradientshapeok="t" o:connecttype="rect"/>
          </v:shapetype>
          <v:shape style="position:absolute;margin-left:56.82pt;margin-top:4.994275pt;width:79.8pt;height:63pt;mso-position-horizontal-relative:page;mso-position-vertical-relative:paragraph;z-index:1072" type="#_x0000_t202" filled="false" stroked="true" strokeweight="2pt" strokecolor="#000000">
            <v:textbox inset="0,0,0,0">
              <w:txbxContent>
                <w:p>
                  <w:pPr>
                    <w:spacing w:line="207" w:lineRule="exact" w:before="70"/>
                    <w:ind w:left="144" w:right="0" w:firstLine="0"/>
                    <w:jc w:val="left"/>
                    <w:rPr>
                      <w:rFonts w:ascii="Arial"/>
                      <w:sz w:val="18"/>
                    </w:rPr>
                  </w:pPr>
                  <w:r>
                    <w:rPr>
                      <w:rFonts w:ascii="Arial"/>
                      <w:sz w:val="18"/>
                    </w:rPr>
                    <w:t>Volume 1</w:t>
                  </w:r>
                </w:p>
                <w:p>
                  <w:pPr>
                    <w:spacing w:line="207" w:lineRule="exact" w:before="0"/>
                    <w:ind w:left="144" w:right="0" w:firstLine="0"/>
                    <w:jc w:val="left"/>
                    <w:rPr>
                      <w:rFonts w:ascii="Arial"/>
                      <w:sz w:val="18"/>
                    </w:rPr>
                  </w:pPr>
                  <w:r>
                    <w:rPr>
                      <w:rFonts w:ascii="Arial"/>
                      <w:sz w:val="18"/>
                    </w:rPr>
                    <w:t>Number 2</w:t>
                  </w:r>
                </w:p>
                <w:p>
                  <w:pPr>
                    <w:spacing w:line="207" w:lineRule="exact" w:before="1"/>
                    <w:ind w:left="144" w:right="0" w:firstLine="0"/>
                    <w:jc w:val="left"/>
                    <w:rPr>
                      <w:rFonts w:ascii="Arial"/>
                      <w:sz w:val="18"/>
                    </w:rPr>
                  </w:pPr>
                  <w:r>
                    <w:rPr>
                      <w:rFonts w:ascii="Arial"/>
                      <w:sz w:val="18"/>
                    </w:rPr>
                    <w:t>May 27, 2004</w:t>
                  </w:r>
                </w:p>
                <w:p>
                  <w:pPr>
                    <w:spacing w:line="207" w:lineRule="exact" w:before="0"/>
                    <w:ind w:left="144" w:right="0" w:firstLine="0"/>
                    <w:jc w:val="left"/>
                    <w:rPr>
                      <w:rFonts w:ascii="Arial"/>
                      <w:sz w:val="18"/>
                    </w:rPr>
                  </w:pPr>
                  <w:r>
                    <w:rPr>
                      <w:rFonts w:ascii="Arial"/>
                      <w:sz w:val="18"/>
                    </w:rPr>
                    <w:t>Editor:</w:t>
                  </w:r>
                </w:p>
                <w:p>
                  <w:pPr>
                    <w:spacing w:before="0"/>
                    <w:ind w:left="245" w:right="449" w:firstLine="0"/>
                    <w:jc w:val="center"/>
                    <w:rPr>
                      <w:rFonts w:ascii="Arial"/>
                      <w:sz w:val="18"/>
                    </w:rPr>
                  </w:pPr>
                  <w:r>
                    <w:rPr>
                      <w:rFonts w:ascii="Arial"/>
                      <w:sz w:val="18"/>
                    </w:rPr>
                    <w:t>Vic Vangel</w:t>
                  </w:r>
                </w:p>
              </w:txbxContent>
            </v:textbox>
            <v:stroke dashstyle="longdash"/>
            <w10:wrap type="none"/>
          </v:shape>
        </w:pict>
      </w:r>
      <w:r>
        <w:rPr/>
        <w:pict>
          <v:shape style="position:absolute;margin-left:487.200012pt;margin-top:4.994275pt;width:74.1pt;height:63pt;mso-position-horizontal-relative:page;mso-position-vertical-relative:paragraph;z-index:1096" type="#_x0000_t202" filled="false" stroked="true" strokeweight="2pt" strokecolor="#000000">
            <v:textbox inset="0,0,0,0">
              <w:txbxContent>
                <w:p>
                  <w:pPr>
                    <w:spacing w:before="72"/>
                    <w:ind w:left="144" w:right="201" w:firstLine="0"/>
                    <w:jc w:val="left"/>
                    <w:rPr>
                      <w:sz w:val="18"/>
                    </w:rPr>
                  </w:pPr>
                  <w:r>
                    <w:rPr>
                      <w:sz w:val="18"/>
                    </w:rPr>
                    <w:t>Chris Burke Gary Gilmore Paul Jeffrey Vic Vangel David Young</w:t>
                  </w:r>
                </w:p>
              </w:txbxContent>
            </v:textbox>
            <v:stroke dashstyle="longdash"/>
            <w10:wrap type="none"/>
          </v:shape>
        </w:pict>
      </w:r>
      <w:r>
        <w:rPr>
          <w:rFonts w:ascii="Verdana"/>
          <w:b/>
          <w:i/>
          <w:w w:val="85"/>
          <w:sz w:val="50"/>
        </w:rPr>
        <w:t>Pharmacy Facts</w:t>
      </w:r>
    </w:p>
    <w:p>
      <w:pPr>
        <w:spacing w:before="214"/>
        <w:ind w:left="2633" w:right="2691" w:firstLine="0"/>
        <w:jc w:val="center"/>
        <w:rPr>
          <w:rFonts w:ascii="Verdana"/>
          <w:b/>
          <w:i/>
          <w:sz w:val="34"/>
        </w:rPr>
      </w:pPr>
      <w:bookmarkStart w:name="MassHealth Pharmacy Program " w:id="1"/>
      <w:bookmarkEnd w:id="1"/>
      <w:r>
        <w:rPr/>
      </w:r>
      <w:r>
        <w:rPr>
          <w:rFonts w:ascii="Verdana"/>
          <w:b/>
          <w:i/>
          <w:w w:val="85"/>
          <w:sz w:val="34"/>
        </w:rPr>
        <w:t>MassHealth Pharmacy</w:t>
      </w:r>
      <w:r>
        <w:rPr>
          <w:rFonts w:ascii="Verdana"/>
          <w:b/>
          <w:i/>
          <w:spacing w:val="-66"/>
          <w:w w:val="85"/>
          <w:sz w:val="34"/>
        </w:rPr>
        <w:t> </w:t>
      </w:r>
      <w:r>
        <w:rPr>
          <w:rFonts w:ascii="Verdana"/>
          <w:b/>
          <w:i/>
          <w:w w:val="85"/>
          <w:sz w:val="34"/>
        </w:rPr>
        <w:t>Program</w:t>
      </w:r>
    </w:p>
    <w:p>
      <w:pPr>
        <w:pStyle w:val="BodyText"/>
        <w:spacing w:before="5"/>
        <w:rPr>
          <w:rFonts w:ascii="Verdana"/>
          <w:b/>
          <w:i/>
          <w:sz w:val="14"/>
        </w:rPr>
      </w:pPr>
    </w:p>
    <w:p>
      <w:pPr>
        <w:spacing w:before="94"/>
        <w:ind w:left="1713" w:right="0" w:firstLine="0"/>
        <w:jc w:val="left"/>
        <w:rPr>
          <w:rFonts w:ascii="Arial"/>
          <w:i/>
          <w:sz w:val="20"/>
        </w:rPr>
      </w:pPr>
      <w:bookmarkStart w:name="Current information for pharmacists abou" w:id="2"/>
      <w:bookmarkEnd w:id="2"/>
      <w:r>
        <w:rPr/>
      </w:r>
      <w:r>
        <w:rPr>
          <w:rFonts w:ascii="Arial"/>
          <w:i/>
          <w:sz w:val="20"/>
        </w:rPr>
        <w:t>Current information for pharmacists about the MassHealth Pharmacy program</w:t>
      </w:r>
    </w:p>
    <w:p>
      <w:pPr>
        <w:pStyle w:val="BodyText"/>
        <w:spacing w:before="1"/>
        <w:rPr>
          <w:rFonts w:ascii="Arial"/>
          <w:i/>
          <w:sz w:val="18"/>
        </w:rPr>
      </w:pPr>
      <w:r>
        <w:rPr/>
        <w:pict>
          <v:line style="position:absolute;mso-position-horizontal-relative:page;mso-position-vertical-relative:paragraph;z-index:0;mso-wrap-distance-left:0;mso-wrap-distance-right:0" from="90pt,12.811298pt" to="522pt,12.811298pt" stroked="true" strokeweight=".9pt" strokecolor="#000000">
            <v:stroke dashstyle="solid"/>
            <w10:wrap type="topAndBottom"/>
          </v:line>
        </w:pict>
      </w:r>
    </w:p>
    <w:p>
      <w:pPr>
        <w:pStyle w:val="BodyText"/>
        <w:spacing w:before="8"/>
        <w:rPr>
          <w:rFonts w:ascii="Arial"/>
          <w:i/>
          <w:sz w:val="13"/>
        </w:rPr>
      </w:pPr>
    </w:p>
    <w:p>
      <w:pPr>
        <w:pStyle w:val="Heading1"/>
        <w:spacing w:before="100"/>
      </w:pPr>
      <w:r>
        <w:rPr/>
        <w:t>Mass Health Drug List</w:t>
      </w:r>
    </w:p>
    <w:p>
      <w:pPr>
        <w:pStyle w:val="BodyText"/>
        <w:rPr>
          <w:b/>
        </w:rPr>
      </w:pPr>
    </w:p>
    <w:p>
      <w:pPr>
        <w:pStyle w:val="BodyText"/>
        <w:ind w:left="119"/>
      </w:pPr>
      <w:r>
        <w:rPr/>
        <w:t>On June 1, 2004 changes to the MHDL include:</w:t>
      </w:r>
    </w:p>
    <w:p>
      <w:pPr>
        <w:pStyle w:val="BodyText"/>
      </w:pPr>
    </w:p>
    <w:p>
      <w:pPr>
        <w:pStyle w:val="BodyText"/>
        <w:ind w:left="119" w:right="210"/>
      </w:pPr>
      <w:r>
        <w:rPr/>
        <w:t>Duragesic and Oxycontin (and its generics) will require prior authorization (PA). Keep in mind that if a patient has filled a prescription for one of these products in the last 90 days PA will not be required for that product. That is why we again request you transmit all claims for these products before telling a member that their prescription needs PA. Also remember that if a new to therapy patient requires a long acting opiod, morphine sulfate SR does not require PA.</w:t>
      </w:r>
    </w:p>
    <w:p>
      <w:pPr>
        <w:pStyle w:val="BodyText"/>
      </w:pPr>
    </w:p>
    <w:p>
      <w:pPr>
        <w:pStyle w:val="BodyText"/>
        <w:ind w:left="119" w:right="499"/>
      </w:pPr>
      <w:r>
        <w:rPr/>
        <w:t>Generic products benazepril (Lotensin) and metolazone (Zaroxolyn) have been added to the MHDL. The corresponding brand-name products will require PA.</w:t>
      </w:r>
    </w:p>
    <w:p>
      <w:pPr>
        <w:pStyle w:val="BodyText"/>
      </w:pPr>
    </w:p>
    <w:p>
      <w:pPr>
        <w:pStyle w:val="BodyText"/>
        <w:ind w:left="119" w:right="649"/>
      </w:pPr>
      <w:r>
        <w:rPr/>
        <w:t>Generic ribavirin capsules will no longer require PA. This change will take effect on June 4, 2004.</w:t>
      </w:r>
    </w:p>
    <w:p>
      <w:pPr>
        <w:pStyle w:val="BodyText"/>
        <w:spacing w:before="10"/>
        <w:rPr>
          <w:sz w:val="23"/>
        </w:rPr>
      </w:pPr>
    </w:p>
    <w:p>
      <w:pPr>
        <w:pStyle w:val="Heading1"/>
        <w:spacing w:before="1"/>
      </w:pPr>
      <w:r>
        <w:rPr/>
        <w:t>Controlled Substance Management Program (CSMP)</w:t>
      </w:r>
    </w:p>
    <w:p>
      <w:pPr>
        <w:pStyle w:val="BodyText"/>
        <w:spacing w:before="3"/>
        <w:rPr>
          <w:b/>
        </w:rPr>
      </w:pPr>
    </w:p>
    <w:p>
      <w:pPr>
        <w:pStyle w:val="BodyText"/>
        <w:spacing w:line="237" w:lineRule="auto"/>
        <w:ind w:left="119" w:right="202"/>
      </w:pPr>
      <w:r>
        <w:rPr/>
        <w:t>Currently there are over 800 members enrolled in this program. These members have been “locked-in” to a specific pharmacy if they have obtained 11 or more prescriptions for a controlled substance from 4 or more prescribers and/or 4 or more pharmacies in a 3-month period. When pharmacists from non-primary pharmacies determine that the member’s health or safety would be jeopardized without immediate access to a drug, they may contact the DUR program.  Remember that a member will be locked-in to a pharmacy for </w:t>
      </w:r>
      <w:r>
        <w:rPr>
          <w:i/>
          <w:sz w:val="25"/>
        </w:rPr>
        <w:t>all </w:t>
      </w:r>
      <w:r>
        <w:rPr/>
        <w:t>medications not just controlled substances. If a member who is “locked-in” to a pharmacy in Springfield is visiting in Boston and requires a prescription for an antibiotic the non-primary pharmacy must make the call.</w:t>
      </w:r>
    </w:p>
    <w:p>
      <w:pPr>
        <w:pStyle w:val="BodyText"/>
      </w:pPr>
    </w:p>
    <w:p>
      <w:pPr>
        <w:pStyle w:val="Heading1"/>
        <w:ind w:left="120"/>
      </w:pPr>
      <w:r>
        <w:rPr/>
        <w:t>72-Hour Emergency Fill</w:t>
      </w:r>
    </w:p>
    <w:p>
      <w:pPr>
        <w:pStyle w:val="BodyText"/>
        <w:rPr>
          <w:b/>
        </w:rPr>
      </w:pPr>
    </w:p>
    <w:p>
      <w:pPr>
        <w:pStyle w:val="BodyText"/>
        <w:ind w:left="120" w:right="348"/>
      </w:pPr>
      <w:r>
        <w:rPr/>
        <w:t>Please remember that after you fill an initial RX for a 72-hour emergency supply, you need to remove the “3” from your Level of Service Field before subsequent refills.</w:t>
      </w:r>
    </w:p>
    <w:p>
      <w:pPr>
        <w:pStyle w:val="BodyText"/>
        <w:rPr>
          <w:sz w:val="20"/>
        </w:rPr>
      </w:pPr>
    </w:p>
    <w:p>
      <w:pPr>
        <w:pStyle w:val="BodyText"/>
        <w:spacing w:before="11"/>
        <w:rPr>
          <w:sz w:val="10"/>
        </w:rPr>
      </w:pPr>
      <w:r>
        <w:rPr/>
        <w:pict>
          <v:line style="position:absolute;mso-position-horizontal-relative:page;mso-position-vertical-relative:paragraph;z-index:1048;mso-wrap-distance-left:0;mso-wrap-distance-right:0" from="90pt,8.840252pt" to="522pt,8.840252pt" stroked="true" strokeweight=".6pt" strokecolor="#000000">
            <v:stroke dashstyle="solid"/>
            <w10:wrap type="topAndBottom"/>
          </v:line>
        </w:pict>
      </w:r>
    </w:p>
    <w:p>
      <w:pPr>
        <w:pStyle w:val="BodyText"/>
        <w:rPr>
          <w:sz w:val="7"/>
        </w:rPr>
      </w:pPr>
    </w:p>
    <w:p>
      <w:pPr>
        <w:spacing w:line="230" w:lineRule="auto" w:before="116"/>
        <w:ind w:left="3124" w:right="210" w:hanging="2525"/>
        <w:jc w:val="left"/>
        <w:rPr>
          <w:i/>
          <w:sz w:val="25"/>
        </w:rPr>
      </w:pPr>
      <w:r>
        <w:rPr>
          <w:i/>
          <w:sz w:val="25"/>
        </w:rPr>
        <w:t>Please</w:t>
      </w:r>
      <w:r>
        <w:rPr>
          <w:i/>
          <w:spacing w:val="-28"/>
          <w:sz w:val="25"/>
        </w:rPr>
        <w:t> </w:t>
      </w:r>
      <w:r>
        <w:rPr>
          <w:i/>
          <w:sz w:val="25"/>
        </w:rPr>
        <w:t>direct</w:t>
      </w:r>
      <w:r>
        <w:rPr>
          <w:i/>
          <w:spacing w:val="-28"/>
          <w:sz w:val="25"/>
        </w:rPr>
        <w:t> </w:t>
      </w:r>
      <w:r>
        <w:rPr>
          <w:i/>
          <w:sz w:val="25"/>
        </w:rPr>
        <w:t>any</w:t>
      </w:r>
      <w:r>
        <w:rPr>
          <w:i/>
          <w:spacing w:val="-28"/>
          <w:sz w:val="25"/>
        </w:rPr>
        <w:t> </w:t>
      </w:r>
      <w:r>
        <w:rPr>
          <w:i/>
          <w:sz w:val="25"/>
        </w:rPr>
        <w:t>questions</w:t>
      </w:r>
      <w:r>
        <w:rPr>
          <w:i/>
          <w:spacing w:val="-28"/>
          <w:sz w:val="25"/>
        </w:rPr>
        <w:t> </w:t>
      </w:r>
      <w:r>
        <w:rPr>
          <w:i/>
          <w:sz w:val="25"/>
        </w:rPr>
        <w:t>or</w:t>
      </w:r>
      <w:r>
        <w:rPr>
          <w:i/>
          <w:spacing w:val="-28"/>
          <w:sz w:val="25"/>
        </w:rPr>
        <w:t> </w:t>
      </w:r>
      <w:r>
        <w:rPr>
          <w:i/>
          <w:sz w:val="25"/>
        </w:rPr>
        <w:t>comments</w:t>
      </w:r>
      <w:r>
        <w:rPr>
          <w:i/>
          <w:spacing w:val="-28"/>
          <w:sz w:val="25"/>
        </w:rPr>
        <w:t> </w:t>
      </w:r>
      <w:r>
        <w:rPr>
          <w:i/>
          <w:sz w:val="25"/>
        </w:rPr>
        <w:t>(or</w:t>
      </w:r>
      <w:r>
        <w:rPr>
          <w:i/>
          <w:spacing w:val="-28"/>
          <w:sz w:val="25"/>
        </w:rPr>
        <w:t> </w:t>
      </w:r>
      <w:r>
        <w:rPr>
          <w:i/>
          <w:sz w:val="25"/>
        </w:rPr>
        <w:t>to</w:t>
      </w:r>
      <w:r>
        <w:rPr>
          <w:i/>
          <w:spacing w:val="-28"/>
          <w:sz w:val="25"/>
        </w:rPr>
        <w:t> </w:t>
      </w:r>
      <w:r>
        <w:rPr>
          <w:i/>
          <w:sz w:val="25"/>
        </w:rPr>
        <w:t>be</w:t>
      </w:r>
      <w:r>
        <w:rPr>
          <w:i/>
          <w:spacing w:val="-28"/>
          <w:sz w:val="25"/>
        </w:rPr>
        <w:t> </w:t>
      </w:r>
      <w:r>
        <w:rPr>
          <w:i/>
          <w:sz w:val="25"/>
        </w:rPr>
        <w:t>taken</w:t>
      </w:r>
      <w:r>
        <w:rPr>
          <w:i/>
          <w:spacing w:val="-28"/>
          <w:sz w:val="25"/>
        </w:rPr>
        <w:t> </w:t>
      </w:r>
      <w:r>
        <w:rPr>
          <w:i/>
          <w:sz w:val="25"/>
        </w:rPr>
        <w:t>off</w:t>
      </w:r>
      <w:r>
        <w:rPr>
          <w:i/>
          <w:spacing w:val="-28"/>
          <w:sz w:val="25"/>
        </w:rPr>
        <w:t> </w:t>
      </w:r>
      <w:r>
        <w:rPr>
          <w:i/>
          <w:sz w:val="25"/>
        </w:rPr>
        <w:t>of</w:t>
      </w:r>
      <w:r>
        <w:rPr>
          <w:i/>
          <w:spacing w:val="-28"/>
          <w:sz w:val="25"/>
        </w:rPr>
        <w:t> </w:t>
      </w:r>
      <w:r>
        <w:rPr>
          <w:i/>
          <w:sz w:val="25"/>
        </w:rPr>
        <w:t>this</w:t>
      </w:r>
      <w:r>
        <w:rPr>
          <w:i/>
          <w:spacing w:val="-29"/>
          <w:sz w:val="25"/>
        </w:rPr>
        <w:t> </w:t>
      </w:r>
      <w:r>
        <w:rPr>
          <w:i/>
          <w:sz w:val="25"/>
        </w:rPr>
        <w:t>fax</w:t>
      </w:r>
      <w:r>
        <w:rPr>
          <w:i/>
          <w:spacing w:val="-28"/>
          <w:sz w:val="25"/>
        </w:rPr>
        <w:t> </w:t>
      </w:r>
      <w:r>
        <w:rPr>
          <w:i/>
          <w:sz w:val="25"/>
        </w:rPr>
        <w:t>distribution)</w:t>
      </w:r>
      <w:r>
        <w:rPr>
          <w:i/>
          <w:spacing w:val="-28"/>
          <w:sz w:val="25"/>
        </w:rPr>
        <w:t> </w:t>
      </w:r>
      <w:r>
        <w:rPr>
          <w:i/>
          <w:sz w:val="25"/>
        </w:rPr>
        <w:t>to Victor</w:t>
      </w:r>
      <w:r>
        <w:rPr>
          <w:i/>
          <w:spacing w:val="-34"/>
          <w:sz w:val="25"/>
        </w:rPr>
        <w:t> </w:t>
      </w:r>
      <w:r>
        <w:rPr>
          <w:i/>
          <w:sz w:val="25"/>
        </w:rPr>
        <w:t>Moquin</w:t>
      </w:r>
      <w:r>
        <w:rPr>
          <w:i/>
          <w:spacing w:val="-34"/>
          <w:sz w:val="25"/>
        </w:rPr>
        <w:t> </w:t>
      </w:r>
      <w:r>
        <w:rPr>
          <w:i/>
          <w:sz w:val="25"/>
        </w:rPr>
        <w:t>of</w:t>
      </w:r>
      <w:r>
        <w:rPr>
          <w:i/>
          <w:spacing w:val="-34"/>
          <w:sz w:val="25"/>
        </w:rPr>
        <w:t> </w:t>
      </w:r>
      <w:r>
        <w:rPr>
          <w:i/>
          <w:sz w:val="25"/>
        </w:rPr>
        <w:t>ACS</w:t>
      </w:r>
      <w:r>
        <w:rPr>
          <w:i/>
          <w:spacing w:val="-34"/>
          <w:sz w:val="25"/>
        </w:rPr>
        <w:t> </w:t>
      </w:r>
      <w:r>
        <w:rPr>
          <w:i/>
          <w:sz w:val="25"/>
        </w:rPr>
        <w:t>at</w:t>
      </w:r>
      <w:r>
        <w:rPr>
          <w:i/>
          <w:spacing w:val="-34"/>
          <w:sz w:val="25"/>
        </w:rPr>
        <w:t> </w:t>
      </w:r>
      <w:r>
        <w:rPr>
          <w:i/>
          <w:sz w:val="25"/>
        </w:rPr>
        <w:t>617-423-9830</w:t>
      </w:r>
    </w:p>
    <w:sectPr>
      <w:type w:val="continuous"/>
      <w:pgSz w:w="12240" w:h="15840"/>
      <w:pgMar w:top="980" w:bottom="280" w:left="96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4"/>
      <w:szCs w:val="24"/>
    </w:rPr>
  </w:style>
  <w:style w:styleId="Heading1" w:type="paragraph">
    <w:name w:val="Heading 1"/>
    <w:basedOn w:val="Normal"/>
    <w:uiPriority w:val="1"/>
    <w:qFormat/>
    <w:pPr>
      <w:ind w:left="119"/>
      <w:outlineLvl w:val="1"/>
    </w:pPr>
    <w:rPr>
      <w:rFonts w:ascii="Tahoma" w:hAnsi="Tahoma" w:eastAsia="Tahoma" w:cs="Tahoma"/>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PJeffrey</dc:creator>
  <dc:title>Pharmacy Facts</dc:title>
  <dcterms:created xsi:type="dcterms:W3CDTF">2017-11-16T08:28:11Z</dcterms:created>
  <dcterms:modified xsi:type="dcterms:W3CDTF">2017-11-16T08:28:11Z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2005-10-06T00:00:00Z</vt:filetime>
  </property>
  <property fmtid="{D5CDD505-2E9C-101B-9397-08002B2CF9AE}" pid="3" name="Creator">
    <vt:lpwstr>Acrobat PDFMaker 7.0 for Word</vt:lpwstr>
  </property>
  <property fmtid="{D5CDD505-2E9C-101B-9397-08002B2CF9AE}" pid="4" name="LastSaved">
    <vt:filetime>2017-11-16T00:00:00Z</vt:filetime>
  </property>
</Properties>
</file>