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5"/>
        </w:rPr>
      </w:pPr>
    </w:p>
    <w:p>
      <w:pPr>
        <w:pStyle w:val="Heading2"/>
        <w:spacing w:before="100"/>
        <w:rPr>
          <w:rFonts w:ascii="Arial Narrow"/>
        </w:rPr>
      </w:pPr>
      <w:r>
        <w:rPr>
          <w:rFonts w:ascii="Arial Narrow"/>
        </w:rPr>
        <w:t>Number 20</w:t>
      </w:r>
    </w:p>
    <w:p>
      <w:pPr>
        <w:spacing w:before="43"/>
        <w:ind w:left="984" w:right="0" w:firstLine="0"/>
        <w:jc w:val="left"/>
        <w:rPr>
          <w:rFonts w:ascii="Arial Narrow"/>
          <w:b/>
          <w:sz w:val="20"/>
        </w:rPr>
      </w:pPr>
      <w:r>
        <w:rPr>
          <w:rFonts w:ascii="Arial Narrow"/>
          <w:b/>
          <w:sz w:val="20"/>
        </w:rPr>
        <w:t>May 24, 2006</w:t>
      </w:r>
    </w:p>
    <w:p>
      <w:pPr>
        <w:pStyle w:val="BodyText"/>
        <w:rPr>
          <w:rFonts w:ascii="Arial Narrow"/>
          <w:b/>
          <w:sz w:val="20"/>
        </w:rPr>
      </w:pPr>
    </w:p>
    <w:p>
      <w:pPr>
        <w:pStyle w:val="BodyText"/>
        <w:spacing w:before="8"/>
        <w:rPr>
          <w:rFonts w:ascii="Arial Narrow"/>
          <w:b/>
          <w:sz w:val="28"/>
        </w:rPr>
      </w:pPr>
    </w:p>
    <w:p>
      <w:pPr>
        <w:spacing w:before="97"/>
        <w:ind w:left="1024" w:right="1561" w:firstLine="0"/>
        <w:jc w:val="center"/>
        <w:rPr>
          <w:rFonts w:ascii="Arial Narrow"/>
          <w:sz w:val="18"/>
        </w:rPr>
      </w:pPr>
      <w:hyperlink r:id="rId5">
        <w:r>
          <w:rPr>
            <w:rFonts w:ascii="Arial Narrow"/>
            <w:sz w:val="18"/>
          </w:rPr>
          <w:t>www.mass.gov/masshealth/pharmacy</w:t>
        </w:r>
      </w:hyperlink>
    </w:p>
    <w:p>
      <w:pPr>
        <w:pStyle w:val="ListParagraph"/>
        <w:numPr>
          <w:ilvl w:val="0"/>
          <w:numId w:val="1"/>
        </w:numPr>
        <w:tabs>
          <w:tab w:pos="2556" w:val="left" w:leader="none"/>
        </w:tabs>
        <w:spacing w:line="240" w:lineRule="auto" w:before="21" w:after="0"/>
        <w:ind w:left="2555" w:right="0" w:hanging="149"/>
        <w:jc w:val="left"/>
        <w:rPr>
          <w:rFonts w:ascii="Arial Black" w:hAnsi="Arial Black"/>
          <w:b/>
          <w:sz w:val="18"/>
        </w:rPr>
      </w:pPr>
      <w:r>
        <w:rPr>
          <w:sz w:val="18"/>
        </w:rPr>
        <w:t>Editor: Vic Vangel </w:t>
      </w:r>
      <w:r>
        <w:rPr>
          <w:rFonts w:ascii="Arial Black" w:hAnsi="Arial Black"/>
          <w:b/>
          <w:sz w:val="18"/>
        </w:rPr>
        <w:t>• </w:t>
      </w:r>
      <w:r>
        <w:rPr>
          <w:sz w:val="18"/>
        </w:rPr>
        <w:t>Contributors: Chris Burke, Gary Gilmore, Paul Jeffrey, James Monahan </w:t>
      </w:r>
      <w:r>
        <w:rPr>
          <w:rFonts w:ascii="Arial Black" w:hAnsi="Arial Black"/>
          <w:b/>
          <w:sz w:val="18"/>
        </w:rPr>
        <w:t>•</w:t>
      </w:r>
    </w:p>
    <w:p>
      <w:pPr>
        <w:pStyle w:val="BodyText"/>
        <w:spacing w:before="13"/>
        <w:rPr>
          <w:rFonts w:ascii="Arial Black"/>
          <w:b/>
          <w:sz w:val="11"/>
        </w:rPr>
      </w:pPr>
    </w:p>
    <w:p>
      <w:pPr>
        <w:spacing w:after="0"/>
        <w:rPr>
          <w:rFonts w:ascii="Arial Black"/>
          <w:sz w:val="11"/>
        </w:rPr>
        <w:sectPr>
          <w:type w:val="continuous"/>
          <w:pgSz w:w="12240" w:h="15840"/>
          <w:pgMar w:top="360" w:bottom="0" w:left="600" w:right="240"/>
        </w:sectPr>
      </w:pPr>
    </w:p>
    <w:p>
      <w:pPr>
        <w:pStyle w:val="Heading1"/>
        <w:spacing w:before="99"/>
        <w:ind w:left="372"/>
        <w:rPr>
          <w:b/>
        </w:rPr>
      </w:pPr>
      <w:r>
        <w:rPr/>
        <w:pict>
          <v:group style="position:absolute;margin-left:42.700001pt;margin-top:-6.003555pt;width:531.65pt;height:589.8pt;mso-position-horizontal-relative:page;mso-position-vertical-relative:paragraph;z-index:-3400" coordorigin="854,-120" coordsize="10633,11796">
            <v:shape style="position:absolute;left:864;top:-111;width:10613;height:2" coordorigin="864,-110" coordsize="10613,0" path="m864,-110l6169,-110m6169,-110l11477,-110e" filled="false" stroked="true" strokeweight=".96002pt" strokecolor="#000000">
              <v:path arrowok="t"/>
              <v:stroke dashstyle="solid"/>
            </v:shape>
            <v:line style="position:absolute" from="6174,-100" to="6174,11670" stroked="true" strokeweight=".48001pt" strokecolor="#000000">
              <v:stroke dashstyle="solid"/>
            </v:line>
            <w10:wrap type="none"/>
          </v:group>
        </w:pict>
      </w:r>
      <w:r>
        <w:rPr>
          <w:b/>
        </w:rPr>
        <w:t>MassHealth Drug List</w:t>
      </w:r>
    </w:p>
    <w:p>
      <w:pPr>
        <w:pStyle w:val="Heading2"/>
        <w:spacing w:before="262"/>
        <w:ind w:left="371"/>
        <w:rPr>
          <w:b/>
        </w:rPr>
      </w:pPr>
      <w:r>
        <w:rPr>
          <w:b/>
        </w:rPr>
        <w:t>Additions</w:t>
      </w:r>
    </w:p>
    <w:p>
      <w:pPr>
        <w:pStyle w:val="BodyText"/>
        <w:spacing w:before="138"/>
        <w:ind w:left="372" w:right="-11"/>
      </w:pPr>
      <w:r>
        <w:rPr/>
        <w:t>The following newly marketed drugs have been added to</w:t>
      </w:r>
      <w:r>
        <w:rPr>
          <w:spacing w:val="-10"/>
        </w:rPr>
        <w:t> </w:t>
      </w:r>
      <w:r>
        <w:rPr/>
        <w:t>the MassHealth Drug</w:t>
      </w:r>
      <w:r>
        <w:rPr>
          <w:spacing w:val="-4"/>
        </w:rPr>
        <w:t> </w:t>
      </w:r>
      <w:r>
        <w:rPr/>
        <w:t>List.</w:t>
      </w:r>
    </w:p>
    <w:p>
      <w:pPr>
        <w:pStyle w:val="BodyText"/>
        <w:spacing w:before="136"/>
        <w:ind w:left="731" w:right="2229"/>
        <w:rPr>
          <w:b/>
        </w:rPr>
      </w:pPr>
      <w:r>
        <w:rPr/>
        <w:t>Amitiza (lubiprostone) – </w:t>
      </w:r>
      <w:r>
        <w:rPr>
          <w:b/>
        </w:rPr>
        <w:t>PA </w:t>
      </w:r>
      <w:r>
        <w:rPr/>
        <w:t>Arranon (nelarabine) – </w:t>
      </w:r>
      <w:r>
        <w:rPr>
          <w:b/>
        </w:rPr>
        <w:t>PA </w:t>
      </w:r>
      <w:r>
        <w:rPr/>
        <w:t>Boniva IV (ibandronate) – </w:t>
      </w:r>
      <w:r>
        <w:rPr>
          <w:b/>
        </w:rPr>
        <w:t>PA</w:t>
      </w:r>
    </w:p>
    <w:p>
      <w:pPr>
        <w:pStyle w:val="BodyText"/>
        <w:ind w:left="732"/>
        <w:rPr>
          <w:b/>
        </w:rPr>
      </w:pPr>
      <w:r>
        <w:rPr/>
        <w:t>Levemir (insulin detemir) prefilled syringe – </w:t>
      </w:r>
      <w:r>
        <w:rPr>
          <w:b/>
        </w:rPr>
        <w:t>PA</w:t>
      </w:r>
    </w:p>
    <w:p>
      <w:pPr>
        <w:pStyle w:val="BodyText"/>
        <w:spacing w:before="2"/>
        <w:ind w:left="732" w:right="2282"/>
      </w:pPr>
      <w:r>
        <w:rPr/>
        <w:t>Levemir (insulin detemir) vial Sutent (sunitinib)</w:t>
      </w:r>
    </w:p>
    <w:p>
      <w:pPr>
        <w:pStyle w:val="BodyText"/>
        <w:ind w:left="732" w:right="496"/>
        <w:rPr>
          <w:b/>
        </w:rPr>
      </w:pPr>
      <w:r>
        <w:rPr/>
        <w:t>Taclonex (betamethasone/calcipotriene) – </w:t>
      </w:r>
      <w:r>
        <w:rPr>
          <w:b/>
        </w:rPr>
        <w:t>PA </w:t>
      </w:r>
      <w:r>
        <w:rPr/>
        <w:t>Vivaglobin (immune globulin, subcutaneous) – </w:t>
      </w:r>
      <w:r>
        <w:rPr>
          <w:b/>
        </w:rPr>
        <w:t>PA </w:t>
      </w:r>
      <w:r>
        <w:rPr/>
        <w:t>Vusion (miconazole/zinc oxide) – </w:t>
      </w:r>
      <w:r>
        <w:rPr>
          <w:b/>
        </w:rPr>
        <w:t>PA</w:t>
      </w:r>
    </w:p>
    <w:p>
      <w:pPr>
        <w:pStyle w:val="BodyText"/>
        <w:spacing w:before="6"/>
        <w:rPr>
          <w:b/>
          <w:sz w:val="17"/>
        </w:rPr>
      </w:pPr>
    </w:p>
    <w:p>
      <w:pPr>
        <w:pStyle w:val="Heading2"/>
        <w:ind w:left="372"/>
        <w:rPr>
          <w:b/>
        </w:rPr>
      </w:pPr>
      <w:r>
        <w:rPr>
          <w:b/>
        </w:rPr>
        <w:t>Change in Prior Authorization Status</w:t>
      </w:r>
    </w:p>
    <w:p>
      <w:pPr>
        <w:pStyle w:val="BodyText"/>
        <w:spacing w:before="137"/>
        <w:ind w:left="372" w:right="-13"/>
      </w:pPr>
      <w:r>
        <w:rPr/>
        <w:t>MassHealth has changed the coverage of tobacco</w:t>
      </w:r>
      <w:r>
        <w:rPr>
          <w:spacing w:val="-8"/>
        </w:rPr>
        <w:t> </w:t>
      </w:r>
      <w:r>
        <w:rPr/>
        <w:t>cessation products. Effective July 1, 2006, MassHealth includes coverage of the tobacco cessation products with the following</w:t>
      </w:r>
      <w:r>
        <w:rPr>
          <w:spacing w:val="-6"/>
        </w:rPr>
        <w:t> </w:t>
      </w:r>
      <w:r>
        <w:rPr/>
        <w:t>restrictions.</w:t>
      </w:r>
    </w:p>
    <w:p>
      <w:pPr>
        <w:pStyle w:val="BodyText"/>
        <w:spacing w:before="137"/>
        <w:ind w:left="660" w:right="19"/>
      </w:pPr>
      <w:r>
        <w:rPr/>
        <w:t>The following medications require PA for greater than 90 days per treatment regimen. PA is also required for greater than two treatment regimens per year.</w:t>
      </w:r>
    </w:p>
    <w:p>
      <w:pPr>
        <w:spacing w:before="136"/>
        <w:ind w:left="1199" w:right="-17" w:hanging="360"/>
        <w:jc w:val="left"/>
        <w:rPr>
          <w:b/>
          <w:sz w:val="19"/>
        </w:rPr>
      </w:pPr>
      <w:r>
        <w:rPr>
          <w:sz w:val="19"/>
        </w:rPr>
        <w:t>nicotine gum (generics) – </w:t>
      </w:r>
      <w:r>
        <w:rPr>
          <w:b/>
          <w:sz w:val="19"/>
        </w:rPr>
        <w:t>PA &gt; 90 days/ treatment regimen and PA &gt; two treatment regimens/year</w:t>
      </w:r>
    </w:p>
    <w:p>
      <w:pPr>
        <w:spacing w:before="0"/>
        <w:ind w:left="1200" w:right="-18" w:hanging="361"/>
        <w:jc w:val="left"/>
        <w:rPr>
          <w:b/>
          <w:sz w:val="19"/>
        </w:rPr>
      </w:pPr>
      <w:r>
        <w:rPr>
          <w:sz w:val="19"/>
        </w:rPr>
        <w:t>nicotine lozenge (Commit) – </w:t>
      </w:r>
      <w:r>
        <w:rPr>
          <w:b/>
          <w:sz w:val="19"/>
        </w:rPr>
        <w:t>PA &gt; 90 days/ treatment regimen and PA &gt; two treatment regimens/year</w:t>
      </w:r>
    </w:p>
    <w:p>
      <w:pPr>
        <w:spacing w:before="0"/>
        <w:ind w:left="1200" w:right="564" w:hanging="361"/>
        <w:jc w:val="left"/>
        <w:rPr>
          <w:b/>
          <w:sz w:val="19"/>
        </w:rPr>
      </w:pPr>
      <w:r>
        <w:rPr>
          <w:sz w:val="19"/>
        </w:rPr>
        <w:t>nicotine transdermal patch (generics) – </w:t>
      </w:r>
      <w:r>
        <w:rPr>
          <w:b/>
          <w:sz w:val="19"/>
        </w:rPr>
        <w:t>PA &gt; 90 days/treatment regimen and PA &gt; two treatment regimens/year</w:t>
      </w:r>
    </w:p>
    <w:p>
      <w:pPr>
        <w:pStyle w:val="BodyText"/>
        <w:spacing w:before="138"/>
        <w:ind w:left="660" w:right="93"/>
      </w:pPr>
      <w:r>
        <w:rPr/>
        <w:t>The following medications require prior authorization for all quantities.</w:t>
      </w:r>
    </w:p>
    <w:p>
      <w:pPr>
        <w:pStyle w:val="BodyText"/>
        <w:spacing w:before="136"/>
        <w:ind w:left="840"/>
        <w:rPr>
          <w:b/>
        </w:rPr>
      </w:pPr>
      <w:r>
        <w:rPr/>
        <w:t>nicotine inhaler (Nicotrol) – </w:t>
      </w:r>
      <w:r>
        <w:rPr>
          <w:b/>
        </w:rPr>
        <w:t>PA</w:t>
      </w:r>
    </w:p>
    <w:p>
      <w:pPr>
        <w:pStyle w:val="BodyText"/>
        <w:ind w:left="840"/>
        <w:rPr>
          <w:b/>
        </w:rPr>
      </w:pPr>
      <w:r>
        <w:rPr/>
        <w:t>nicotine nasal spray (Nicotrol) – </w:t>
      </w:r>
      <w:r>
        <w:rPr>
          <w:b/>
        </w:rPr>
        <w:t>PA</w:t>
      </w:r>
    </w:p>
    <w:p>
      <w:pPr>
        <w:pStyle w:val="BodyText"/>
        <w:spacing w:before="162"/>
        <w:ind w:left="660" w:right="83"/>
      </w:pPr>
      <w:r>
        <w:rPr/>
        <w:t>The following medication requires prior-authorization for the brand, unless a particular form of that drug (for example, tablet, capsule, or liquid) does not have an FDA “A”-rated generic equivalent.</w:t>
      </w:r>
    </w:p>
    <w:p>
      <w:pPr>
        <w:pStyle w:val="BodyText"/>
        <w:spacing w:before="161"/>
        <w:ind w:left="840"/>
      </w:pPr>
      <w:r>
        <w:rPr/>
        <w:t>bupropion sustained release (Zyban #)</w:t>
      </w:r>
    </w:p>
    <w:p>
      <w:pPr>
        <w:pStyle w:val="BodyText"/>
        <w:spacing w:before="137"/>
        <w:ind w:left="390" w:right="363"/>
      </w:pPr>
      <w:r>
        <w:rPr/>
        <w:t>Effective July 1, 2006, the following medication requires prior authorization.</w:t>
      </w:r>
    </w:p>
    <w:p>
      <w:pPr>
        <w:pStyle w:val="BodyText"/>
        <w:spacing w:before="136"/>
        <w:ind w:left="731"/>
        <w:rPr>
          <w:b/>
        </w:rPr>
      </w:pPr>
      <w:r>
        <w:rPr/>
        <w:t>Rituxan (rituximab) – </w:t>
      </w:r>
      <w:r>
        <w:rPr>
          <w:b/>
        </w:rPr>
        <w:t>PA</w:t>
      </w:r>
    </w:p>
    <w:p>
      <w:pPr>
        <w:pStyle w:val="BodyText"/>
        <w:spacing w:before="131"/>
        <w:ind w:left="388" w:right="715" w:hanging="18"/>
      </w:pPr>
      <w:r>
        <w:rPr/>
        <w:br w:type="column"/>
      </w:r>
      <w:r>
        <w:rPr/>
        <w:t>MassHealth no longer requires prior authorization for members over the age of 21 for the following medication.</w:t>
      </w:r>
    </w:p>
    <w:p>
      <w:pPr>
        <w:pStyle w:val="BodyText"/>
        <w:spacing w:before="137"/>
        <w:ind w:left="730"/>
      </w:pPr>
      <w:r>
        <w:rPr/>
        <w:t>MetroCream # (metronidazole)</w:t>
      </w:r>
    </w:p>
    <w:p>
      <w:pPr>
        <w:pStyle w:val="BodyText"/>
        <w:spacing w:before="160"/>
        <w:ind w:left="388" w:right="765" w:hanging="18"/>
      </w:pPr>
      <w:r>
        <w:rPr/>
        <w:t>MassHealth no longer requires prior authorization for the following generic medication.</w:t>
      </w:r>
    </w:p>
    <w:p>
      <w:pPr>
        <w:pStyle w:val="BodyText"/>
        <w:spacing w:before="138"/>
        <w:ind w:left="748"/>
      </w:pPr>
      <w:r>
        <w:rPr/>
        <w:t>albuterol HFA</w:t>
      </w:r>
    </w:p>
    <w:p>
      <w:pPr>
        <w:pStyle w:val="BodyText"/>
        <w:spacing w:before="3"/>
        <w:rPr>
          <w:sz w:val="17"/>
        </w:rPr>
      </w:pPr>
    </w:p>
    <w:p>
      <w:pPr>
        <w:pStyle w:val="Heading1"/>
        <w:rPr>
          <w:b/>
        </w:rPr>
      </w:pPr>
      <w:r>
        <w:rPr>
          <w:b/>
        </w:rPr>
        <w:t>Submitting Claims for All Prescriptions</w:t>
      </w:r>
    </w:p>
    <w:p>
      <w:pPr>
        <w:pStyle w:val="BodyText"/>
        <w:spacing w:before="142"/>
        <w:ind w:left="388" w:right="663"/>
      </w:pPr>
      <w:r>
        <w:rPr/>
        <w:t>We would like to remind pharmacists that they should submit all claims for processing even if they think the claim might deny for various reasons such as a drug not being listed on the MassHealth Drug List. We receive many calls from members and their physicians telling us that a pharmacy informs them that a drug claim is being denied by MassHealth when in fact we see that a claim has never been submitted. Some drugs that are listed on the MassHealth Drug List as requiring prior authorization (PA) will adjudicate without PA if a member has a particular diagnosis or prior use of another medication.</w:t>
      </w:r>
    </w:p>
    <w:p>
      <w:pPr>
        <w:pStyle w:val="BodyText"/>
        <w:ind w:left="388" w:right="620"/>
      </w:pPr>
      <w:r>
        <w:rPr/>
        <w:t>An example of this would be a claim for an angiotensin II receptor antagonist (ARB) not requiring prior authorization when the member has had a prior history of use of an angiotensin converting enzyme (ACE) inhibitor.</w:t>
      </w:r>
    </w:p>
    <w:p>
      <w:pPr>
        <w:pStyle w:val="BodyText"/>
        <w:spacing w:before="3"/>
        <w:rPr>
          <w:sz w:val="17"/>
        </w:rPr>
      </w:pPr>
    </w:p>
    <w:p>
      <w:pPr>
        <w:pStyle w:val="Heading1"/>
        <w:spacing w:line="288" w:lineRule="auto"/>
        <w:ind w:right="1393"/>
        <w:rPr>
          <w:b/>
        </w:rPr>
      </w:pPr>
      <w:r>
        <w:rPr>
          <w:b/>
        </w:rPr>
        <w:t>Medicare Part D Prescription Drug Coverage Update</w:t>
      </w:r>
    </w:p>
    <w:p>
      <w:pPr>
        <w:pStyle w:val="BodyText"/>
        <w:spacing w:before="81"/>
        <w:ind w:left="388" w:right="597"/>
      </w:pPr>
      <w:r>
        <w:rPr/>
        <w:t>Please remember that MassHealth has procedures in place that reduce a dual-eligible member’s copay from the</w:t>
      </w:r>
    </w:p>
    <w:p>
      <w:pPr>
        <w:pStyle w:val="BodyText"/>
        <w:ind w:left="388" w:right="620"/>
      </w:pPr>
      <w:r>
        <w:rPr/>
        <w:t>$2.00 and $5.00 levels (as determined by the Part-D plan) to the standard MassHealth copay levels of $1.00 and</w:t>
      </w:r>
    </w:p>
    <w:p>
      <w:pPr>
        <w:pStyle w:val="BodyText"/>
        <w:ind w:left="388" w:right="715"/>
      </w:pPr>
      <w:r>
        <w:rPr/>
        <w:t>$3.00. These procedures were described in detail in Pharmacy Facts #17.</w:t>
      </w:r>
    </w:p>
    <w:p>
      <w:pPr>
        <w:pStyle w:val="BodyText"/>
        <w:spacing w:before="137"/>
        <w:ind w:left="388" w:right="873"/>
      </w:pPr>
      <w:r>
        <w:rPr/>
        <w:t>Immunosuppressive drugs - The pharmacist must bill Medicare Part B if the dual-eligible member had a Medicare-covered transplant. If Medicare did not cover the member’s transplant, bill the Medicare Part D plan.</w:t>
      </w:r>
    </w:p>
    <w:p>
      <w:pPr>
        <w:pStyle w:val="BodyText"/>
        <w:spacing w:before="137"/>
        <w:ind w:left="388" w:right="579"/>
      </w:pPr>
      <w:r>
        <w:rPr/>
        <w:t>Erythropoietins are other drugs that must be billed to a member’s Part D plan if the claim is not covered by Part B.</w:t>
      </w:r>
    </w:p>
    <w:p>
      <w:pPr>
        <w:pStyle w:val="BodyText"/>
        <w:spacing w:before="3"/>
        <w:rPr>
          <w:sz w:val="17"/>
        </w:rPr>
      </w:pPr>
    </w:p>
    <w:p>
      <w:pPr>
        <w:pStyle w:val="Heading1"/>
        <w:rPr>
          <w:b/>
        </w:rPr>
      </w:pPr>
      <w:r>
        <w:rPr>
          <w:b/>
        </w:rPr>
        <w:t>CoPays</w:t>
      </w:r>
    </w:p>
    <w:p>
      <w:pPr>
        <w:pStyle w:val="BodyText"/>
        <w:spacing w:before="142"/>
        <w:ind w:left="388" w:right="663" w:hanging="18"/>
      </w:pPr>
      <w:r>
        <w:rPr/>
        <w:t>A reminder that a pharmacy cannot refuse service, or fail to fill a prescription as written based on a MassHealth member’s inability to pay a copay. This is also true for MassHealth members enrolled in a MassHealth managed care organization (MCO).</w:t>
      </w:r>
    </w:p>
    <w:p>
      <w:pPr>
        <w:spacing w:after="0"/>
        <w:sectPr>
          <w:type w:val="continuous"/>
          <w:pgSz w:w="12240" w:h="15840"/>
          <w:pgMar w:top="360" w:bottom="0" w:left="600" w:right="240"/>
          <w:cols w:num="2" w:equalWidth="0">
            <w:col w:w="5452" w:space="40"/>
            <w:col w:w="5908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35.999989pt;margin-top:18.000025pt;width:549.6pt;height:118pt;mso-position-horizontal-relative:page;mso-position-vertical-relative:page;z-index:-3424" coordorigin="720,360" coordsize="10992,2360">
            <v:shape style="position:absolute;left:720;top:360;width:10992;height:2340" type="#_x0000_t75" stroked="false">
              <v:imagedata r:id="rId6" o:title=""/>
            </v:shape>
            <v:line style="position:absolute" from="864,2710" to="11477,2710" stroked="true" strokeweight=".95996pt" strokecolor="#000000">
              <v:stroke dashstyle="solid"/>
            </v:line>
            <w10:wrap type="none"/>
          </v:group>
        </w:pict>
      </w:r>
    </w:p>
    <w:p>
      <w:pPr>
        <w:pStyle w:val="BodyText"/>
        <w:spacing w:after="1"/>
        <w:rPr>
          <w:sz w:val="11"/>
        </w:rPr>
      </w:pPr>
    </w:p>
    <w:p>
      <w:pPr>
        <w:pStyle w:val="BodyText"/>
        <w:spacing w:line="40" w:lineRule="exact"/>
        <w:ind w:left="293"/>
        <w:rPr>
          <w:sz w:val="4"/>
        </w:rPr>
      </w:pPr>
      <w:r>
        <w:rPr>
          <w:position w:val="0"/>
          <w:sz w:val="4"/>
        </w:rPr>
        <w:pict>
          <v:group style="width:549.7pt;height:2.050pt;mso-position-horizontal-relative:char;mso-position-vertical-relative:line" coordorigin="0,0" coordsize="10994,41">
            <v:line style="position:absolute" from="7,7" to="10987,7" stroked="true" strokeweight=".66pt" strokecolor="#000000">
              <v:stroke dashstyle="solid"/>
            </v:line>
            <v:line style="position:absolute" from="7,33" to="10987,33" stroked="true" strokeweight=".66pt" strokecolor="#00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spacing w:before="87"/>
        <w:ind w:left="1920" w:right="1561" w:firstLine="0"/>
        <w:jc w:val="center"/>
        <w:rPr>
          <w:sz w:val="21"/>
        </w:rPr>
      </w:pPr>
      <w:r>
        <w:rPr>
          <w:sz w:val="21"/>
        </w:rPr>
        <w:t>Please direct any questions or comments (or to be taken off of this fax distribution) to</w:t>
      </w:r>
    </w:p>
    <w:p>
      <w:pPr>
        <w:spacing w:before="0"/>
        <w:ind w:left="1919" w:right="1561" w:firstLine="0"/>
        <w:jc w:val="center"/>
        <w:rPr>
          <w:sz w:val="21"/>
        </w:rPr>
      </w:pPr>
      <w:r>
        <w:rPr>
          <w:rFonts w:ascii="Arial Black"/>
          <w:b/>
          <w:sz w:val="21"/>
        </w:rPr>
        <w:t>Victor Moquin </w:t>
      </w:r>
      <w:r>
        <w:rPr>
          <w:sz w:val="21"/>
        </w:rPr>
        <w:t>of ACS at 617-423-9830.</w:t>
      </w:r>
    </w:p>
    <w:sectPr>
      <w:type w:val="continuous"/>
      <w:pgSz w:w="12240" w:h="15840"/>
      <w:pgMar w:top="360" w:bottom="0" w:left="60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555" w:hanging="150"/>
      </w:pPr>
      <w:rPr>
        <w:rFonts w:hint="default" w:ascii="Arial Black" w:hAnsi="Arial Black" w:eastAsia="Arial Black" w:cs="Arial Black"/>
        <w:b/>
        <w:bCs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3444" w:hanging="1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28" w:hanging="1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12" w:hanging="1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96" w:hanging="1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80" w:hanging="1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64" w:hanging="1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48" w:hanging="1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32" w:hanging="1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388"/>
      <w:outlineLvl w:val="1"/>
    </w:pPr>
    <w:rPr>
      <w:rFonts w:ascii="Arial Black" w:hAnsi="Arial Black" w:eastAsia="Arial Black" w:cs="Arial Black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984"/>
      <w:outlineLvl w:val="2"/>
    </w:pPr>
    <w:rPr>
      <w:rFonts w:ascii="Arial Black" w:hAnsi="Arial Black" w:eastAsia="Arial Black" w:cs="Arial Black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21"/>
      <w:ind w:left="2555" w:hanging="149"/>
    </w:pPr>
    <w:rPr>
      <w:rFonts w:ascii="Arial Narrow" w:hAnsi="Arial Narrow" w:eastAsia="Arial Narrow" w:cs="Arial Narrow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ass.gov/masshealth/pharmacy" TargetMode="Externa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tcapone-blake</dc:creator>
  <dc:title>Microsoft Word - Pharmacy Facts_20_FINAL.doc</dc:title>
  <dcterms:created xsi:type="dcterms:W3CDTF">2017-11-16T09:23:35Z</dcterms:created>
  <dcterms:modified xsi:type="dcterms:W3CDTF">2017-11-16T09:23:35Z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2006-05-24T00:00:00Z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2017-11-16T00:00:00Z</vt:filetime>
  </property>
</Properties>
</file>