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93E2" w14:textId="434FB6D7" w:rsidR="00C559C9" w:rsidRPr="00CA370D" w:rsidRDefault="00C559C9" w:rsidP="00C559C9">
      <w:pPr>
        <w:pStyle w:val="Noparagraphstyle"/>
        <w:rPr>
          <w:rFonts w:ascii="Arial Narrow" w:hAnsi="Arial Narrow"/>
          <w:b/>
          <w:color w:val="auto"/>
          <w:sz w:val="20"/>
          <w:szCs w:val="20"/>
        </w:rPr>
      </w:pPr>
      <w:bookmarkStart w:id="0" w:name="_Hlk136424023"/>
      <w:bookmarkEnd w:id="0"/>
      <w:r w:rsidRPr="00CA370D">
        <w:rPr>
          <w:rFonts w:ascii="Arial Narrow" w:hAnsi="Arial Narrow"/>
          <w:b/>
          <w:color w:val="auto"/>
          <w:sz w:val="20"/>
          <w:szCs w:val="20"/>
        </w:rPr>
        <w:t xml:space="preserve">Number </w:t>
      </w:r>
      <w:r w:rsidR="00CA370D" w:rsidRPr="00CA370D">
        <w:rPr>
          <w:rFonts w:ascii="Arial Narrow" w:hAnsi="Arial Narrow"/>
          <w:b/>
          <w:color w:val="auto"/>
          <w:sz w:val="20"/>
          <w:szCs w:val="20"/>
        </w:rPr>
        <w:t>202, May 31, 2023</w:t>
      </w:r>
      <w:r w:rsidR="0098171A">
        <w:rPr>
          <w:rFonts w:ascii="Arial" w:hAnsi="Arial" w:cs="Arial"/>
          <w:noProof/>
          <w:sz w:val="21"/>
          <w:szCs w:val="21"/>
        </w:rPr>
        <w:drawing>
          <wp:inline distT="0" distB="0" distL="0" distR="0" wp14:anchorId="6426388F" wp14:editId="2E581E70">
            <wp:extent cx="6620510" cy="1693922"/>
            <wp:effectExtent l="0" t="0" r="0" b="1905"/>
            <wp:docPr id="111102495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24955"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0510" cy="1693922"/>
                    </a:xfrm>
                    <a:prstGeom prst="rect">
                      <a:avLst/>
                    </a:prstGeom>
                  </pic:spPr>
                </pic:pic>
              </a:graphicData>
            </a:graphic>
          </wp:inline>
        </w:drawing>
      </w:r>
    </w:p>
    <w:p w14:paraId="539B08B0" w14:textId="41164477" w:rsidR="006F35F9" w:rsidRDefault="006F35F9"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692BC771" w14:textId="77777777" w:rsidR="00CA370D" w:rsidRPr="00C85EC1" w:rsidRDefault="00CA370D" w:rsidP="00C85EC1">
      <w:pPr>
        <w:pStyle w:val="Heading1"/>
        <w:jc w:val="left"/>
        <w:rPr>
          <w:rFonts w:ascii="Arial Black" w:hAnsi="Arial Black" w:cs="Arial"/>
          <w:sz w:val="28"/>
          <w:szCs w:val="28"/>
        </w:rPr>
      </w:pPr>
      <w:r w:rsidRPr="00C85EC1">
        <w:rPr>
          <w:rFonts w:ascii="Arial Black" w:hAnsi="Arial Black" w:cs="Arial"/>
          <w:sz w:val="28"/>
          <w:szCs w:val="28"/>
        </w:rPr>
        <w:t>MHDL Update</w:t>
      </w:r>
    </w:p>
    <w:p w14:paraId="4F8F3A54" w14:textId="77777777" w:rsidR="00CA370D" w:rsidRPr="00C60193" w:rsidRDefault="00CA370D" w:rsidP="00CA370D">
      <w:pPr>
        <w:rPr>
          <w:sz w:val="22"/>
          <w:szCs w:val="22"/>
        </w:rPr>
      </w:pPr>
    </w:p>
    <w:p w14:paraId="44BD8128" w14:textId="77777777" w:rsidR="00CA370D" w:rsidRPr="00C963FD" w:rsidRDefault="00CA370D" w:rsidP="00CA370D">
      <w:pPr>
        <w:rPr>
          <w:rFonts w:ascii="Arial" w:hAnsi="Arial" w:cs="Arial"/>
          <w:sz w:val="22"/>
          <w:szCs w:val="22"/>
        </w:rPr>
      </w:pPr>
      <w:r w:rsidRPr="00C963FD">
        <w:rPr>
          <w:rFonts w:ascii="Arial" w:hAnsi="Arial" w:cs="Arial"/>
          <w:sz w:val="22"/>
          <w:szCs w:val="22"/>
        </w:rPr>
        <w:t>The MassHealth Drug List (MHDL) has been updated. What follows is a list of some of the more notable changes. See the MHDL for a complete listing of updates.</w:t>
      </w:r>
    </w:p>
    <w:p w14:paraId="3510B0CD" w14:textId="77777777" w:rsidR="00CA370D" w:rsidRDefault="00CA370D" w:rsidP="00CA370D">
      <w:pPr>
        <w:rPr>
          <w:rFonts w:ascii="Arial" w:hAnsi="Arial" w:cs="Arial"/>
          <w:sz w:val="22"/>
          <w:szCs w:val="22"/>
        </w:rPr>
      </w:pPr>
    </w:p>
    <w:p w14:paraId="5C5B7712" w14:textId="606F62C5" w:rsidR="00CA370D" w:rsidRDefault="00CA370D" w:rsidP="00CA370D">
      <w:pPr>
        <w:rPr>
          <w:rFonts w:ascii="Arial Black" w:hAnsi="Arial Black" w:cs="Arial"/>
        </w:rPr>
      </w:pPr>
      <w:r w:rsidRPr="000D3F1F">
        <w:rPr>
          <w:rFonts w:ascii="Arial Black" w:hAnsi="Arial Black" w:cs="Arial"/>
        </w:rPr>
        <w:t>Additions</w:t>
      </w:r>
    </w:p>
    <w:p w14:paraId="5580D035" w14:textId="355AED5E" w:rsidR="00A620BD" w:rsidRDefault="00A620BD" w:rsidP="00CA370D">
      <w:pPr>
        <w:rPr>
          <w:rFonts w:ascii="Arial Black" w:hAnsi="Arial Black" w:cs="Arial"/>
        </w:rPr>
      </w:pPr>
    </w:p>
    <w:p w14:paraId="7C50F235" w14:textId="25B13210" w:rsidR="00A620BD" w:rsidRPr="00A620BD" w:rsidRDefault="00A620BD" w:rsidP="00CA370D">
      <w:pPr>
        <w:rPr>
          <w:rFonts w:ascii="Arial" w:hAnsi="Arial" w:cs="Arial"/>
          <w:sz w:val="22"/>
          <w:szCs w:val="22"/>
        </w:rPr>
      </w:pPr>
      <w:r>
        <w:rPr>
          <w:rFonts w:ascii="Arial" w:hAnsi="Arial" w:cs="Arial"/>
          <w:sz w:val="22"/>
          <w:szCs w:val="22"/>
        </w:rPr>
        <w:t>Effective June 5, 2023, the following newly marketed drugs have been added to the MassHealth Drug List.</w:t>
      </w:r>
    </w:p>
    <w:p w14:paraId="3BF3DC22" w14:textId="77777777" w:rsidR="00CA370D" w:rsidRPr="000D3F1F" w:rsidRDefault="00CA370D" w:rsidP="00CA370D">
      <w:pPr>
        <w:autoSpaceDE w:val="0"/>
        <w:autoSpaceDN w:val="0"/>
        <w:adjustRightInd w:val="0"/>
        <w:ind w:left="360"/>
        <w:rPr>
          <w:rFonts w:ascii="Arial" w:hAnsi="Arial" w:cs="Arial"/>
          <w:color w:val="000000"/>
          <w:sz w:val="22"/>
          <w:szCs w:val="21"/>
        </w:rPr>
      </w:pPr>
    </w:p>
    <w:p w14:paraId="1550E217"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Auvelity</w:t>
      </w:r>
      <w:proofErr w:type="spellEnd"/>
      <w:r w:rsidRPr="000D3F1F">
        <w:rPr>
          <w:rFonts w:ascii="Arial" w:hAnsi="Arial" w:cs="Arial"/>
          <w:color w:val="000000"/>
          <w:sz w:val="22"/>
          <w:szCs w:val="22"/>
        </w:rPr>
        <w:t xml:space="preserve"> (dextromethorphan/bupropion) – </w:t>
      </w:r>
      <w:r w:rsidRPr="000D3F1F">
        <w:rPr>
          <w:rFonts w:ascii="Arial" w:hAnsi="Arial" w:cs="Arial"/>
          <w:b/>
          <w:bCs/>
          <w:color w:val="000000"/>
          <w:sz w:val="22"/>
          <w:szCs w:val="22"/>
        </w:rPr>
        <w:t>PA</w:t>
      </w:r>
    </w:p>
    <w:p w14:paraId="5AFE48BF"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Basaglar</w:t>
      </w:r>
      <w:proofErr w:type="spellEnd"/>
      <w:r w:rsidRPr="000D3F1F">
        <w:rPr>
          <w:rFonts w:ascii="Arial" w:hAnsi="Arial" w:cs="Arial"/>
          <w:color w:val="000000"/>
          <w:sz w:val="22"/>
          <w:szCs w:val="22"/>
        </w:rPr>
        <w:t xml:space="preserve"> Tempo (insulin glargine) – </w:t>
      </w:r>
      <w:r w:rsidRPr="000D3F1F">
        <w:rPr>
          <w:rFonts w:ascii="Arial" w:hAnsi="Arial" w:cs="Arial"/>
          <w:b/>
          <w:bCs/>
          <w:color w:val="000000"/>
          <w:sz w:val="22"/>
          <w:szCs w:val="22"/>
        </w:rPr>
        <w:t>PA</w:t>
      </w:r>
    </w:p>
    <w:p w14:paraId="6839B0A9"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Byooviz</w:t>
      </w:r>
      <w:proofErr w:type="spellEnd"/>
      <w:r w:rsidRPr="000D3F1F">
        <w:rPr>
          <w:rFonts w:ascii="Arial" w:hAnsi="Arial" w:cs="Arial"/>
          <w:color w:val="000000"/>
          <w:sz w:val="22"/>
          <w:szCs w:val="22"/>
        </w:rPr>
        <w:t xml:space="preserve"> (ranibizumab-</w:t>
      </w:r>
      <w:proofErr w:type="spellStart"/>
      <w:r w:rsidRPr="000D3F1F">
        <w:rPr>
          <w:rFonts w:ascii="Arial" w:hAnsi="Arial" w:cs="Arial"/>
          <w:color w:val="000000"/>
          <w:sz w:val="22"/>
          <w:szCs w:val="22"/>
        </w:rPr>
        <w:t>nuna</w:t>
      </w:r>
      <w:proofErr w:type="spellEnd"/>
      <w:r w:rsidRPr="000D3F1F">
        <w:rPr>
          <w:rFonts w:ascii="Arial" w:hAnsi="Arial" w:cs="Arial"/>
          <w:color w:val="000000"/>
          <w:sz w:val="22"/>
          <w:szCs w:val="22"/>
        </w:rPr>
        <w:t>); MB</w:t>
      </w:r>
    </w:p>
    <w:p w14:paraId="083B251B"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Cimerli</w:t>
      </w:r>
      <w:proofErr w:type="spellEnd"/>
      <w:r w:rsidRPr="000D3F1F">
        <w:rPr>
          <w:rFonts w:ascii="Arial" w:hAnsi="Arial" w:cs="Arial"/>
          <w:color w:val="000000"/>
          <w:sz w:val="22"/>
          <w:szCs w:val="22"/>
        </w:rPr>
        <w:t xml:space="preserve"> (ranibizumab-</w:t>
      </w:r>
      <w:proofErr w:type="spellStart"/>
      <w:r w:rsidRPr="000D3F1F">
        <w:rPr>
          <w:rFonts w:ascii="Arial" w:hAnsi="Arial" w:cs="Arial"/>
          <w:color w:val="000000"/>
          <w:sz w:val="22"/>
          <w:szCs w:val="22"/>
        </w:rPr>
        <w:t>eqrn</w:t>
      </w:r>
      <w:proofErr w:type="spellEnd"/>
      <w:r w:rsidRPr="000D3F1F">
        <w:rPr>
          <w:rFonts w:ascii="Arial" w:hAnsi="Arial" w:cs="Arial"/>
          <w:color w:val="000000"/>
          <w:sz w:val="22"/>
          <w:szCs w:val="22"/>
        </w:rPr>
        <w:t>); MB</w:t>
      </w:r>
    </w:p>
    <w:p w14:paraId="600B2AE3"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Dyanavel</w:t>
      </w:r>
      <w:proofErr w:type="spellEnd"/>
      <w:r w:rsidRPr="000D3F1F">
        <w:rPr>
          <w:rFonts w:ascii="Arial" w:hAnsi="Arial" w:cs="Arial"/>
          <w:color w:val="000000"/>
          <w:sz w:val="22"/>
          <w:szCs w:val="22"/>
        </w:rPr>
        <w:t xml:space="preserve"> XR (amphetamine extended-release chewable tablet) – </w:t>
      </w:r>
      <w:r w:rsidRPr="000D3F1F">
        <w:rPr>
          <w:rFonts w:ascii="Arial" w:hAnsi="Arial" w:cs="Arial"/>
          <w:b/>
          <w:bCs/>
          <w:color w:val="000000"/>
          <w:sz w:val="22"/>
          <w:szCs w:val="22"/>
        </w:rPr>
        <w:t>PA</w:t>
      </w:r>
    </w:p>
    <w:p w14:paraId="27793B81" w14:textId="77777777" w:rsidR="00CA370D" w:rsidRPr="000D3F1F" w:rsidRDefault="00CA370D" w:rsidP="00CA370D">
      <w:pPr>
        <w:numPr>
          <w:ilvl w:val="1"/>
          <w:numId w:val="26"/>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Fylnetra</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pegfilgrastim-pbbk</w:t>
      </w:r>
      <w:proofErr w:type="spellEnd"/>
      <w:r w:rsidRPr="000D3F1F">
        <w:rPr>
          <w:rFonts w:ascii="Arial" w:hAnsi="Arial" w:cs="Arial"/>
          <w:color w:val="000000"/>
          <w:sz w:val="22"/>
          <w:szCs w:val="22"/>
        </w:rPr>
        <w:t xml:space="preserve">) </w:t>
      </w:r>
    </w:p>
    <w:p w14:paraId="70EC930F"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r w:rsidRPr="000D3F1F">
        <w:rPr>
          <w:rFonts w:ascii="Arial" w:hAnsi="Arial" w:cs="Arial"/>
          <w:color w:val="000000"/>
          <w:sz w:val="22"/>
          <w:szCs w:val="22"/>
        </w:rPr>
        <w:t xml:space="preserve">Humalog Tempo (insulin lispro 100 units/mL prefilled syringe) – </w:t>
      </w:r>
      <w:r w:rsidRPr="000D3F1F">
        <w:rPr>
          <w:rFonts w:ascii="Arial" w:hAnsi="Arial" w:cs="Arial"/>
          <w:b/>
          <w:bCs/>
          <w:color w:val="000000"/>
          <w:sz w:val="22"/>
          <w:szCs w:val="22"/>
        </w:rPr>
        <w:t>PA</w:t>
      </w:r>
    </w:p>
    <w:p w14:paraId="3ED2A66D"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Imjudo</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tremelimumab-actl</w:t>
      </w:r>
      <w:proofErr w:type="spellEnd"/>
      <w:r w:rsidRPr="000D3F1F">
        <w:rPr>
          <w:rFonts w:ascii="Arial" w:hAnsi="Arial" w:cs="Arial"/>
          <w:color w:val="000000"/>
          <w:sz w:val="22"/>
          <w:szCs w:val="22"/>
        </w:rPr>
        <w:t>) –</w:t>
      </w:r>
      <w:r w:rsidRPr="000D3F1F">
        <w:rPr>
          <w:rFonts w:ascii="Arial" w:hAnsi="Arial" w:cs="Arial"/>
          <w:b/>
          <w:bCs/>
          <w:color w:val="000000"/>
          <w:sz w:val="22"/>
          <w:szCs w:val="22"/>
        </w:rPr>
        <w:t xml:space="preserve"> PA</w:t>
      </w:r>
      <w:r w:rsidRPr="000D3F1F">
        <w:rPr>
          <w:rFonts w:ascii="Arial" w:hAnsi="Arial" w:cs="Arial"/>
          <w:color w:val="000000"/>
          <w:sz w:val="22"/>
          <w:szCs w:val="22"/>
        </w:rPr>
        <w:t>, MB</w:t>
      </w:r>
    </w:p>
    <w:p w14:paraId="324786BB"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Krazati</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adagrasib</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p>
    <w:p w14:paraId="7D087352"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Lytgobi</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futibatinib</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p>
    <w:p w14:paraId="483D0441"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Lyumjev</w:t>
      </w:r>
      <w:proofErr w:type="spellEnd"/>
      <w:r w:rsidRPr="000D3F1F">
        <w:rPr>
          <w:rFonts w:ascii="Arial" w:hAnsi="Arial" w:cs="Arial"/>
          <w:color w:val="000000"/>
          <w:sz w:val="22"/>
          <w:szCs w:val="22"/>
        </w:rPr>
        <w:t xml:space="preserve"> Tempo (insulin lispro-</w:t>
      </w:r>
      <w:proofErr w:type="spellStart"/>
      <w:r w:rsidRPr="000D3F1F">
        <w:rPr>
          <w:rFonts w:ascii="Arial" w:hAnsi="Arial" w:cs="Arial"/>
          <w:color w:val="000000"/>
          <w:sz w:val="22"/>
          <w:szCs w:val="22"/>
        </w:rPr>
        <w:t>aabc</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p>
    <w:p w14:paraId="67D90801"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Noxafil</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posaconazole</w:t>
      </w:r>
      <w:proofErr w:type="spellEnd"/>
      <w:r w:rsidRPr="000D3F1F">
        <w:rPr>
          <w:rFonts w:ascii="Arial" w:hAnsi="Arial" w:cs="Arial"/>
          <w:color w:val="000000"/>
          <w:sz w:val="22"/>
          <w:szCs w:val="22"/>
        </w:rPr>
        <w:t xml:space="preserve"> powder for oral suspension) – </w:t>
      </w:r>
      <w:r w:rsidRPr="000D3F1F">
        <w:rPr>
          <w:rFonts w:ascii="Arial" w:hAnsi="Arial" w:cs="Arial"/>
          <w:b/>
          <w:bCs/>
          <w:color w:val="000000"/>
          <w:sz w:val="22"/>
          <w:szCs w:val="22"/>
        </w:rPr>
        <w:t>PA</w:t>
      </w:r>
      <w:r w:rsidRPr="000D3F1F">
        <w:rPr>
          <w:rFonts w:ascii="Arial" w:hAnsi="Arial" w:cs="Arial"/>
          <w:color w:val="000000"/>
          <w:sz w:val="22"/>
          <w:szCs w:val="22"/>
        </w:rPr>
        <w:t xml:space="preserve"> </w:t>
      </w:r>
    </w:p>
    <w:p w14:paraId="0C14F8C4"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Orserdu</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elacestrant</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p>
    <w:p w14:paraId="1B9827FC"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Rebyota</w:t>
      </w:r>
      <w:proofErr w:type="spellEnd"/>
      <w:r w:rsidRPr="000D3F1F">
        <w:rPr>
          <w:rFonts w:ascii="Arial" w:hAnsi="Arial" w:cs="Arial"/>
          <w:color w:val="000000"/>
          <w:sz w:val="22"/>
          <w:szCs w:val="22"/>
          <w:vertAlign w:val="superscript"/>
        </w:rPr>
        <w:t xml:space="preserve"> </w:t>
      </w:r>
      <w:r w:rsidRPr="000D3F1F">
        <w:rPr>
          <w:rFonts w:ascii="Arial" w:hAnsi="Arial" w:cs="Arial"/>
          <w:color w:val="000000"/>
          <w:sz w:val="22"/>
          <w:szCs w:val="22"/>
        </w:rPr>
        <w:t>(fecal microbiota, live-</w:t>
      </w:r>
      <w:proofErr w:type="spellStart"/>
      <w:r w:rsidRPr="000D3F1F">
        <w:rPr>
          <w:rFonts w:ascii="Arial" w:hAnsi="Arial" w:cs="Arial"/>
          <w:color w:val="000000"/>
          <w:sz w:val="22"/>
          <w:szCs w:val="22"/>
        </w:rPr>
        <w:t>jslm</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p>
    <w:p w14:paraId="3742AB8A"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Relexxi</w:t>
      </w:r>
      <w:proofErr w:type="spellEnd"/>
      <w:r w:rsidRPr="000D3F1F">
        <w:rPr>
          <w:rFonts w:ascii="Arial" w:hAnsi="Arial" w:cs="Arial"/>
          <w:color w:val="000000"/>
          <w:sz w:val="22"/>
          <w:szCs w:val="22"/>
        </w:rPr>
        <w:t xml:space="preserve"> (methylphenidate extended-release) – </w:t>
      </w:r>
      <w:r w:rsidRPr="000D3F1F">
        <w:rPr>
          <w:rFonts w:ascii="Arial" w:hAnsi="Arial" w:cs="Arial"/>
          <w:b/>
          <w:bCs/>
          <w:color w:val="000000"/>
          <w:sz w:val="22"/>
          <w:szCs w:val="22"/>
        </w:rPr>
        <w:t>PA</w:t>
      </w:r>
    </w:p>
    <w:p w14:paraId="13BBA16E" w14:textId="77777777" w:rsidR="00CA370D" w:rsidRPr="000D3F1F" w:rsidRDefault="00CA370D" w:rsidP="00CA370D">
      <w:pPr>
        <w:numPr>
          <w:ilvl w:val="1"/>
          <w:numId w:val="26"/>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Rolvedon</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eflapegrastim-xnst</w:t>
      </w:r>
      <w:proofErr w:type="spellEnd"/>
      <w:r w:rsidRPr="000D3F1F">
        <w:rPr>
          <w:rFonts w:ascii="Arial" w:hAnsi="Arial" w:cs="Arial"/>
          <w:color w:val="000000"/>
          <w:sz w:val="22"/>
          <w:szCs w:val="22"/>
        </w:rPr>
        <w:t>)</w:t>
      </w:r>
    </w:p>
    <w:p w14:paraId="202CB9B4"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Ryplazim</w:t>
      </w:r>
      <w:proofErr w:type="spellEnd"/>
      <w:r w:rsidRPr="000D3F1F">
        <w:rPr>
          <w:rFonts w:ascii="Arial" w:hAnsi="Arial" w:cs="Arial"/>
          <w:color w:val="000000"/>
          <w:sz w:val="22"/>
          <w:szCs w:val="22"/>
        </w:rPr>
        <w:t xml:space="preserve"> (plasminogen, human-</w:t>
      </w:r>
      <w:proofErr w:type="spellStart"/>
      <w:r w:rsidRPr="000D3F1F">
        <w:rPr>
          <w:rFonts w:ascii="Arial" w:hAnsi="Arial" w:cs="Arial"/>
          <w:color w:val="000000"/>
          <w:sz w:val="22"/>
          <w:szCs w:val="22"/>
        </w:rPr>
        <w:t>tvmh</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r w:rsidRPr="000D3F1F">
        <w:rPr>
          <w:rFonts w:ascii="Arial" w:hAnsi="Arial" w:cs="Arial"/>
          <w:color w:val="000000"/>
          <w:sz w:val="22"/>
          <w:szCs w:val="22"/>
        </w:rPr>
        <w:t xml:space="preserve"> </w:t>
      </w:r>
    </w:p>
    <w:p w14:paraId="6EDCDF77"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Stimufend</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pegfilgrastim-fpgk</w:t>
      </w:r>
      <w:proofErr w:type="spellEnd"/>
      <w:r w:rsidRPr="000D3F1F">
        <w:rPr>
          <w:rFonts w:ascii="Arial" w:hAnsi="Arial" w:cs="Arial"/>
          <w:color w:val="000000"/>
          <w:sz w:val="22"/>
          <w:szCs w:val="22"/>
        </w:rPr>
        <w:t xml:space="preserve">) </w:t>
      </w:r>
    </w:p>
    <w:p w14:paraId="2A75D776"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Tadliq</w:t>
      </w:r>
      <w:proofErr w:type="spellEnd"/>
      <w:r w:rsidRPr="000D3F1F">
        <w:rPr>
          <w:rFonts w:ascii="Arial" w:hAnsi="Arial" w:cs="Arial"/>
          <w:color w:val="000000"/>
          <w:sz w:val="22"/>
          <w:szCs w:val="22"/>
        </w:rPr>
        <w:t xml:space="preserve"> (tadalafil suspension) – </w:t>
      </w:r>
      <w:r w:rsidRPr="000D3F1F">
        <w:rPr>
          <w:rFonts w:ascii="Arial" w:hAnsi="Arial" w:cs="Arial"/>
          <w:b/>
          <w:bCs/>
          <w:color w:val="000000"/>
          <w:sz w:val="22"/>
          <w:szCs w:val="22"/>
        </w:rPr>
        <w:t>PA</w:t>
      </w:r>
      <w:r w:rsidRPr="000D3F1F">
        <w:rPr>
          <w:rFonts w:ascii="Arial" w:hAnsi="Arial" w:cs="Arial"/>
          <w:color w:val="000000"/>
          <w:sz w:val="22"/>
          <w:szCs w:val="22"/>
        </w:rPr>
        <w:t xml:space="preserve"> </w:t>
      </w:r>
    </w:p>
    <w:p w14:paraId="05D78DD5"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Tecvayli</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teclistamab-cqyv</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r w:rsidRPr="000D3F1F">
        <w:rPr>
          <w:rFonts w:ascii="Arial" w:hAnsi="Arial" w:cs="Arial"/>
          <w:color w:val="000000"/>
          <w:sz w:val="22"/>
          <w:szCs w:val="22"/>
        </w:rPr>
        <w:t>; MB</w:t>
      </w:r>
    </w:p>
    <w:p w14:paraId="3968CE31"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Tzield</w:t>
      </w:r>
      <w:proofErr w:type="spellEnd"/>
      <w:r w:rsidRPr="000D3F1F">
        <w:rPr>
          <w:rFonts w:ascii="Arial" w:hAnsi="Arial" w:cs="Arial"/>
          <w:color w:val="000000"/>
          <w:sz w:val="22"/>
          <w:szCs w:val="22"/>
        </w:rPr>
        <w:t xml:space="preserve"> (teplizumab-</w:t>
      </w:r>
      <w:proofErr w:type="spellStart"/>
      <w:r w:rsidRPr="000D3F1F">
        <w:rPr>
          <w:rFonts w:ascii="Arial" w:hAnsi="Arial" w:cs="Arial"/>
          <w:color w:val="000000"/>
          <w:sz w:val="22"/>
          <w:szCs w:val="22"/>
        </w:rPr>
        <w:t>mzwv</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r w:rsidRPr="000D3F1F">
        <w:rPr>
          <w:rFonts w:ascii="Arial" w:hAnsi="Arial" w:cs="Arial"/>
          <w:color w:val="000000"/>
          <w:sz w:val="22"/>
          <w:szCs w:val="22"/>
        </w:rPr>
        <w:t xml:space="preserve"> </w:t>
      </w:r>
    </w:p>
    <w:p w14:paraId="04BAEEEB"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Vegzelma</w:t>
      </w:r>
      <w:proofErr w:type="spellEnd"/>
      <w:r w:rsidRPr="000D3F1F">
        <w:rPr>
          <w:rFonts w:ascii="Arial" w:hAnsi="Arial" w:cs="Arial"/>
          <w:color w:val="000000"/>
          <w:sz w:val="22"/>
          <w:szCs w:val="22"/>
        </w:rPr>
        <w:t xml:space="preserve"> (bevacizumab-</w:t>
      </w:r>
      <w:proofErr w:type="spellStart"/>
      <w:r w:rsidRPr="000D3F1F">
        <w:rPr>
          <w:rFonts w:ascii="Arial" w:hAnsi="Arial" w:cs="Arial"/>
          <w:color w:val="000000"/>
          <w:sz w:val="22"/>
          <w:szCs w:val="22"/>
        </w:rPr>
        <w:t>adcd</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PA</w:t>
      </w:r>
      <w:r w:rsidRPr="000D3F1F">
        <w:rPr>
          <w:rFonts w:ascii="Arial" w:hAnsi="Arial" w:cs="Arial"/>
          <w:color w:val="000000"/>
          <w:sz w:val="22"/>
          <w:szCs w:val="22"/>
        </w:rPr>
        <w:t>; MB</w:t>
      </w:r>
    </w:p>
    <w:p w14:paraId="126C5AEE" w14:textId="77777777" w:rsidR="00CA370D" w:rsidRPr="000D3F1F" w:rsidRDefault="00CA370D" w:rsidP="00CA370D">
      <w:pPr>
        <w:numPr>
          <w:ilvl w:val="0"/>
          <w:numId w:val="2"/>
        </w:numPr>
        <w:autoSpaceDE w:val="0"/>
        <w:autoSpaceDN w:val="0"/>
        <w:adjustRightInd w:val="0"/>
        <w:spacing w:line="276" w:lineRule="auto"/>
        <w:ind w:left="360"/>
        <w:rPr>
          <w:rFonts w:ascii="Arial" w:hAnsi="Arial" w:cs="Arial"/>
          <w:color w:val="000000"/>
          <w:sz w:val="22"/>
          <w:szCs w:val="22"/>
        </w:rPr>
      </w:pPr>
      <w:proofErr w:type="spellStart"/>
      <w:r w:rsidRPr="000D3F1F">
        <w:rPr>
          <w:rFonts w:ascii="Arial" w:hAnsi="Arial" w:cs="Arial"/>
          <w:color w:val="000000"/>
          <w:sz w:val="22"/>
          <w:szCs w:val="22"/>
        </w:rPr>
        <w:t>Xelstrym</w:t>
      </w:r>
      <w:proofErr w:type="spellEnd"/>
      <w:r w:rsidRPr="000D3F1F">
        <w:rPr>
          <w:rFonts w:ascii="Arial" w:hAnsi="Arial" w:cs="Arial"/>
          <w:color w:val="000000"/>
          <w:sz w:val="22"/>
          <w:szCs w:val="22"/>
        </w:rPr>
        <w:t xml:space="preserve"> (dextroamphetamine transdermal) – </w:t>
      </w:r>
      <w:r w:rsidRPr="000D3F1F">
        <w:rPr>
          <w:rFonts w:ascii="Arial" w:hAnsi="Arial" w:cs="Arial"/>
          <w:b/>
          <w:bCs/>
          <w:color w:val="000000"/>
          <w:sz w:val="22"/>
          <w:szCs w:val="22"/>
        </w:rPr>
        <w:t>PA</w:t>
      </w:r>
    </w:p>
    <w:p w14:paraId="61E920B8" w14:textId="77777777" w:rsidR="00CA370D" w:rsidRPr="000D3F1F" w:rsidRDefault="00CA370D" w:rsidP="00CA370D">
      <w:pPr>
        <w:numPr>
          <w:ilvl w:val="0"/>
          <w:numId w:val="2"/>
        </w:numPr>
        <w:tabs>
          <w:tab w:val="left" w:pos="360"/>
          <w:tab w:val="left" w:pos="450"/>
        </w:tabs>
        <w:autoSpaceDE w:val="0"/>
        <w:autoSpaceDN w:val="0"/>
        <w:adjustRightInd w:val="0"/>
        <w:spacing w:line="276" w:lineRule="auto"/>
        <w:ind w:left="0" w:firstLine="0"/>
        <w:rPr>
          <w:rFonts w:ascii="Arial" w:hAnsi="Arial" w:cs="Arial"/>
          <w:color w:val="000000"/>
          <w:sz w:val="22"/>
          <w:szCs w:val="22"/>
        </w:rPr>
      </w:pPr>
      <w:bookmarkStart w:id="1" w:name="_Hlk86933353"/>
      <w:proofErr w:type="spellStart"/>
      <w:r w:rsidRPr="000D3F1F">
        <w:rPr>
          <w:rFonts w:ascii="Arial" w:hAnsi="Arial" w:cs="Arial"/>
          <w:color w:val="000000"/>
          <w:sz w:val="22"/>
          <w:szCs w:val="22"/>
        </w:rPr>
        <w:t>Xenpozyme</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olipudase</w:t>
      </w:r>
      <w:proofErr w:type="spellEnd"/>
      <w:r w:rsidRPr="000D3F1F">
        <w:rPr>
          <w:rFonts w:ascii="Arial" w:hAnsi="Arial" w:cs="Arial"/>
          <w:color w:val="000000"/>
          <w:sz w:val="22"/>
          <w:szCs w:val="22"/>
        </w:rPr>
        <w:t xml:space="preserve"> alfa-</w:t>
      </w:r>
      <w:proofErr w:type="spellStart"/>
      <w:r w:rsidRPr="000D3F1F">
        <w:rPr>
          <w:rFonts w:ascii="Arial" w:hAnsi="Arial" w:cs="Arial"/>
          <w:color w:val="000000"/>
          <w:sz w:val="22"/>
          <w:szCs w:val="22"/>
        </w:rPr>
        <w:t>rpcp</w:t>
      </w:r>
      <w:proofErr w:type="spellEnd"/>
      <w:r w:rsidRPr="000D3F1F">
        <w:rPr>
          <w:rFonts w:ascii="Arial" w:hAnsi="Arial" w:cs="Arial"/>
          <w:color w:val="000000"/>
          <w:sz w:val="22"/>
          <w:szCs w:val="22"/>
        </w:rPr>
        <w:t xml:space="preserve">) – </w:t>
      </w:r>
      <w:r w:rsidRPr="000D3F1F">
        <w:rPr>
          <w:rFonts w:ascii="Arial" w:hAnsi="Arial" w:cs="Arial"/>
          <w:b/>
          <w:bCs/>
          <w:color w:val="000000"/>
          <w:sz w:val="22"/>
          <w:szCs w:val="22"/>
        </w:rPr>
        <w:t xml:space="preserve">PA; </w:t>
      </w:r>
      <w:r w:rsidRPr="000D3F1F">
        <w:rPr>
          <w:rFonts w:ascii="Arial" w:hAnsi="Arial" w:cs="Arial"/>
          <w:color w:val="000000"/>
          <w:sz w:val="22"/>
          <w:szCs w:val="22"/>
        </w:rPr>
        <w:t>MB</w:t>
      </w:r>
    </w:p>
    <w:p w14:paraId="47991EE4" w14:textId="77777777" w:rsidR="00CA370D" w:rsidRPr="000D3F1F" w:rsidRDefault="00CA370D" w:rsidP="00CA370D">
      <w:pPr>
        <w:numPr>
          <w:ilvl w:val="0"/>
          <w:numId w:val="2"/>
        </w:numPr>
        <w:tabs>
          <w:tab w:val="left" w:pos="360"/>
          <w:tab w:val="left" w:pos="630"/>
        </w:tabs>
        <w:autoSpaceDE w:val="0"/>
        <w:autoSpaceDN w:val="0"/>
        <w:adjustRightInd w:val="0"/>
        <w:spacing w:line="276" w:lineRule="auto"/>
        <w:ind w:left="0" w:firstLine="0"/>
        <w:rPr>
          <w:rFonts w:ascii="Arial" w:hAnsi="Arial" w:cs="Arial"/>
          <w:color w:val="000000"/>
          <w:sz w:val="22"/>
          <w:szCs w:val="22"/>
        </w:rPr>
      </w:pPr>
      <w:proofErr w:type="spellStart"/>
      <w:r w:rsidRPr="000D3F1F">
        <w:rPr>
          <w:rFonts w:ascii="Arial" w:hAnsi="Arial" w:cs="Arial"/>
          <w:color w:val="000000"/>
          <w:sz w:val="22"/>
          <w:szCs w:val="22"/>
        </w:rPr>
        <w:t>Zonisade</w:t>
      </w:r>
      <w:proofErr w:type="spellEnd"/>
      <w:r w:rsidRPr="000D3F1F">
        <w:rPr>
          <w:rFonts w:ascii="Arial" w:hAnsi="Arial" w:cs="Arial"/>
          <w:color w:val="000000"/>
          <w:sz w:val="22"/>
          <w:szCs w:val="22"/>
        </w:rPr>
        <w:t xml:space="preserve"> (</w:t>
      </w:r>
      <w:proofErr w:type="spellStart"/>
      <w:r w:rsidRPr="000D3F1F">
        <w:rPr>
          <w:rFonts w:ascii="Arial" w:hAnsi="Arial" w:cs="Arial"/>
          <w:color w:val="000000"/>
          <w:sz w:val="22"/>
          <w:szCs w:val="22"/>
        </w:rPr>
        <w:t>zonisamide</w:t>
      </w:r>
      <w:proofErr w:type="spellEnd"/>
      <w:r w:rsidRPr="000D3F1F">
        <w:rPr>
          <w:rFonts w:ascii="Arial" w:hAnsi="Arial" w:cs="Arial"/>
          <w:color w:val="000000"/>
          <w:sz w:val="22"/>
          <w:szCs w:val="22"/>
        </w:rPr>
        <w:t xml:space="preserve"> suspension)</w:t>
      </w:r>
      <w:r w:rsidRPr="000D3F1F">
        <w:rPr>
          <w:rFonts w:ascii="Arial" w:hAnsi="Arial" w:cs="Arial"/>
          <w:color w:val="000000"/>
          <w:sz w:val="22"/>
          <w:szCs w:val="22"/>
          <w:vertAlign w:val="superscript"/>
        </w:rPr>
        <w:t xml:space="preserve"> </w:t>
      </w:r>
      <w:r w:rsidRPr="000D3F1F">
        <w:rPr>
          <w:rFonts w:ascii="Arial" w:hAnsi="Arial" w:cs="Arial"/>
          <w:color w:val="000000"/>
          <w:sz w:val="22"/>
          <w:szCs w:val="22"/>
        </w:rPr>
        <w:t xml:space="preserve">– </w:t>
      </w:r>
      <w:r w:rsidRPr="000D3F1F">
        <w:rPr>
          <w:rFonts w:ascii="Arial" w:hAnsi="Arial" w:cs="Arial"/>
          <w:b/>
          <w:color w:val="000000"/>
          <w:sz w:val="22"/>
          <w:szCs w:val="22"/>
        </w:rPr>
        <w:t>PA</w:t>
      </w:r>
    </w:p>
    <w:p w14:paraId="5842E7D2" w14:textId="77777777" w:rsidR="00CA370D" w:rsidRPr="000D3F1F" w:rsidRDefault="00CA370D" w:rsidP="00CA370D">
      <w:pPr>
        <w:numPr>
          <w:ilvl w:val="0"/>
          <w:numId w:val="2"/>
        </w:numPr>
        <w:tabs>
          <w:tab w:val="left" w:pos="360"/>
        </w:tabs>
        <w:autoSpaceDE w:val="0"/>
        <w:autoSpaceDN w:val="0"/>
        <w:adjustRightInd w:val="0"/>
        <w:spacing w:line="276" w:lineRule="auto"/>
        <w:ind w:left="0" w:firstLine="0"/>
        <w:rPr>
          <w:rFonts w:ascii="Arial" w:hAnsi="Arial" w:cs="Arial"/>
          <w:bCs/>
          <w:color w:val="000000"/>
          <w:sz w:val="22"/>
          <w:szCs w:val="22"/>
        </w:rPr>
      </w:pPr>
      <w:proofErr w:type="spellStart"/>
      <w:r w:rsidRPr="000D3F1F">
        <w:rPr>
          <w:rFonts w:ascii="Arial" w:hAnsi="Arial" w:cs="Arial"/>
          <w:bCs/>
          <w:color w:val="000000"/>
          <w:sz w:val="22"/>
          <w:szCs w:val="22"/>
        </w:rPr>
        <w:t>Ztalmy</w:t>
      </w:r>
      <w:proofErr w:type="spellEnd"/>
      <w:r w:rsidRPr="000D3F1F">
        <w:rPr>
          <w:rFonts w:ascii="Arial" w:hAnsi="Arial" w:cs="Arial"/>
          <w:bCs/>
          <w:color w:val="000000"/>
          <w:sz w:val="22"/>
          <w:szCs w:val="22"/>
        </w:rPr>
        <w:t xml:space="preserve"> (</w:t>
      </w:r>
      <w:proofErr w:type="spellStart"/>
      <w:r w:rsidRPr="000D3F1F">
        <w:rPr>
          <w:rFonts w:ascii="Arial" w:hAnsi="Arial" w:cs="Arial"/>
          <w:bCs/>
          <w:color w:val="000000"/>
          <w:sz w:val="22"/>
          <w:szCs w:val="22"/>
        </w:rPr>
        <w:t>ganaxolone</w:t>
      </w:r>
      <w:proofErr w:type="spellEnd"/>
      <w:r w:rsidRPr="000D3F1F">
        <w:rPr>
          <w:rFonts w:ascii="Arial" w:hAnsi="Arial" w:cs="Arial"/>
          <w:bCs/>
          <w:color w:val="000000"/>
          <w:sz w:val="22"/>
          <w:szCs w:val="22"/>
        </w:rPr>
        <w:t xml:space="preserve">) – </w:t>
      </w:r>
      <w:r w:rsidRPr="000D3F1F">
        <w:rPr>
          <w:rFonts w:ascii="Arial" w:hAnsi="Arial" w:cs="Arial"/>
          <w:b/>
          <w:color w:val="000000"/>
          <w:sz w:val="22"/>
          <w:szCs w:val="22"/>
        </w:rPr>
        <w:t>PA</w:t>
      </w:r>
      <w:r w:rsidRPr="000D3F1F">
        <w:rPr>
          <w:rFonts w:ascii="Arial" w:hAnsi="Arial" w:cs="Arial"/>
          <w:bCs/>
          <w:color w:val="000000"/>
          <w:sz w:val="22"/>
          <w:szCs w:val="22"/>
        </w:rPr>
        <w:t xml:space="preserve"> </w:t>
      </w:r>
    </w:p>
    <w:p w14:paraId="19C438B6" w14:textId="77777777" w:rsidR="00CA370D" w:rsidRDefault="00CA370D" w:rsidP="00CA370D">
      <w:pPr>
        <w:numPr>
          <w:ilvl w:val="0"/>
          <w:numId w:val="2"/>
        </w:numPr>
        <w:tabs>
          <w:tab w:val="left" w:pos="360"/>
        </w:tabs>
        <w:autoSpaceDE w:val="0"/>
        <w:autoSpaceDN w:val="0"/>
        <w:adjustRightInd w:val="0"/>
        <w:spacing w:line="276" w:lineRule="auto"/>
        <w:ind w:left="360"/>
        <w:rPr>
          <w:rFonts w:ascii="Arial" w:hAnsi="Arial" w:cs="Arial"/>
          <w:bCs/>
          <w:color w:val="000000"/>
          <w:sz w:val="22"/>
          <w:szCs w:val="22"/>
        </w:rPr>
      </w:pPr>
      <w:r w:rsidRPr="000D3F1F">
        <w:rPr>
          <w:rFonts w:ascii="Arial" w:hAnsi="Arial" w:cs="Arial"/>
          <w:bCs/>
          <w:color w:val="000000"/>
          <w:sz w:val="22"/>
          <w:szCs w:val="22"/>
        </w:rPr>
        <w:t>Zynteglo (</w:t>
      </w:r>
      <w:proofErr w:type="spellStart"/>
      <w:r w:rsidRPr="000D3F1F">
        <w:rPr>
          <w:rFonts w:ascii="Arial" w:hAnsi="Arial" w:cs="Arial"/>
          <w:bCs/>
          <w:color w:val="000000"/>
          <w:sz w:val="22"/>
          <w:szCs w:val="22"/>
        </w:rPr>
        <w:t>betibeglogene</w:t>
      </w:r>
      <w:proofErr w:type="spellEnd"/>
      <w:r w:rsidRPr="000D3F1F">
        <w:rPr>
          <w:rFonts w:ascii="Arial" w:hAnsi="Arial" w:cs="Arial"/>
          <w:bCs/>
          <w:color w:val="000000"/>
          <w:sz w:val="22"/>
          <w:szCs w:val="22"/>
        </w:rPr>
        <w:t xml:space="preserve"> </w:t>
      </w:r>
      <w:proofErr w:type="spellStart"/>
      <w:r w:rsidRPr="000D3F1F">
        <w:rPr>
          <w:rFonts w:ascii="Arial" w:hAnsi="Arial" w:cs="Arial"/>
          <w:bCs/>
          <w:color w:val="000000"/>
          <w:sz w:val="22"/>
          <w:szCs w:val="22"/>
        </w:rPr>
        <w:t>autotemcel</w:t>
      </w:r>
      <w:proofErr w:type="spellEnd"/>
      <w:r w:rsidRPr="000D3F1F">
        <w:rPr>
          <w:rFonts w:ascii="Arial" w:hAnsi="Arial" w:cs="Arial"/>
          <w:bCs/>
          <w:color w:val="000000"/>
          <w:sz w:val="22"/>
          <w:szCs w:val="22"/>
        </w:rPr>
        <w:t xml:space="preserve">) </w:t>
      </w:r>
      <w:r w:rsidRPr="000D3F1F">
        <w:rPr>
          <w:rFonts w:ascii="Arial" w:hAnsi="Arial" w:cs="Arial"/>
          <w:bCs/>
          <w:color w:val="000000"/>
          <w:sz w:val="22"/>
          <w:szCs w:val="22"/>
          <w:vertAlign w:val="superscript"/>
        </w:rPr>
        <w:t>PD</w:t>
      </w:r>
      <w:r w:rsidRPr="000D3F1F">
        <w:rPr>
          <w:rFonts w:ascii="Arial" w:hAnsi="Arial" w:cs="Arial"/>
          <w:bCs/>
          <w:color w:val="000000"/>
          <w:sz w:val="22"/>
          <w:szCs w:val="22"/>
        </w:rPr>
        <w:t xml:space="preserve"> – </w:t>
      </w:r>
      <w:r w:rsidRPr="000D3F1F">
        <w:rPr>
          <w:rFonts w:ascii="Arial" w:hAnsi="Arial" w:cs="Arial"/>
          <w:b/>
          <w:color w:val="000000"/>
          <w:sz w:val="22"/>
          <w:szCs w:val="22"/>
        </w:rPr>
        <w:t>PA</w:t>
      </w:r>
      <w:r w:rsidRPr="000D3F1F">
        <w:rPr>
          <w:rFonts w:ascii="Arial" w:hAnsi="Arial" w:cs="Arial"/>
          <w:bCs/>
          <w:color w:val="000000"/>
          <w:sz w:val="22"/>
          <w:szCs w:val="22"/>
        </w:rPr>
        <w:t>; CO, MB</w:t>
      </w:r>
    </w:p>
    <w:p w14:paraId="17C0544B" w14:textId="77777777" w:rsidR="00CA370D" w:rsidRDefault="00CA370D" w:rsidP="00CA370D">
      <w:pPr>
        <w:autoSpaceDE w:val="0"/>
        <w:autoSpaceDN w:val="0"/>
        <w:adjustRightInd w:val="0"/>
        <w:spacing w:line="276" w:lineRule="auto"/>
        <w:rPr>
          <w:rFonts w:ascii="Arial" w:hAnsi="Arial" w:cs="Arial"/>
          <w:bCs/>
          <w:color w:val="000000"/>
          <w:sz w:val="22"/>
          <w:szCs w:val="22"/>
        </w:rPr>
      </w:pPr>
    </w:p>
    <w:p w14:paraId="486E813C" w14:textId="77777777" w:rsidR="00CA370D" w:rsidRPr="000D3F1F" w:rsidRDefault="00CA370D" w:rsidP="00CA370D">
      <w:pPr>
        <w:pStyle w:val="Heading1"/>
        <w:spacing w:line="276" w:lineRule="auto"/>
        <w:rPr>
          <w:rFonts w:ascii="Arial Black" w:hAnsi="Arial Black"/>
          <w:sz w:val="24"/>
        </w:rPr>
      </w:pPr>
      <w:r w:rsidRPr="000D3F1F">
        <w:rPr>
          <w:rFonts w:ascii="Arial Black" w:hAnsi="Arial Black"/>
          <w:sz w:val="24"/>
        </w:rPr>
        <w:t>Change in Prior-Authorization Status</w:t>
      </w:r>
    </w:p>
    <w:p w14:paraId="5260B948" w14:textId="77777777" w:rsidR="00CA370D" w:rsidRPr="000D3F1F" w:rsidRDefault="00CA370D" w:rsidP="00CA370D">
      <w:pPr>
        <w:autoSpaceDE w:val="0"/>
        <w:autoSpaceDN w:val="0"/>
        <w:adjustRightInd w:val="0"/>
        <w:spacing w:line="276" w:lineRule="auto"/>
        <w:rPr>
          <w:rFonts w:ascii="Arial" w:hAnsi="Arial" w:cs="Arial"/>
          <w:bCs/>
          <w:color w:val="000000"/>
          <w:sz w:val="22"/>
          <w:szCs w:val="22"/>
        </w:rPr>
      </w:pPr>
    </w:p>
    <w:p w14:paraId="63B0DADE" w14:textId="77777777" w:rsidR="00CA370D" w:rsidRPr="005C7548" w:rsidRDefault="00CA370D" w:rsidP="00C85EC1">
      <w:pPr>
        <w:pStyle w:val="Default"/>
        <w:numPr>
          <w:ilvl w:val="0"/>
          <w:numId w:val="4"/>
        </w:numPr>
        <w:spacing w:line="276" w:lineRule="auto"/>
        <w:ind w:hanging="270"/>
        <w:rPr>
          <w:rFonts w:ascii="Arial" w:hAnsi="Arial" w:cs="Arial"/>
          <w:sz w:val="22"/>
          <w:szCs w:val="22"/>
        </w:rPr>
      </w:pPr>
      <w:bookmarkStart w:id="2" w:name="_Hlk30086979"/>
      <w:bookmarkEnd w:id="1"/>
      <w:r w:rsidRPr="005C7548">
        <w:rPr>
          <w:rFonts w:ascii="Arial" w:hAnsi="Arial" w:cs="Arial"/>
          <w:sz w:val="22"/>
          <w:szCs w:val="22"/>
        </w:rPr>
        <w:t xml:space="preserve">Effective </w:t>
      </w:r>
      <w:r>
        <w:rPr>
          <w:rFonts w:ascii="Arial" w:hAnsi="Arial" w:cs="Arial"/>
          <w:sz w:val="22"/>
          <w:szCs w:val="22"/>
        </w:rPr>
        <w:t>June 5</w:t>
      </w:r>
      <w:r w:rsidRPr="005C7548">
        <w:rPr>
          <w:rFonts w:ascii="Arial" w:hAnsi="Arial" w:cs="Arial"/>
          <w:sz w:val="22"/>
          <w:szCs w:val="22"/>
        </w:rPr>
        <w:t>, 202</w:t>
      </w:r>
      <w:r>
        <w:rPr>
          <w:rFonts w:ascii="Arial" w:hAnsi="Arial" w:cs="Arial"/>
          <w:sz w:val="22"/>
          <w:szCs w:val="22"/>
        </w:rPr>
        <w:t>3</w:t>
      </w:r>
      <w:r w:rsidRPr="005C7548">
        <w:rPr>
          <w:rFonts w:ascii="Arial" w:hAnsi="Arial" w:cs="Arial"/>
          <w:sz w:val="22"/>
          <w:szCs w:val="22"/>
        </w:rPr>
        <w:t xml:space="preserve">, the following antidepressant will require </w:t>
      </w:r>
      <w:r w:rsidRPr="005C7548">
        <w:rPr>
          <w:rFonts w:ascii="Arial" w:hAnsi="Arial" w:cs="Arial"/>
          <w:color w:val="auto"/>
          <w:sz w:val="22"/>
          <w:szCs w:val="22"/>
        </w:rPr>
        <w:t>prior authorization</w:t>
      </w:r>
      <w:r>
        <w:rPr>
          <w:rFonts w:ascii="Arial" w:hAnsi="Arial" w:cs="Arial"/>
          <w:color w:val="auto"/>
          <w:sz w:val="22"/>
          <w:szCs w:val="22"/>
        </w:rPr>
        <w:t xml:space="preserve"> (PA)</w:t>
      </w:r>
      <w:r w:rsidRPr="005C7548">
        <w:rPr>
          <w:rFonts w:ascii="Arial" w:hAnsi="Arial" w:cs="Arial"/>
          <w:sz w:val="22"/>
          <w:szCs w:val="22"/>
        </w:rPr>
        <w:t>.</w:t>
      </w:r>
      <w:r w:rsidRPr="005C7548">
        <w:rPr>
          <w:rFonts w:ascii="Arial" w:hAnsi="Arial" w:cs="Arial"/>
          <w:color w:val="auto"/>
          <w:sz w:val="22"/>
          <w:szCs w:val="22"/>
        </w:rPr>
        <w:t xml:space="preserve"> </w:t>
      </w:r>
    </w:p>
    <w:p w14:paraId="12C95D14" w14:textId="77777777" w:rsidR="00CA370D" w:rsidRPr="005C7548" w:rsidRDefault="00CA370D" w:rsidP="00CA370D">
      <w:pPr>
        <w:pStyle w:val="Default"/>
        <w:numPr>
          <w:ilvl w:val="0"/>
          <w:numId w:val="27"/>
        </w:numPr>
        <w:spacing w:line="276" w:lineRule="auto"/>
        <w:ind w:left="1080"/>
        <w:rPr>
          <w:rFonts w:ascii="Arial" w:hAnsi="Arial" w:cs="Arial"/>
          <w:sz w:val="22"/>
          <w:szCs w:val="22"/>
        </w:rPr>
      </w:pPr>
      <w:r w:rsidRPr="005C7548">
        <w:rPr>
          <w:rFonts w:ascii="Arial" w:hAnsi="Arial" w:cs="Arial"/>
          <w:sz w:val="22"/>
          <w:szCs w:val="22"/>
        </w:rPr>
        <w:t>Fetzima (</w:t>
      </w:r>
      <w:proofErr w:type="spellStart"/>
      <w:r w:rsidRPr="005C7548">
        <w:rPr>
          <w:rFonts w:ascii="Arial" w:hAnsi="Arial" w:cs="Arial"/>
          <w:sz w:val="22"/>
          <w:szCs w:val="22"/>
        </w:rPr>
        <w:t>levomilnacipran</w:t>
      </w:r>
      <w:proofErr w:type="spellEnd"/>
      <w:r w:rsidRPr="005C7548">
        <w:rPr>
          <w:rFonts w:ascii="Arial" w:hAnsi="Arial" w:cs="Arial"/>
          <w:sz w:val="22"/>
          <w:szCs w:val="22"/>
        </w:rPr>
        <w:t xml:space="preserve">) – </w:t>
      </w:r>
      <w:r w:rsidRPr="005C7548">
        <w:rPr>
          <w:rFonts w:ascii="Arial" w:hAnsi="Arial" w:cs="Arial"/>
          <w:b/>
          <w:bCs/>
          <w:sz w:val="22"/>
          <w:szCs w:val="22"/>
        </w:rPr>
        <w:t xml:space="preserve">PA </w:t>
      </w:r>
    </w:p>
    <w:p w14:paraId="5204875B" w14:textId="77777777" w:rsidR="00CA370D" w:rsidRPr="007F5D77" w:rsidRDefault="00CA370D" w:rsidP="00C85EC1">
      <w:pPr>
        <w:pStyle w:val="Default"/>
        <w:numPr>
          <w:ilvl w:val="0"/>
          <w:numId w:val="4"/>
        </w:numPr>
        <w:tabs>
          <w:tab w:val="left" w:pos="720"/>
        </w:tabs>
        <w:spacing w:line="276" w:lineRule="auto"/>
        <w:ind w:hanging="270"/>
        <w:rPr>
          <w:rFonts w:ascii="Arial" w:hAnsi="Arial" w:cs="Arial"/>
          <w:sz w:val="22"/>
          <w:szCs w:val="22"/>
        </w:rPr>
      </w:pPr>
      <w:r w:rsidRPr="007F5D77">
        <w:rPr>
          <w:rFonts w:ascii="Arial" w:hAnsi="Arial" w:cs="Arial"/>
          <w:sz w:val="22"/>
          <w:szCs w:val="22"/>
        </w:rPr>
        <w:t xml:space="preserve">Effective </w:t>
      </w:r>
      <w:r>
        <w:rPr>
          <w:rFonts w:ascii="Arial" w:hAnsi="Arial" w:cs="Arial"/>
          <w:sz w:val="22"/>
          <w:szCs w:val="22"/>
        </w:rPr>
        <w:t>June 5</w:t>
      </w:r>
      <w:r w:rsidRPr="007F5D77">
        <w:rPr>
          <w:rFonts w:ascii="Arial" w:hAnsi="Arial" w:cs="Arial"/>
          <w:sz w:val="22"/>
          <w:szCs w:val="22"/>
        </w:rPr>
        <w:t xml:space="preserve">, 2023, the following </w:t>
      </w:r>
      <w:r>
        <w:rPr>
          <w:rFonts w:ascii="Arial" w:hAnsi="Arial" w:cs="Arial"/>
          <w:sz w:val="22"/>
          <w:szCs w:val="22"/>
        </w:rPr>
        <w:t>antitubercular</w:t>
      </w:r>
      <w:r w:rsidRPr="007F5D77">
        <w:rPr>
          <w:rFonts w:ascii="Arial" w:hAnsi="Arial" w:cs="Arial"/>
          <w:sz w:val="22"/>
          <w:szCs w:val="22"/>
        </w:rPr>
        <w:t xml:space="preserve"> agent will </w:t>
      </w:r>
      <w:r>
        <w:rPr>
          <w:rFonts w:ascii="Arial" w:hAnsi="Arial" w:cs="Arial"/>
          <w:sz w:val="22"/>
          <w:szCs w:val="22"/>
        </w:rPr>
        <w:t xml:space="preserve">no longer </w:t>
      </w:r>
      <w:r w:rsidRPr="007F5D77">
        <w:rPr>
          <w:rFonts w:ascii="Arial" w:hAnsi="Arial" w:cs="Arial"/>
          <w:sz w:val="22"/>
          <w:szCs w:val="22"/>
        </w:rPr>
        <w:t xml:space="preserve">require </w:t>
      </w:r>
      <w:r>
        <w:rPr>
          <w:rFonts w:ascii="Arial" w:hAnsi="Arial" w:cs="Arial"/>
          <w:color w:val="auto"/>
          <w:sz w:val="22"/>
          <w:szCs w:val="22"/>
        </w:rPr>
        <w:t>PA</w:t>
      </w:r>
      <w:r w:rsidRPr="007F5D77">
        <w:rPr>
          <w:rFonts w:ascii="Arial" w:hAnsi="Arial" w:cs="Arial"/>
          <w:color w:val="auto"/>
          <w:sz w:val="22"/>
          <w:szCs w:val="22"/>
        </w:rPr>
        <w:t>.</w:t>
      </w:r>
    </w:p>
    <w:p w14:paraId="12C985A7" w14:textId="77777777" w:rsidR="00CA370D" w:rsidRPr="007F5D77" w:rsidRDefault="00CA370D" w:rsidP="00CA370D">
      <w:pPr>
        <w:pStyle w:val="Default"/>
        <w:numPr>
          <w:ilvl w:val="1"/>
          <w:numId w:val="4"/>
        </w:numPr>
        <w:spacing w:line="276" w:lineRule="auto"/>
        <w:ind w:left="1080"/>
        <w:rPr>
          <w:rFonts w:ascii="Arial" w:hAnsi="Arial" w:cs="Arial"/>
          <w:sz w:val="22"/>
          <w:szCs w:val="22"/>
        </w:rPr>
      </w:pPr>
      <w:proofErr w:type="spellStart"/>
      <w:r>
        <w:rPr>
          <w:rFonts w:ascii="Arial" w:hAnsi="Arial" w:cs="Arial"/>
          <w:sz w:val="22"/>
          <w:szCs w:val="22"/>
        </w:rPr>
        <w:t>pretomanid</w:t>
      </w:r>
      <w:proofErr w:type="spellEnd"/>
      <w:r>
        <w:rPr>
          <w:rFonts w:ascii="Arial" w:hAnsi="Arial" w:cs="Arial"/>
          <w:sz w:val="22"/>
          <w:szCs w:val="22"/>
        </w:rPr>
        <w:t>; A90</w:t>
      </w:r>
    </w:p>
    <w:p w14:paraId="5819181B" w14:textId="77777777" w:rsidR="00CA370D" w:rsidRPr="00F733C0" w:rsidRDefault="00CA370D" w:rsidP="00CA370D">
      <w:pPr>
        <w:pStyle w:val="Default"/>
        <w:numPr>
          <w:ilvl w:val="0"/>
          <w:numId w:val="4"/>
        </w:numPr>
        <w:spacing w:line="276" w:lineRule="auto"/>
        <w:rPr>
          <w:rFonts w:ascii="Arial" w:hAnsi="Arial" w:cs="Arial"/>
          <w:color w:val="auto"/>
          <w:sz w:val="22"/>
          <w:szCs w:val="22"/>
        </w:rPr>
      </w:pPr>
      <w:r w:rsidRPr="00F733C0">
        <w:rPr>
          <w:rFonts w:ascii="Arial" w:hAnsi="Arial" w:cs="Arial"/>
          <w:sz w:val="22"/>
          <w:szCs w:val="22"/>
        </w:rPr>
        <w:t xml:space="preserve">Effective </w:t>
      </w:r>
      <w:r>
        <w:rPr>
          <w:rFonts w:ascii="Arial" w:hAnsi="Arial" w:cs="Arial"/>
          <w:sz w:val="22"/>
          <w:szCs w:val="22"/>
        </w:rPr>
        <w:t>June 5</w:t>
      </w:r>
      <w:r w:rsidRPr="00F733C0">
        <w:rPr>
          <w:rFonts w:ascii="Arial" w:hAnsi="Arial" w:cs="Arial"/>
          <w:sz w:val="22"/>
          <w:szCs w:val="22"/>
        </w:rPr>
        <w:t xml:space="preserve">, 2023, the following </w:t>
      </w:r>
      <w:r>
        <w:rPr>
          <w:rFonts w:ascii="Arial" w:hAnsi="Arial" w:cs="Arial"/>
          <w:sz w:val="22"/>
          <w:szCs w:val="22"/>
        </w:rPr>
        <w:t>ophthalmic antibiotic</w:t>
      </w:r>
      <w:r w:rsidRPr="00F733C0">
        <w:rPr>
          <w:rFonts w:ascii="Arial" w:hAnsi="Arial" w:cs="Arial"/>
          <w:sz w:val="22"/>
          <w:szCs w:val="22"/>
        </w:rPr>
        <w:t xml:space="preserve"> agents will no longer require </w:t>
      </w:r>
      <w:r>
        <w:rPr>
          <w:rFonts w:ascii="Arial" w:hAnsi="Arial" w:cs="Arial"/>
          <w:sz w:val="22"/>
          <w:szCs w:val="22"/>
        </w:rPr>
        <w:t>PA</w:t>
      </w:r>
      <w:r w:rsidRPr="00F733C0">
        <w:rPr>
          <w:rFonts w:ascii="Arial" w:hAnsi="Arial" w:cs="Arial"/>
          <w:color w:val="auto"/>
          <w:sz w:val="22"/>
          <w:szCs w:val="22"/>
        </w:rPr>
        <w:t>.</w:t>
      </w:r>
    </w:p>
    <w:p w14:paraId="55BEA5BD" w14:textId="77777777" w:rsidR="00CA370D" w:rsidRDefault="00CA370D" w:rsidP="00CA370D">
      <w:pPr>
        <w:pStyle w:val="Default"/>
        <w:numPr>
          <w:ilvl w:val="1"/>
          <w:numId w:val="4"/>
        </w:numPr>
        <w:spacing w:line="276" w:lineRule="auto"/>
        <w:ind w:left="1080"/>
        <w:rPr>
          <w:rFonts w:ascii="Arial" w:hAnsi="Arial" w:cs="Arial"/>
          <w:sz w:val="22"/>
          <w:szCs w:val="22"/>
        </w:rPr>
      </w:pPr>
      <w:proofErr w:type="spellStart"/>
      <w:r w:rsidRPr="00196258">
        <w:rPr>
          <w:rFonts w:ascii="Arial" w:hAnsi="Arial" w:cs="Arial"/>
          <w:sz w:val="22"/>
          <w:szCs w:val="22"/>
        </w:rPr>
        <w:t>Tobradex</w:t>
      </w:r>
      <w:proofErr w:type="spellEnd"/>
      <w:r w:rsidRPr="00196258">
        <w:rPr>
          <w:rFonts w:ascii="Arial" w:hAnsi="Arial" w:cs="Arial"/>
          <w:sz w:val="22"/>
          <w:szCs w:val="22"/>
        </w:rPr>
        <w:t xml:space="preserve"> ST (tobramycin 0.3%/dexamethasone 0.05% ophthalmic suspension)</w:t>
      </w:r>
    </w:p>
    <w:p w14:paraId="0DE92D03" w14:textId="77777777" w:rsidR="00CA370D" w:rsidRDefault="00CA370D" w:rsidP="00CA370D">
      <w:pPr>
        <w:pStyle w:val="Default"/>
        <w:numPr>
          <w:ilvl w:val="1"/>
          <w:numId w:val="4"/>
        </w:numPr>
        <w:spacing w:line="276" w:lineRule="auto"/>
        <w:ind w:left="1080"/>
        <w:rPr>
          <w:rFonts w:ascii="Arial" w:hAnsi="Arial" w:cs="Arial"/>
          <w:sz w:val="22"/>
          <w:szCs w:val="22"/>
        </w:rPr>
      </w:pPr>
      <w:proofErr w:type="spellStart"/>
      <w:r w:rsidRPr="00986904">
        <w:rPr>
          <w:rFonts w:ascii="Arial" w:hAnsi="Arial" w:cs="Arial"/>
          <w:sz w:val="22"/>
          <w:szCs w:val="22"/>
        </w:rPr>
        <w:t>Zylet</w:t>
      </w:r>
      <w:proofErr w:type="spellEnd"/>
      <w:r w:rsidRPr="00986904">
        <w:rPr>
          <w:rFonts w:ascii="Arial" w:hAnsi="Arial" w:cs="Arial"/>
          <w:sz w:val="22"/>
          <w:szCs w:val="22"/>
        </w:rPr>
        <w:t xml:space="preserve"> (tobramycin/loteprednol ophthalmic suspension)</w:t>
      </w:r>
    </w:p>
    <w:p w14:paraId="45708E67" w14:textId="77777777" w:rsidR="00CA370D" w:rsidRPr="00F733C0" w:rsidRDefault="00CA370D" w:rsidP="00CA370D">
      <w:pPr>
        <w:pStyle w:val="Default"/>
        <w:numPr>
          <w:ilvl w:val="1"/>
          <w:numId w:val="4"/>
        </w:numPr>
        <w:spacing w:line="276" w:lineRule="auto"/>
        <w:ind w:left="1080"/>
        <w:rPr>
          <w:rFonts w:ascii="Arial" w:hAnsi="Arial" w:cs="Arial"/>
          <w:sz w:val="22"/>
          <w:szCs w:val="22"/>
        </w:rPr>
      </w:pPr>
      <w:proofErr w:type="spellStart"/>
      <w:r w:rsidRPr="00601070">
        <w:rPr>
          <w:rFonts w:ascii="Arial" w:hAnsi="Arial" w:cs="Arial"/>
          <w:sz w:val="22"/>
          <w:szCs w:val="22"/>
        </w:rPr>
        <w:t>Zymaxid</w:t>
      </w:r>
      <w:proofErr w:type="spellEnd"/>
      <w:r w:rsidRPr="00601070">
        <w:rPr>
          <w:rFonts w:ascii="Arial" w:hAnsi="Arial" w:cs="Arial"/>
          <w:sz w:val="22"/>
          <w:szCs w:val="22"/>
        </w:rPr>
        <w:t xml:space="preserve"> (</w:t>
      </w:r>
      <w:proofErr w:type="spellStart"/>
      <w:r w:rsidRPr="00601070">
        <w:rPr>
          <w:rFonts w:ascii="Arial" w:hAnsi="Arial" w:cs="Arial"/>
          <w:sz w:val="22"/>
          <w:szCs w:val="22"/>
        </w:rPr>
        <w:t>gatifloxacin</w:t>
      </w:r>
      <w:proofErr w:type="spellEnd"/>
      <w:r w:rsidRPr="00601070">
        <w:rPr>
          <w:rFonts w:ascii="Arial" w:hAnsi="Arial" w:cs="Arial"/>
          <w:sz w:val="22"/>
          <w:szCs w:val="22"/>
        </w:rPr>
        <w:t xml:space="preserve"> ophthalmic solution)</w:t>
      </w:r>
      <w:r>
        <w:rPr>
          <w:rFonts w:ascii="Arial" w:hAnsi="Arial" w:cs="Arial"/>
          <w:sz w:val="22"/>
          <w:szCs w:val="22"/>
        </w:rPr>
        <w:t>;</w:t>
      </w:r>
      <w:r w:rsidRPr="00E12697">
        <w:rPr>
          <w:rFonts w:ascii="Arial" w:hAnsi="Arial" w:cs="Arial"/>
          <w:sz w:val="22"/>
          <w:szCs w:val="22"/>
        </w:rPr>
        <w:t xml:space="preserve"> </w:t>
      </w:r>
      <w:r w:rsidRPr="00601070">
        <w:rPr>
          <w:rFonts w:ascii="Arial" w:hAnsi="Arial" w:cs="Arial"/>
          <w:sz w:val="22"/>
          <w:szCs w:val="22"/>
        </w:rPr>
        <w:t>#</w:t>
      </w:r>
    </w:p>
    <w:bookmarkEnd w:id="2"/>
    <w:p w14:paraId="0A13D5BF" w14:textId="77777777" w:rsidR="00CA370D" w:rsidRPr="00905C46" w:rsidRDefault="00CA370D" w:rsidP="00CA370D">
      <w:pPr>
        <w:pStyle w:val="Subtitle"/>
        <w:spacing w:line="240" w:lineRule="auto"/>
        <w:rPr>
          <w:rFonts w:cs="Arial"/>
          <w:b/>
          <w:sz w:val="24"/>
          <w:szCs w:val="24"/>
        </w:rPr>
      </w:pPr>
      <w:r>
        <w:rPr>
          <w:rFonts w:cs="Arial"/>
          <w:b/>
          <w:sz w:val="24"/>
          <w:szCs w:val="24"/>
        </w:rPr>
        <w:t>Change in Coverage Status</w:t>
      </w:r>
    </w:p>
    <w:p w14:paraId="35FBA913" w14:textId="77777777" w:rsidR="00CA370D" w:rsidRDefault="00CA370D" w:rsidP="00CA370D">
      <w:pPr>
        <w:pStyle w:val="Default"/>
        <w:spacing w:line="276" w:lineRule="auto"/>
        <w:rPr>
          <w:rFonts w:ascii="Arial" w:hAnsi="Arial" w:cs="Arial"/>
          <w:color w:val="auto"/>
          <w:sz w:val="22"/>
          <w:szCs w:val="22"/>
        </w:rPr>
      </w:pPr>
      <w:r w:rsidRPr="0018698C">
        <w:rPr>
          <w:rFonts w:ascii="Arial" w:hAnsi="Arial" w:cs="Arial"/>
          <w:sz w:val="22"/>
          <w:szCs w:val="22"/>
        </w:rPr>
        <w:t xml:space="preserve">Effective </w:t>
      </w:r>
      <w:r>
        <w:rPr>
          <w:rFonts w:ascii="Arial" w:hAnsi="Arial" w:cs="Arial"/>
          <w:sz w:val="22"/>
          <w:szCs w:val="22"/>
        </w:rPr>
        <w:t>June 5</w:t>
      </w:r>
      <w:r w:rsidRPr="005C7548">
        <w:rPr>
          <w:rFonts w:ascii="Arial" w:hAnsi="Arial" w:cs="Arial"/>
          <w:sz w:val="22"/>
          <w:szCs w:val="22"/>
        </w:rPr>
        <w:t xml:space="preserve">, </w:t>
      </w:r>
      <w:r w:rsidRPr="0035041D">
        <w:rPr>
          <w:rFonts w:ascii="Arial" w:hAnsi="Arial" w:cs="Arial"/>
          <w:sz w:val="22"/>
          <w:szCs w:val="22"/>
        </w:rPr>
        <w:t>2023</w:t>
      </w:r>
      <w:r w:rsidRPr="0018698C">
        <w:rPr>
          <w:rFonts w:ascii="Arial" w:hAnsi="Arial" w:cs="Arial"/>
          <w:sz w:val="22"/>
          <w:szCs w:val="22"/>
        </w:rPr>
        <w:t xml:space="preserve">, </w:t>
      </w:r>
      <w:r w:rsidRPr="004C1655">
        <w:rPr>
          <w:rFonts w:ascii="Arial" w:hAnsi="Arial" w:cs="Arial"/>
          <w:sz w:val="22"/>
          <w:szCs w:val="22"/>
        </w:rPr>
        <w:t>the following agents will be available through medical billing only and will no longer be available through pharmacy billing</w:t>
      </w:r>
      <w:r w:rsidRPr="0018698C">
        <w:rPr>
          <w:rFonts w:ascii="Arial" w:hAnsi="Arial" w:cs="Arial"/>
          <w:color w:val="auto"/>
          <w:sz w:val="22"/>
          <w:szCs w:val="22"/>
        </w:rPr>
        <w:t>.</w:t>
      </w:r>
    </w:p>
    <w:p w14:paraId="12920995" w14:textId="77777777" w:rsidR="00CA370D" w:rsidRDefault="00CA370D" w:rsidP="00CA370D">
      <w:pPr>
        <w:pStyle w:val="Default"/>
        <w:numPr>
          <w:ilvl w:val="1"/>
          <w:numId w:val="28"/>
        </w:numPr>
        <w:tabs>
          <w:tab w:val="left" w:pos="360"/>
        </w:tabs>
        <w:spacing w:line="276" w:lineRule="auto"/>
        <w:ind w:left="360"/>
        <w:rPr>
          <w:rFonts w:ascii="Arial" w:hAnsi="Arial" w:cs="Arial"/>
          <w:color w:val="auto"/>
          <w:sz w:val="22"/>
          <w:szCs w:val="22"/>
        </w:rPr>
      </w:pPr>
      <w:r>
        <w:rPr>
          <w:rFonts w:ascii="Arial" w:hAnsi="Arial" w:cs="Arial"/>
          <w:color w:val="auto"/>
          <w:sz w:val="22"/>
          <w:szCs w:val="22"/>
        </w:rPr>
        <w:t>d</w:t>
      </w:r>
      <w:r w:rsidRPr="00BC1078">
        <w:rPr>
          <w:rFonts w:ascii="Arial" w:hAnsi="Arial" w:cs="Arial"/>
          <w:color w:val="auto"/>
          <w:sz w:val="22"/>
          <w:szCs w:val="22"/>
        </w:rPr>
        <w:t>aunorubicin</w:t>
      </w:r>
      <w:r>
        <w:rPr>
          <w:rFonts w:ascii="Arial" w:hAnsi="Arial" w:cs="Arial"/>
          <w:color w:val="auto"/>
          <w:sz w:val="22"/>
          <w:szCs w:val="22"/>
        </w:rPr>
        <w:t>; MB</w:t>
      </w:r>
    </w:p>
    <w:p w14:paraId="07865E24" w14:textId="77777777" w:rsidR="00CA370D" w:rsidRDefault="00CA370D" w:rsidP="00CA370D">
      <w:pPr>
        <w:pStyle w:val="Default"/>
        <w:numPr>
          <w:ilvl w:val="1"/>
          <w:numId w:val="28"/>
        </w:numPr>
        <w:tabs>
          <w:tab w:val="left" w:pos="0"/>
          <w:tab w:val="left" w:pos="360"/>
        </w:tabs>
        <w:spacing w:line="276" w:lineRule="auto"/>
        <w:ind w:left="0" w:firstLine="0"/>
        <w:rPr>
          <w:rFonts w:ascii="Arial" w:hAnsi="Arial" w:cs="Arial"/>
          <w:color w:val="auto"/>
          <w:sz w:val="22"/>
          <w:szCs w:val="22"/>
        </w:rPr>
      </w:pPr>
      <w:r w:rsidRPr="00BC1078">
        <w:rPr>
          <w:rFonts w:ascii="Arial" w:hAnsi="Arial" w:cs="Arial"/>
          <w:color w:val="auto"/>
          <w:sz w:val="22"/>
          <w:szCs w:val="22"/>
        </w:rPr>
        <w:t>gemcitabine vial</w:t>
      </w:r>
      <w:r>
        <w:rPr>
          <w:rFonts w:ascii="Arial" w:hAnsi="Arial" w:cs="Arial"/>
          <w:color w:val="auto"/>
          <w:sz w:val="22"/>
          <w:szCs w:val="22"/>
        </w:rPr>
        <w:t>; MB</w:t>
      </w:r>
    </w:p>
    <w:p w14:paraId="48D649B8" w14:textId="77777777" w:rsidR="00CA370D" w:rsidRPr="00204DF3" w:rsidRDefault="00CA370D" w:rsidP="00CA370D">
      <w:pPr>
        <w:pStyle w:val="Default"/>
        <w:numPr>
          <w:ilvl w:val="1"/>
          <w:numId w:val="28"/>
        </w:numPr>
        <w:tabs>
          <w:tab w:val="left" w:pos="0"/>
          <w:tab w:val="left" w:pos="360"/>
        </w:tabs>
        <w:spacing w:line="276" w:lineRule="auto"/>
        <w:ind w:left="450" w:hanging="450"/>
        <w:rPr>
          <w:rFonts w:ascii="Arial" w:hAnsi="Arial" w:cs="Arial"/>
          <w:color w:val="auto"/>
          <w:sz w:val="22"/>
          <w:szCs w:val="22"/>
        </w:rPr>
      </w:pPr>
      <w:proofErr w:type="spellStart"/>
      <w:r w:rsidRPr="00204DF3">
        <w:rPr>
          <w:rFonts w:ascii="Arial" w:hAnsi="Arial" w:cs="Arial"/>
          <w:color w:val="auto"/>
          <w:sz w:val="22"/>
          <w:szCs w:val="22"/>
        </w:rPr>
        <w:t>Jemperli</w:t>
      </w:r>
      <w:proofErr w:type="spellEnd"/>
      <w:r w:rsidRPr="00204DF3">
        <w:rPr>
          <w:rFonts w:ascii="Arial" w:hAnsi="Arial" w:cs="Arial"/>
          <w:color w:val="auto"/>
          <w:sz w:val="22"/>
          <w:szCs w:val="22"/>
        </w:rPr>
        <w:t xml:space="preserve"> (</w:t>
      </w:r>
      <w:proofErr w:type="spellStart"/>
      <w:r w:rsidRPr="00204DF3">
        <w:rPr>
          <w:rFonts w:ascii="Arial" w:hAnsi="Arial" w:cs="Arial"/>
          <w:color w:val="auto"/>
          <w:sz w:val="22"/>
          <w:szCs w:val="22"/>
        </w:rPr>
        <w:t>dostarlimab-gxly</w:t>
      </w:r>
      <w:proofErr w:type="spellEnd"/>
      <w:r w:rsidRPr="00204DF3">
        <w:rPr>
          <w:rFonts w:ascii="Arial" w:hAnsi="Arial" w:cs="Arial"/>
          <w:color w:val="auto"/>
          <w:sz w:val="22"/>
          <w:szCs w:val="22"/>
        </w:rPr>
        <w:t xml:space="preserve">) – </w:t>
      </w:r>
      <w:r w:rsidRPr="00204DF3">
        <w:rPr>
          <w:rFonts w:ascii="Arial" w:hAnsi="Arial" w:cs="Arial"/>
          <w:b/>
          <w:color w:val="auto"/>
          <w:sz w:val="22"/>
          <w:szCs w:val="22"/>
        </w:rPr>
        <w:t>PA</w:t>
      </w:r>
      <w:r>
        <w:rPr>
          <w:rStyle w:val="CommentReference"/>
          <w:rFonts w:ascii="Arial" w:hAnsi="Arial" w:cs="Arial"/>
          <w:color w:val="auto"/>
          <w:sz w:val="22"/>
          <w:szCs w:val="22"/>
        </w:rPr>
        <w:t>; M</w:t>
      </w:r>
      <w:r w:rsidRPr="00204DF3">
        <w:rPr>
          <w:rFonts w:ascii="Arial" w:hAnsi="Arial" w:cs="Arial"/>
          <w:color w:val="auto"/>
          <w:sz w:val="22"/>
          <w:szCs w:val="22"/>
        </w:rPr>
        <w:t>B</w:t>
      </w:r>
    </w:p>
    <w:p w14:paraId="5FD6EBFD" w14:textId="188F0393" w:rsidR="00CA370D" w:rsidRPr="00204DF3" w:rsidRDefault="00CA370D" w:rsidP="00A620BD">
      <w:pPr>
        <w:pStyle w:val="Default"/>
        <w:numPr>
          <w:ilvl w:val="1"/>
          <w:numId w:val="28"/>
        </w:numPr>
        <w:tabs>
          <w:tab w:val="left" w:pos="0"/>
          <w:tab w:val="left" w:pos="360"/>
        </w:tabs>
        <w:spacing w:line="276" w:lineRule="auto"/>
        <w:ind w:left="360"/>
        <w:rPr>
          <w:rFonts w:ascii="Arial" w:hAnsi="Arial" w:cs="Arial"/>
          <w:color w:val="auto"/>
          <w:sz w:val="22"/>
          <w:szCs w:val="22"/>
        </w:rPr>
      </w:pPr>
      <w:proofErr w:type="spellStart"/>
      <w:r w:rsidRPr="00204DF3">
        <w:rPr>
          <w:rFonts w:ascii="Arial" w:hAnsi="Arial" w:cs="Arial"/>
          <w:color w:val="auto"/>
          <w:sz w:val="22"/>
          <w:szCs w:val="22"/>
        </w:rPr>
        <w:t>Opdualag</w:t>
      </w:r>
      <w:proofErr w:type="spellEnd"/>
      <w:r w:rsidRPr="00204DF3">
        <w:rPr>
          <w:rFonts w:ascii="Arial" w:hAnsi="Arial" w:cs="Arial"/>
          <w:color w:val="auto"/>
          <w:sz w:val="22"/>
          <w:szCs w:val="22"/>
        </w:rPr>
        <w:t xml:space="preserve"> (nivolumab/</w:t>
      </w:r>
      <w:proofErr w:type="spellStart"/>
      <w:r w:rsidRPr="00204DF3">
        <w:rPr>
          <w:rFonts w:ascii="Arial" w:hAnsi="Arial" w:cs="Arial"/>
          <w:color w:val="auto"/>
          <w:sz w:val="22"/>
          <w:szCs w:val="22"/>
        </w:rPr>
        <w:t>relatlimab-rmbw</w:t>
      </w:r>
      <w:proofErr w:type="spellEnd"/>
      <w:r w:rsidRPr="00204DF3">
        <w:rPr>
          <w:rFonts w:ascii="Arial" w:hAnsi="Arial" w:cs="Arial"/>
          <w:color w:val="auto"/>
          <w:sz w:val="22"/>
          <w:szCs w:val="22"/>
        </w:rPr>
        <w:t xml:space="preserve">) – </w:t>
      </w:r>
      <w:r w:rsidRPr="00204DF3">
        <w:rPr>
          <w:rFonts w:ascii="Arial" w:hAnsi="Arial" w:cs="Arial"/>
          <w:b/>
          <w:color w:val="auto"/>
          <w:sz w:val="22"/>
          <w:szCs w:val="22"/>
        </w:rPr>
        <w:t>PA</w:t>
      </w:r>
      <w:r w:rsidR="00C85EC1">
        <w:rPr>
          <w:rFonts w:ascii="Arial" w:hAnsi="Arial" w:cs="Arial"/>
          <w:color w:val="auto"/>
          <w:sz w:val="22"/>
          <w:szCs w:val="22"/>
        </w:rPr>
        <w:t>;</w:t>
      </w:r>
      <w:r w:rsidR="00A620BD">
        <w:rPr>
          <w:rFonts w:ascii="Arial" w:hAnsi="Arial" w:cs="Arial"/>
          <w:color w:val="auto"/>
          <w:sz w:val="22"/>
          <w:szCs w:val="22"/>
        </w:rPr>
        <w:t xml:space="preserve"> </w:t>
      </w:r>
      <w:r w:rsidRPr="00204DF3">
        <w:rPr>
          <w:rFonts w:ascii="Arial" w:hAnsi="Arial" w:cs="Arial"/>
          <w:color w:val="auto"/>
          <w:sz w:val="22"/>
          <w:szCs w:val="22"/>
        </w:rPr>
        <w:t>MB</w:t>
      </w:r>
    </w:p>
    <w:p w14:paraId="53282213" w14:textId="77777777" w:rsidR="00CA370D" w:rsidRPr="005E0E2E" w:rsidRDefault="00CA370D" w:rsidP="00CA370D">
      <w:pPr>
        <w:pStyle w:val="Default"/>
        <w:numPr>
          <w:ilvl w:val="1"/>
          <w:numId w:val="28"/>
        </w:numPr>
        <w:tabs>
          <w:tab w:val="left" w:pos="0"/>
          <w:tab w:val="left" w:pos="360"/>
        </w:tabs>
        <w:spacing w:line="276" w:lineRule="auto"/>
        <w:ind w:left="450" w:hanging="450"/>
        <w:rPr>
          <w:rFonts w:ascii="Arial" w:hAnsi="Arial" w:cs="Arial"/>
          <w:color w:val="auto"/>
          <w:sz w:val="22"/>
          <w:szCs w:val="22"/>
        </w:rPr>
      </w:pPr>
      <w:proofErr w:type="spellStart"/>
      <w:r w:rsidRPr="005E0E2E">
        <w:rPr>
          <w:rFonts w:ascii="Arial" w:hAnsi="Arial" w:cs="Arial"/>
          <w:bCs/>
          <w:sz w:val="22"/>
          <w:szCs w:val="22"/>
        </w:rPr>
        <w:lastRenderedPageBreak/>
        <w:t>Tivdak</w:t>
      </w:r>
      <w:proofErr w:type="spellEnd"/>
      <w:r w:rsidRPr="005E0E2E">
        <w:rPr>
          <w:rFonts w:ascii="Arial" w:hAnsi="Arial" w:cs="Arial"/>
          <w:b/>
          <w:sz w:val="22"/>
          <w:szCs w:val="22"/>
        </w:rPr>
        <w:t xml:space="preserve"> </w:t>
      </w:r>
      <w:r w:rsidRPr="005E0E2E">
        <w:rPr>
          <w:rFonts w:ascii="Arial" w:hAnsi="Arial" w:cs="Arial"/>
          <w:bCs/>
          <w:sz w:val="22"/>
          <w:szCs w:val="22"/>
        </w:rPr>
        <w:t>(</w:t>
      </w:r>
      <w:proofErr w:type="spellStart"/>
      <w:r w:rsidRPr="005E0E2E">
        <w:rPr>
          <w:rFonts w:ascii="Arial" w:hAnsi="Arial" w:cs="Arial"/>
          <w:bCs/>
          <w:sz w:val="22"/>
          <w:szCs w:val="22"/>
        </w:rPr>
        <w:t>tisotumab</w:t>
      </w:r>
      <w:proofErr w:type="spellEnd"/>
      <w:r w:rsidRPr="005E0E2E">
        <w:rPr>
          <w:rFonts w:ascii="Arial" w:hAnsi="Arial" w:cs="Arial"/>
          <w:bCs/>
          <w:sz w:val="22"/>
          <w:szCs w:val="22"/>
        </w:rPr>
        <w:t xml:space="preserve"> </w:t>
      </w:r>
      <w:proofErr w:type="spellStart"/>
      <w:r w:rsidRPr="005E0E2E">
        <w:rPr>
          <w:rFonts w:ascii="Arial" w:hAnsi="Arial" w:cs="Arial"/>
          <w:bCs/>
          <w:sz w:val="22"/>
          <w:szCs w:val="22"/>
        </w:rPr>
        <w:t>vedotin-tftv</w:t>
      </w:r>
      <w:proofErr w:type="spellEnd"/>
      <w:r w:rsidRPr="005E0E2E">
        <w:rPr>
          <w:rFonts w:ascii="Arial" w:hAnsi="Arial" w:cs="Arial"/>
          <w:bCs/>
          <w:sz w:val="22"/>
          <w:szCs w:val="22"/>
        </w:rPr>
        <w:t>)</w:t>
      </w:r>
      <w:r w:rsidRPr="00204DF3">
        <w:rPr>
          <w:rFonts w:ascii="Arial" w:hAnsi="Arial" w:cs="Arial"/>
          <w:color w:val="auto"/>
          <w:sz w:val="22"/>
          <w:szCs w:val="22"/>
        </w:rPr>
        <w:t xml:space="preserve"> – </w:t>
      </w:r>
      <w:r w:rsidRPr="005E0E2E">
        <w:rPr>
          <w:rFonts w:ascii="Arial" w:hAnsi="Arial" w:cs="Arial"/>
          <w:b/>
          <w:sz w:val="22"/>
          <w:szCs w:val="22"/>
        </w:rPr>
        <w:t>PA</w:t>
      </w:r>
      <w:r w:rsidRPr="005E0E2E">
        <w:rPr>
          <w:rFonts w:ascii="Arial" w:hAnsi="Arial" w:cs="Arial"/>
          <w:bCs/>
          <w:color w:val="auto"/>
          <w:sz w:val="22"/>
          <w:szCs w:val="22"/>
        </w:rPr>
        <w:t>; MB</w:t>
      </w:r>
    </w:p>
    <w:p w14:paraId="45B01296" w14:textId="77777777" w:rsidR="00CA370D" w:rsidRPr="005E0E2E" w:rsidRDefault="00CA370D" w:rsidP="00CA370D">
      <w:pPr>
        <w:pStyle w:val="Default"/>
        <w:numPr>
          <w:ilvl w:val="1"/>
          <w:numId w:val="28"/>
        </w:numPr>
        <w:spacing w:line="276" w:lineRule="auto"/>
        <w:ind w:left="360"/>
        <w:rPr>
          <w:rFonts w:ascii="Arial" w:hAnsi="Arial" w:cs="Arial"/>
          <w:color w:val="auto"/>
          <w:sz w:val="22"/>
          <w:szCs w:val="22"/>
        </w:rPr>
      </w:pPr>
      <w:proofErr w:type="spellStart"/>
      <w:r w:rsidRPr="00BC1078">
        <w:rPr>
          <w:rFonts w:ascii="Arial" w:hAnsi="Arial" w:cs="Arial"/>
          <w:color w:val="auto"/>
          <w:sz w:val="22"/>
          <w:szCs w:val="22"/>
        </w:rPr>
        <w:t>Vyxeos</w:t>
      </w:r>
      <w:proofErr w:type="spellEnd"/>
      <w:r w:rsidRPr="00BC1078">
        <w:rPr>
          <w:rFonts w:ascii="Arial" w:hAnsi="Arial" w:cs="Arial"/>
          <w:color w:val="auto"/>
          <w:sz w:val="22"/>
          <w:szCs w:val="22"/>
        </w:rPr>
        <w:t xml:space="preserve"> (daunorubicin/cytarabine) </w:t>
      </w:r>
      <w:r w:rsidRPr="00204DF3">
        <w:rPr>
          <w:rFonts w:ascii="Arial" w:hAnsi="Arial" w:cs="Arial"/>
          <w:color w:val="auto"/>
          <w:sz w:val="22"/>
          <w:szCs w:val="22"/>
        </w:rPr>
        <w:t xml:space="preserve">– </w:t>
      </w:r>
      <w:r w:rsidRPr="005E0E2E">
        <w:rPr>
          <w:rFonts w:ascii="Arial" w:hAnsi="Arial" w:cs="Arial"/>
          <w:b/>
          <w:sz w:val="22"/>
          <w:szCs w:val="22"/>
        </w:rPr>
        <w:t>PA</w:t>
      </w:r>
      <w:r w:rsidRPr="005E0E2E">
        <w:rPr>
          <w:rFonts w:ascii="Arial" w:hAnsi="Arial" w:cs="Arial"/>
          <w:bCs/>
          <w:color w:val="auto"/>
          <w:sz w:val="22"/>
          <w:szCs w:val="22"/>
        </w:rPr>
        <w:t>; MB</w:t>
      </w:r>
    </w:p>
    <w:p w14:paraId="01B35CD8" w14:textId="77777777" w:rsidR="00CA370D" w:rsidRPr="00204DF3" w:rsidRDefault="00CA370D" w:rsidP="00A620BD">
      <w:pPr>
        <w:pStyle w:val="Default"/>
        <w:numPr>
          <w:ilvl w:val="1"/>
          <w:numId w:val="28"/>
        </w:numPr>
        <w:spacing w:line="276" w:lineRule="auto"/>
        <w:ind w:left="360"/>
        <w:rPr>
          <w:rFonts w:ascii="Arial" w:hAnsi="Arial" w:cs="Arial"/>
          <w:color w:val="auto"/>
          <w:sz w:val="22"/>
          <w:szCs w:val="22"/>
        </w:rPr>
      </w:pPr>
      <w:proofErr w:type="spellStart"/>
      <w:r w:rsidRPr="00204DF3">
        <w:rPr>
          <w:rFonts w:ascii="Arial" w:hAnsi="Arial" w:cs="Arial"/>
          <w:color w:val="auto"/>
          <w:sz w:val="22"/>
          <w:szCs w:val="22"/>
        </w:rPr>
        <w:t>Xipere</w:t>
      </w:r>
      <w:proofErr w:type="spellEnd"/>
      <w:r w:rsidRPr="00204DF3">
        <w:rPr>
          <w:rFonts w:ascii="Arial" w:hAnsi="Arial" w:cs="Arial"/>
          <w:color w:val="auto"/>
          <w:sz w:val="22"/>
          <w:szCs w:val="22"/>
        </w:rPr>
        <w:t xml:space="preserve"> (triamcinolone ophthalmic suspension)</w:t>
      </w:r>
      <w:r>
        <w:rPr>
          <w:rFonts w:ascii="Arial" w:hAnsi="Arial" w:cs="Arial"/>
          <w:color w:val="auto"/>
          <w:sz w:val="22"/>
          <w:szCs w:val="22"/>
        </w:rPr>
        <w:t>; MB</w:t>
      </w:r>
    </w:p>
    <w:p w14:paraId="58FD8570" w14:textId="77777777" w:rsidR="00CA370D" w:rsidRDefault="00CA370D" w:rsidP="00CA370D">
      <w:pPr>
        <w:pStyle w:val="Default"/>
        <w:spacing w:line="276" w:lineRule="auto"/>
        <w:rPr>
          <w:rFonts w:ascii="Arial" w:hAnsi="Arial" w:cs="Arial"/>
          <w:sz w:val="22"/>
          <w:szCs w:val="22"/>
        </w:rPr>
      </w:pPr>
    </w:p>
    <w:p w14:paraId="10F4F1A9" w14:textId="77777777" w:rsidR="00CA370D" w:rsidRDefault="00CA370D" w:rsidP="00CA370D">
      <w:pPr>
        <w:pStyle w:val="Heading1"/>
        <w:tabs>
          <w:tab w:val="left" w:pos="0"/>
        </w:tabs>
        <w:spacing w:line="276" w:lineRule="auto"/>
        <w:jc w:val="left"/>
        <w:rPr>
          <w:rFonts w:ascii="Arial Black" w:hAnsi="Arial Black"/>
          <w:sz w:val="24"/>
        </w:rPr>
      </w:pPr>
      <w:r w:rsidRPr="00954C99">
        <w:rPr>
          <w:rFonts w:ascii="Arial Black" w:hAnsi="Arial Black"/>
          <w:sz w:val="24"/>
        </w:rPr>
        <w:t>Updated MassHealth Brand Name Preferred Over Generic Drug List</w:t>
      </w:r>
    </w:p>
    <w:p w14:paraId="1FE78DF4" w14:textId="77777777" w:rsidR="00CA370D" w:rsidRPr="00954C99" w:rsidRDefault="00CA370D" w:rsidP="00CA370D"/>
    <w:p w14:paraId="113D8DE7" w14:textId="77777777" w:rsidR="00CA370D" w:rsidRPr="008151CA" w:rsidRDefault="00CA370D" w:rsidP="00CA370D">
      <w:pPr>
        <w:rPr>
          <w:rFonts w:ascii="Arial" w:hAnsi="Arial" w:cs="Arial"/>
          <w:sz w:val="22"/>
          <w:szCs w:val="22"/>
        </w:rPr>
      </w:pPr>
      <w:r w:rsidRPr="008151CA">
        <w:rPr>
          <w:rFonts w:ascii="Arial" w:hAnsi="Arial" w:cs="Arial"/>
          <w:sz w:val="22"/>
          <w:szCs w:val="22"/>
        </w:rPr>
        <w:t>The MassHealth Brand Name Preferred Over Generic Drug List has been updated to reflect recent changes to the MassHealth Drug List.</w:t>
      </w:r>
    </w:p>
    <w:p w14:paraId="01799C9B" w14:textId="77777777" w:rsidR="00CA370D" w:rsidRPr="008151CA" w:rsidRDefault="00CA370D" w:rsidP="00CA370D">
      <w:pPr>
        <w:rPr>
          <w:rFonts w:ascii="Arial" w:hAnsi="Arial" w:cs="Arial"/>
          <w:sz w:val="22"/>
          <w:szCs w:val="22"/>
        </w:rPr>
      </w:pPr>
    </w:p>
    <w:p w14:paraId="317996F0" w14:textId="77777777" w:rsidR="00CA370D" w:rsidRPr="00970DAF" w:rsidRDefault="00CA370D" w:rsidP="00CA370D">
      <w:pPr>
        <w:pStyle w:val="Default"/>
        <w:numPr>
          <w:ilvl w:val="0"/>
          <w:numId w:val="29"/>
        </w:numPr>
        <w:spacing w:line="276" w:lineRule="auto"/>
        <w:rPr>
          <w:rFonts w:ascii="Arial" w:hAnsi="Arial" w:cs="Arial"/>
          <w:sz w:val="22"/>
          <w:szCs w:val="21"/>
        </w:rPr>
      </w:pPr>
      <w:r w:rsidRPr="00970DAF">
        <w:rPr>
          <w:rFonts w:ascii="Arial" w:hAnsi="Arial" w:cs="Arial"/>
          <w:sz w:val="22"/>
          <w:szCs w:val="21"/>
        </w:rPr>
        <w:t xml:space="preserve">Effective </w:t>
      </w:r>
      <w:r>
        <w:rPr>
          <w:rFonts w:ascii="Arial" w:hAnsi="Arial" w:cs="Arial"/>
          <w:sz w:val="22"/>
          <w:szCs w:val="22"/>
        </w:rPr>
        <w:t>June 5</w:t>
      </w:r>
      <w:r w:rsidRPr="00970DAF">
        <w:rPr>
          <w:rFonts w:ascii="Arial" w:hAnsi="Arial" w:cs="Arial"/>
          <w:sz w:val="22"/>
          <w:szCs w:val="22"/>
        </w:rPr>
        <w:t>, 202</w:t>
      </w:r>
      <w:r>
        <w:rPr>
          <w:rFonts w:ascii="Arial" w:hAnsi="Arial" w:cs="Arial"/>
          <w:sz w:val="22"/>
          <w:szCs w:val="22"/>
        </w:rPr>
        <w:t>3</w:t>
      </w:r>
      <w:r w:rsidRPr="00970DAF">
        <w:rPr>
          <w:rFonts w:ascii="Arial" w:hAnsi="Arial" w:cs="Arial"/>
          <w:sz w:val="22"/>
          <w:szCs w:val="22"/>
        </w:rPr>
        <w:t>,</w:t>
      </w:r>
      <w:r w:rsidRPr="00970DAF">
        <w:rPr>
          <w:rFonts w:ascii="Arial" w:hAnsi="Arial" w:cs="Arial"/>
          <w:sz w:val="22"/>
          <w:szCs w:val="21"/>
        </w:rPr>
        <w:t xml:space="preserve"> the following agents will be added to the MassHealth Brand Name Preferred Over Generic Drug List. </w:t>
      </w:r>
    </w:p>
    <w:p w14:paraId="20A04A9C" w14:textId="77777777" w:rsidR="00CA370D" w:rsidRPr="00053C9D" w:rsidRDefault="00CA370D" w:rsidP="00CA370D">
      <w:pPr>
        <w:pStyle w:val="Default"/>
        <w:numPr>
          <w:ilvl w:val="0"/>
          <w:numId w:val="6"/>
        </w:numPr>
        <w:spacing w:line="276" w:lineRule="auto"/>
        <w:rPr>
          <w:rFonts w:ascii="Arial" w:hAnsi="Arial" w:cs="Arial"/>
          <w:b/>
          <w:bCs/>
          <w:sz w:val="22"/>
          <w:szCs w:val="22"/>
        </w:rPr>
      </w:pPr>
      <w:bookmarkStart w:id="3" w:name="_Hlk11399419"/>
      <w:bookmarkStart w:id="4" w:name="_Hlk527542710"/>
      <w:r w:rsidRPr="00256E5E">
        <w:rPr>
          <w:rFonts w:ascii="Arial" w:hAnsi="Arial" w:cs="Arial"/>
          <w:sz w:val="22"/>
          <w:szCs w:val="21"/>
        </w:rPr>
        <w:t xml:space="preserve">Advair </w:t>
      </w:r>
      <w:r w:rsidRPr="00053C9D">
        <w:rPr>
          <w:rFonts w:ascii="Arial" w:hAnsi="Arial" w:cs="Arial"/>
          <w:sz w:val="22"/>
          <w:szCs w:val="22"/>
        </w:rPr>
        <w:t xml:space="preserve">(fluticasone/salmeterol inhalation </w:t>
      </w:r>
      <w:r w:rsidRPr="00256E5E">
        <w:rPr>
          <w:rFonts w:ascii="Arial" w:hAnsi="Arial" w:cs="Arial"/>
          <w:sz w:val="22"/>
          <w:szCs w:val="21"/>
        </w:rPr>
        <w:t>aerosol</w:t>
      </w:r>
      <w:r w:rsidRPr="00053C9D">
        <w:rPr>
          <w:rFonts w:ascii="Arial" w:hAnsi="Arial" w:cs="Arial"/>
          <w:sz w:val="22"/>
          <w:szCs w:val="22"/>
        </w:rPr>
        <w:t>)</w:t>
      </w:r>
      <w:r w:rsidRPr="00053C9D">
        <w:rPr>
          <w:rFonts w:ascii="Arial" w:hAnsi="Arial" w:cs="Arial"/>
          <w:bCs/>
          <w:sz w:val="22"/>
          <w:szCs w:val="22"/>
        </w:rPr>
        <w:t>; BP, A90</w:t>
      </w:r>
    </w:p>
    <w:p w14:paraId="405B0459" w14:textId="77777777" w:rsidR="00CA370D" w:rsidRDefault="00CA370D" w:rsidP="00CA370D">
      <w:pPr>
        <w:pStyle w:val="Default"/>
        <w:numPr>
          <w:ilvl w:val="0"/>
          <w:numId w:val="6"/>
        </w:numPr>
        <w:spacing w:line="276" w:lineRule="auto"/>
        <w:rPr>
          <w:rFonts w:ascii="Arial" w:hAnsi="Arial" w:cs="Arial"/>
          <w:sz w:val="22"/>
          <w:szCs w:val="22"/>
        </w:rPr>
      </w:pPr>
      <w:proofErr w:type="spellStart"/>
      <w:r w:rsidRPr="00173FBD">
        <w:rPr>
          <w:rFonts w:ascii="Arial" w:hAnsi="Arial" w:cs="Arial"/>
          <w:sz w:val="22"/>
          <w:szCs w:val="22"/>
        </w:rPr>
        <w:t>Denavir</w:t>
      </w:r>
      <w:proofErr w:type="spellEnd"/>
      <w:r w:rsidRPr="00173FBD">
        <w:rPr>
          <w:rFonts w:ascii="Arial" w:hAnsi="Arial" w:cs="Arial"/>
          <w:sz w:val="22"/>
          <w:szCs w:val="22"/>
        </w:rPr>
        <w:t xml:space="preserve"> (penciclovir)</w:t>
      </w:r>
      <w:r>
        <w:rPr>
          <w:rFonts w:ascii="Arial" w:hAnsi="Arial" w:cs="Arial"/>
          <w:sz w:val="22"/>
          <w:szCs w:val="22"/>
        </w:rPr>
        <w:t>; BP, A90</w:t>
      </w:r>
    </w:p>
    <w:p w14:paraId="7EC298F7" w14:textId="77777777" w:rsidR="00CA370D" w:rsidRPr="00BC7F02" w:rsidRDefault="00CA370D" w:rsidP="00CA370D">
      <w:pPr>
        <w:pStyle w:val="Default"/>
        <w:numPr>
          <w:ilvl w:val="0"/>
          <w:numId w:val="6"/>
        </w:numPr>
        <w:spacing w:line="276" w:lineRule="auto"/>
        <w:rPr>
          <w:rFonts w:ascii="Arial" w:hAnsi="Arial" w:cs="Arial"/>
          <w:sz w:val="22"/>
          <w:szCs w:val="22"/>
        </w:rPr>
      </w:pPr>
      <w:proofErr w:type="spellStart"/>
      <w:r w:rsidRPr="00BC7F02">
        <w:rPr>
          <w:rFonts w:ascii="Arial" w:hAnsi="Arial" w:cs="Arial"/>
          <w:sz w:val="22"/>
          <w:szCs w:val="22"/>
        </w:rPr>
        <w:t>Hetlioz</w:t>
      </w:r>
      <w:proofErr w:type="spellEnd"/>
      <w:r w:rsidRPr="00BC7F02">
        <w:rPr>
          <w:rFonts w:ascii="Arial" w:hAnsi="Arial" w:cs="Arial"/>
          <w:sz w:val="22"/>
          <w:szCs w:val="22"/>
        </w:rPr>
        <w:t xml:space="preserve"> (</w:t>
      </w:r>
      <w:proofErr w:type="spellStart"/>
      <w:r w:rsidRPr="00BC7F02">
        <w:rPr>
          <w:rFonts w:ascii="Arial" w:hAnsi="Arial" w:cs="Arial"/>
          <w:sz w:val="22"/>
          <w:szCs w:val="22"/>
        </w:rPr>
        <w:t>tasimelteon</w:t>
      </w:r>
      <w:proofErr w:type="spellEnd"/>
      <w:r w:rsidRPr="00BC7F02">
        <w:rPr>
          <w:rFonts w:ascii="Arial" w:hAnsi="Arial" w:cs="Arial"/>
          <w:sz w:val="22"/>
          <w:szCs w:val="22"/>
        </w:rPr>
        <w:t>)</w:t>
      </w:r>
      <w:r>
        <w:rPr>
          <w:rFonts w:ascii="Arial" w:hAnsi="Arial" w:cs="Arial"/>
          <w:sz w:val="22"/>
          <w:szCs w:val="22"/>
        </w:rPr>
        <w:t xml:space="preserve"> </w:t>
      </w:r>
      <w:r w:rsidRPr="00BC7F02">
        <w:rPr>
          <w:rFonts w:ascii="Arial" w:hAnsi="Arial" w:cs="Arial"/>
          <w:sz w:val="22"/>
          <w:szCs w:val="22"/>
        </w:rPr>
        <w:t xml:space="preserve">– </w:t>
      </w:r>
      <w:r w:rsidRPr="00BC7F02">
        <w:rPr>
          <w:rFonts w:ascii="Arial" w:hAnsi="Arial" w:cs="Arial"/>
          <w:b/>
          <w:bCs/>
          <w:sz w:val="22"/>
          <w:szCs w:val="22"/>
        </w:rPr>
        <w:t>PA</w:t>
      </w:r>
      <w:r w:rsidRPr="00BC7F02">
        <w:rPr>
          <w:rFonts w:ascii="Arial" w:hAnsi="Arial" w:cs="Arial"/>
          <w:sz w:val="22"/>
          <w:szCs w:val="22"/>
        </w:rPr>
        <w:t>; BP, A90</w:t>
      </w:r>
    </w:p>
    <w:p w14:paraId="0A7340F5" w14:textId="77777777" w:rsidR="00CA370D" w:rsidRPr="00970DAF" w:rsidRDefault="00CA370D" w:rsidP="00CA370D">
      <w:pPr>
        <w:pStyle w:val="Default"/>
        <w:numPr>
          <w:ilvl w:val="0"/>
          <w:numId w:val="6"/>
        </w:numPr>
        <w:spacing w:line="276" w:lineRule="auto"/>
        <w:rPr>
          <w:rFonts w:ascii="Arial" w:hAnsi="Arial" w:cs="Arial"/>
          <w:sz w:val="22"/>
          <w:szCs w:val="22"/>
        </w:rPr>
      </w:pPr>
      <w:bookmarkStart w:id="5" w:name="_Hlk14249184"/>
      <w:bookmarkEnd w:id="3"/>
      <w:bookmarkEnd w:id="4"/>
      <w:proofErr w:type="spellStart"/>
      <w:r w:rsidRPr="00970DAF">
        <w:rPr>
          <w:rFonts w:ascii="Arial" w:hAnsi="Arial" w:cs="Arial"/>
          <w:sz w:val="22"/>
          <w:szCs w:val="22"/>
        </w:rPr>
        <w:t>Mycobutin</w:t>
      </w:r>
      <w:proofErr w:type="spellEnd"/>
      <w:r w:rsidRPr="00970DAF">
        <w:rPr>
          <w:rFonts w:ascii="Arial" w:hAnsi="Arial" w:cs="Arial"/>
          <w:sz w:val="22"/>
          <w:szCs w:val="22"/>
        </w:rPr>
        <w:t xml:space="preserve"> (rifabutin); BP</w:t>
      </w:r>
      <w:r>
        <w:rPr>
          <w:rFonts w:ascii="Arial" w:hAnsi="Arial" w:cs="Arial"/>
          <w:sz w:val="22"/>
          <w:szCs w:val="22"/>
        </w:rPr>
        <w:t>, A90</w:t>
      </w:r>
    </w:p>
    <w:p w14:paraId="028FA8FC" w14:textId="77777777" w:rsidR="00CA370D" w:rsidRPr="00957C32" w:rsidRDefault="00CA370D" w:rsidP="00CA370D">
      <w:pPr>
        <w:pStyle w:val="Default"/>
        <w:numPr>
          <w:ilvl w:val="0"/>
          <w:numId w:val="6"/>
        </w:numPr>
        <w:spacing w:line="276" w:lineRule="auto"/>
        <w:rPr>
          <w:rFonts w:ascii="Arial" w:hAnsi="Arial" w:cs="Arial"/>
          <w:sz w:val="22"/>
          <w:szCs w:val="22"/>
        </w:rPr>
      </w:pPr>
      <w:r w:rsidRPr="00957C32">
        <w:rPr>
          <w:rFonts w:ascii="Arial" w:hAnsi="Arial" w:cs="Arial"/>
          <w:sz w:val="22"/>
          <w:szCs w:val="22"/>
        </w:rPr>
        <w:t>Vyvanse (</w:t>
      </w:r>
      <w:proofErr w:type="spellStart"/>
      <w:r w:rsidRPr="00957C32">
        <w:rPr>
          <w:rFonts w:ascii="Arial" w:hAnsi="Arial" w:cs="Arial"/>
          <w:sz w:val="22"/>
          <w:szCs w:val="22"/>
        </w:rPr>
        <w:t>lisdexamfetamine</w:t>
      </w:r>
      <w:proofErr w:type="spellEnd"/>
      <w:r w:rsidRPr="00957C32">
        <w:rPr>
          <w:rFonts w:ascii="Arial" w:hAnsi="Arial" w:cs="Arial"/>
          <w:sz w:val="22"/>
          <w:szCs w:val="22"/>
        </w:rPr>
        <w:t xml:space="preserve"> capsule) – </w:t>
      </w:r>
      <w:r w:rsidRPr="00957C32">
        <w:rPr>
          <w:rFonts w:ascii="Arial" w:hAnsi="Arial" w:cs="Arial"/>
          <w:b/>
          <w:bCs/>
          <w:sz w:val="22"/>
          <w:szCs w:val="22"/>
        </w:rPr>
        <w:t xml:space="preserve">PA &lt; </w:t>
      </w:r>
      <w:r>
        <w:rPr>
          <w:rFonts w:ascii="Arial" w:hAnsi="Arial" w:cs="Arial"/>
          <w:b/>
          <w:bCs/>
          <w:sz w:val="22"/>
          <w:szCs w:val="22"/>
        </w:rPr>
        <w:t>3</w:t>
      </w:r>
      <w:r w:rsidRPr="00957C32">
        <w:rPr>
          <w:rFonts w:ascii="Arial" w:hAnsi="Arial" w:cs="Arial"/>
          <w:b/>
          <w:bCs/>
          <w:sz w:val="22"/>
          <w:szCs w:val="22"/>
        </w:rPr>
        <w:t xml:space="preserve"> years or ≥ 21 years and PA &gt; 2 units/day</w:t>
      </w:r>
      <w:r w:rsidRPr="00957C32">
        <w:rPr>
          <w:rFonts w:ascii="Arial" w:hAnsi="Arial" w:cs="Arial"/>
          <w:sz w:val="22"/>
          <w:szCs w:val="22"/>
        </w:rPr>
        <w:t>; BP</w:t>
      </w:r>
    </w:p>
    <w:p w14:paraId="5C5284F1" w14:textId="77777777" w:rsidR="00CA370D" w:rsidRPr="00957C32" w:rsidRDefault="00CA370D" w:rsidP="00CA370D">
      <w:pPr>
        <w:pStyle w:val="Default"/>
        <w:numPr>
          <w:ilvl w:val="0"/>
          <w:numId w:val="6"/>
        </w:numPr>
        <w:spacing w:line="276" w:lineRule="auto"/>
        <w:rPr>
          <w:rFonts w:ascii="Arial" w:hAnsi="Arial" w:cs="Arial"/>
          <w:sz w:val="22"/>
          <w:szCs w:val="22"/>
        </w:rPr>
      </w:pPr>
      <w:r w:rsidRPr="00957C32">
        <w:rPr>
          <w:rFonts w:ascii="Arial" w:hAnsi="Arial" w:cs="Arial"/>
          <w:sz w:val="22"/>
          <w:szCs w:val="22"/>
        </w:rPr>
        <w:t>Vyvanse (</w:t>
      </w:r>
      <w:proofErr w:type="spellStart"/>
      <w:r w:rsidRPr="00957C32">
        <w:rPr>
          <w:rFonts w:ascii="Arial" w:hAnsi="Arial" w:cs="Arial"/>
          <w:sz w:val="22"/>
          <w:szCs w:val="22"/>
        </w:rPr>
        <w:t>lisdexamfetamine</w:t>
      </w:r>
      <w:proofErr w:type="spellEnd"/>
      <w:r w:rsidRPr="00957C32">
        <w:rPr>
          <w:rFonts w:ascii="Arial" w:hAnsi="Arial" w:cs="Arial"/>
          <w:sz w:val="22"/>
          <w:szCs w:val="22"/>
        </w:rPr>
        <w:t xml:space="preserve"> chewable tablet) – </w:t>
      </w:r>
      <w:r w:rsidRPr="00957C32">
        <w:rPr>
          <w:rFonts w:ascii="Arial" w:hAnsi="Arial" w:cs="Arial"/>
          <w:b/>
          <w:bCs/>
          <w:sz w:val="22"/>
          <w:szCs w:val="22"/>
        </w:rPr>
        <w:t>PA</w:t>
      </w:r>
      <w:r w:rsidRPr="00957C32">
        <w:rPr>
          <w:rFonts w:ascii="Arial" w:hAnsi="Arial" w:cs="Arial"/>
          <w:sz w:val="22"/>
          <w:szCs w:val="22"/>
        </w:rPr>
        <w:t>; BP</w:t>
      </w:r>
    </w:p>
    <w:p w14:paraId="64C2F0A3" w14:textId="77777777" w:rsidR="00CA370D" w:rsidRPr="00957C32" w:rsidRDefault="00CA370D" w:rsidP="00CA370D">
      <w:pPr>
        <w:pStyle w:val="Default"/>
        <w:numPr>
          <w:ilvl w:val="0"/>
          <w:numId w:val="6"/>
        </w:numPr>
        <w:spacing w:line="276" w:lineRule="auto"/>
        <w:rPr>
          <w:rFonts w:ascii="Arial" w:hAnsi="Arial" w:cs="Arial"/>
          <w:sz w:val="22"/>
          <w:szCs w:val="22"/>
        </w:rPr>
      </w:pPr>
      <w:proofErr w:type="spellStart"/>
      <w:r w:rsidRPr="00957C32">
        <w:rPr>
          <w:rFonts w:ascii="Arial" w:hAnsi="Arial" w:cs="Arial"/>
          <w:sz w:val="22"/>
          <w:szCs w:val="22"/>
        </w:rPr>
        <w:t>Zioptan</w:t>
      </w:r>
      <w:proofErr w:type="spellEnd"/>
      <w:r w:rsidRPr="00957C32">
        <w:rPr>
          <w:rFonts w:ascii="Arial" w:hAnsi="Arial" w:cs="Arial"/>
          <w:sz w:val="22"/>
          <w:szCs w:val="22"/>
        </w:rPr>
        <w:t xml:space="preserve"> (</w:t>
      </w:r>
      <w:proofErr w:type="spellStart"/>
      <w:r w:rsidRPr="00957C32">
        <w:rPr>
          <w:rFonts w:ascii="Arial" w:hAnsi="Arial" w:cs="Arial"/>
          <w:sz w:val="22"/>
          <w:szCs w:val="22"/>
        </w:rPr>
        <w:t>tafluprost</w:t>
      </w:r>
      <w:proofErr w:type="spellEnd"/>
      <w:r w:rsidRPr="00957C32">
        <w:rPr>
          <w:rFonts w:ascii="Arial" w:hAnsi="Arial" w:cs="Arial"/>
          <w:sz w:val="22"/>
          <w:szCs w:val="22"/>
        </w:rPr>
        <w:t xml:space="preserve">) – </w:t>
      </w:r>
      <w:r w:rsidRPr="00957C32">
        <w:rPr>
          <w:rFonts w:ascii="Arial" w:hAnsi="Arial" w:cs="Arial"/>
          <w:b/>
          <w:bCs/>
          <w:sz w:val="22"/>
          <w:szCs w:val="22"/>
        </w:rPr>
        <w:t>PA</w:t>
      </w:r>
      <w:r w:rsidRPr="00957C32">
        <w:rPr>
          <w:rFonts w:ascii="Arial" w:hAnsi="Arial" w:cs="Arial"/>
          <w:sz w:val="22"/>
          <w:szCs w:val="22"/>
        </w:rPr>
        <w:t>; BP, A90</w:t>
      </w:r>
    </w:p>
    <w:p w14:paraId="25967AF4" w14:textId="77777777" w:rsidR="00CA370D" w:rsidRPr="00397386" w:rsidRDefault="00CA370D" w:rsidP="00CA370D">
      <w:pPr>
        <w:pStyle w:val="Default"/>
        <w:numPr>
          <w:ilvl w:val="0"/>
          <w:numId w:val="29"/>
        </w:numPr>
        <w:spacing w:line="276" w:lineRule="auto"/>
        <w:rPr>
          <w:rFonts w:ascii="Arial" w:hAnsi="Arial" w:cs="Arial"/>
          <w:sz w:val="22"/>
          <w:szCs w:val="21"/>
        </w:rPr>
      </w:pPr>
      <w:r w:rsidRPr="00957C32">
        <w:rPr>
          <w:rFonts w:ascii="Arial" w:hAnsi="Arial" w:cs="Arial"/>
          <w:sz w:val="22"/>
          <w:szCs w:val="21"/>
        </w:rPr>
        <w:t xml:space="preserve">Effective </w:t>
      </w:r>
      <w:r w:rsidRPr="00957C32">
        <w:rPr>
          <w:rFonts w:ascii="Arial" w:hAnsi="Arial" w:cs="Arial"/>
          <w:sz w:val="22"/>
          <w:szCs w:val="22"/>
        </w:rPr>
        <w:t>June 5</w:t>
      </w:r>
      <w:r w:rsidRPr="00957C32">
        <w:rPr>
          <w:rFonts w:ascii="Arial" w:hAnsi="Arial" w:cs="Arial"/>
          <w:sz w:val="22"/>
          <w:szCs w:val="21"/>
        </w:rPr>
        <w:t xml:space="preserve">, 2023, the following agents will be removed from the MassHealth Brand Name </w:t>
      </w:r>
      <w:r w:rsidRPr="00397386">
        <w:rPr>
          <w:rFonts w:ascii="Arial" w:hAnsi="Arial" w:cs="Arial"/>
          <w:sz w:val="22"/>
          <w:szCs w:val="21"/>
        </w:rPr>
        <w:t xml:space="preserve">Preferred Over Generic Drug List. </w:t>
      </w:r>
    </w:p>
    <w:p w14:paraId="18F79F09" w14:textId="77777777" w:rsidR="00CA370D" w:rsidRPr="00397386" w:rsidRDefault="00CA370D" w:rsidP="00CA370D">
      <w:pPr>
        <w:pStyle w:val="Default"/>
        <w:numPr>
          <w:ilvl w:val="0"/>
          <w:numId w:val="16"/>
        </w:numPr>
        <w:spacing w:line="276" w:lineRule="auto"/>
        <w:rPr>
          <w:rFonts w:ascii="Arial" w:hAnsi="Arial" w:cs="Arial"/>
          <w:sz w:val="22"/>
          <w:szCs w:val="22"/>
        </w:rPr>
      </w:pPr>
      <w:bookmarkStart w:id="6" w:name="_Hlk134698211"/>
      <w:bookmarkEnd w:id="5"/>
      <w:proofErr w:type="spellStart"/>
      <w:r w:rsidRPr="00397386">
        <w:rPr>
          <w:rFonts w:ascii="Arial" w:hAnsi="Arial" w:cs="Arial"/>
          <w:sz w:val="22"/>
          <w:szCs w:val="22"/>
        </w:rPr>
        <w:t>Amicar</w:t>
      </w:r>
      <w:proofErr w:type="spellEnd"/>
      <w:r w:rsidRPr="00397386">
        <w:rPr>
          <w:rFonts w:ascii="Arial" w:hAnsi="Arial" w:cs="Arial"/>
          <w:sz w:val="22"/>
          <w:szCs w:val="22"/>
        </w:rPr>
        <w:t xml:space="preserve"> (aminocaproic acid); #, A90</w:t>
      </w:r>
    </w:p>
    <w:bookmarkEnd w:id="6"/>
    <w:p w14:paraId="6E9CDF2E" w14:textId="77777777" w:rsidR="00CA370D" w:rsidRPr="00397386" w:rsidRDefault="00CA370D" w:rsidP="00CA370D">
      <w:pPr>
        <w:pStyle w:val="Default"/>
        <w:numPr>
          <w:ilvl w:val="0"/>
          <w:numId w:val="16"/>
        </w:numPr>
        <w:spacing w:line="276" w:lineRule="auto"/>
        <w:rPr>
          <w:rFonts w:ascii="Arial" w:hAnsi="Arial" w:cs="Arial"/>
          <w:sz w:val="22"/>
          <w:szCs w:val="22"/>
        </w:rPr>
      </w:pPr>
      <w:proofErr w:type="spellStart"/>
      <w:r w:rsidRPr="00397386">
        <w:rPr>
          <w:rFonts w:ascii="Arial" w:hAnsi="Arial" w:cs="Arial"/>
          <w:sz w:val="22"/>
          <w:szCs w:val="22"/>
        </w:rPr>
        <w:t>Androgel</w:t>
      </w:r>
      <w:proofErr w:type="spellEnd"/>
      <w:r w:rsidRPr="00397386">
        <w:rPr>
          <w:rFonts w:ascii="Arial" w:hAnsi="Arial" w:cs="Arial"/>
          <w:sz w:val="22"/>
          <w:szCs w:val="22"/>
        </w:rPr>
        <w:t xml:space="preserve"> (testosterone 1.62% gel pump) – </w:t>
      </w:r>
      <w:r w:rsidRPr="00397386">
        <w:rPr>
          <w:rFonts w:ascii="Arial" w:hAnsi="Arial" w:cs="Arial"/>
          <w:b/>
          <w:bCs/>
          <w:sz w:val="22"/>
          <w:szCs w:val="22"/>
        </w:rPr>
        <w:t>PA</w:t>
      </w:r>
    </w:p>
    <w:p w14:paraId="132AC96C" w14:textId="77777777" w:rsidR="00CA370D" w:rsidRPr="00C85EC1" w:rsidRDefault="00CA370D" w:rsidP="00CA370D">
      <w:pPr>
        <w:pStyle w:val="ListParagraph"/>
        <w:numPr>
          <w:ilvl w:val="0"/>
          <w:numId w:val="16"/>
        </w:numPr>
        <w:spacing w:line="259" w:lineRule="auto"/>
        <w:contextualSpacing/>
        <w:rPr>
          <w:rFonts w:ascii="Arial" w:hAnsi="Arial" w:cs="Arial"/>
          <w:color w:val="000000"/>
          <w:sz w:val="22"/>
          <w:szCs w:val="22"/>
        </w:rPr>
      </w:pPr>
      <w:proofErr w:type="spellStart"/>
      <w:r w:rsidRPr="00C85EC1">
        <w:rPr>
          <w:rFonts w:ascii="Arial" w:eastAsia="Calibri" w:hAnsi="Arial" w:cs="Arial"/>
          <w:sz w:val="22"/>
          <w:szCs w:val="22"/>
        </w:rPr>
        <w:t>Evamist</w:t>
      </w:r>
      <w:proofErr w:type="spellEnd"/>
      <w:r w:rsidRPr="00C85EC1">
        <w:rPr>
          <w:rFonts w:ascii="Arial" w:eastAsia="Calibri" w:hAnsi="Arial" w:cs="Arial"/>
          <w:sz w:val="22"/>
          <w:szCs w:val="22"/>
        </w:rPr>
        <w:t xml:space="preserve"> (estradiol)</w:t>
      </w:r>
    </w:p>
    <w:p w14:paraId="6B7DE250" w14:textId="77777777" w:rsidR="00CA370D" w:rsidRPr="00C85EC1" w:rsidRDefault="00CA370D" w:rsidP="00CA370D">
      <w:pPr>
        <w:pStyle w:val="ListParagraph"/>
        <w:numPr>
          <w:ilvl w:val="0"/>
          <w:numId w:val="16"/>
        </w:numPr>
        <w:spacing w:line="259" w:lineRule="auto"/>
        <w:contextualSpacing/>
        <w:rPr>
          <w:rFonts w:ascii="Arial" w:hAnsi="Arial" w:cs="Arial"/>
          <w:color w:val="000000"/>
          <w:sz w:val="22"/>
          <w:szCs w:val="22"/>
        </w:rPr>
      </w:pPr>
      <w:proofErr w:type="spellStart"/>
      <w:r w:rsidRPr="00C85EC1">
        <w:rPr>
          <w:rFonts w:ascii="Arial" w:hAnsi="Arial" w:cs="Arial"/>
          <w:color w:val="000000"/>
          <w:sz w:val="22"/>
          <w:szCs w:val="22"/>
        </w:rPr>
        <w:t>Hepsera</w:t>
      </w:r>
      <w:proofErr w:type="spellEnd"/>
      <w:r w:rsidRPr="00C85EC1">
        <w:rPr>
          <w:rFonts w:ascii="Arial" w:hAnsi="Arial" w:cs="Arial"/>
          <w:color w:val="000000"/>
          <w:sz w:val="22"/>
          <w:szCs w:val="22"/>
        </w:rPr>
        <w:t xml:space="preserve"> (adefovir) – </w:t>
      </w:r>
      <w:r w:rsidRPr="00C85EC1">
        <w:rPr>
          <w:rFonts w:ascii="Arial" w:hAnsi="Arial" w:cs="Arial"/>
          <w:b/>
          <w:bCs/>
          <w:color w:val="000000"/>
          <w:sz w:val="22"/>
          <w:szCs w:val="22"/>
        </w:rPr>
        <w:t>PA &gt; 1 unit/day</w:t>
      </w:r>
      <w:r w:rsidRPr="00C85EC1">
        <w:rPr>
          <w:rFonts w:ascii="Arial" w:hAnsi="Arial" w:cs="Arial"/>
          <w:color w:val="000000"/>
          <w:sz w:val="22"/>
          <w:szCs w:val="22"/>
        </w:rPr>
        <w:t>; #, A90</w:t>
      </w:r>
    </w:p>
    <w:p w14:paraId="57600C19" w14:textId="7B293CAF" w:rsidR="00CA370D" w:rsidRPr="00C85EC1" w:rsidRDefault="00CA370D" w:rsidP="00CA370D">
      <w:pPr>
        <w:pStyle w:val="ListParagraph"/>
        <w:numPr>
          <w:ilvl w:val="0"/>
          <w:numId w:val="16"/>
        </w:numPr>
        <w:spacing w:line="259" w:lineRule="auto"/>
        <w:contextualSpacing/>
        <w:rPr>
          <w:rFonts w:ascii="Arial" w:hAnsi="Arial" w:cs="Arial"/>
          <w:color w:val="000000"/>
          <w:sz w:val="22"/>
          <w:szCs w:val="22"/>
        </w:rPr>
      </w:pPr>
      <w:proofErr w:type="spellStart"/>
      <w:r w:rsidRPr="00C85EC1">
        <w:rPr>
          <w:rFonts w:ascii="Arial" w:eastAsia="Calibri" w:hAnsi="Arial" w:cs="Arial"/>
          <w:sz w:val="22"/>
          <w:szCs w:val="22"/>
        </w:rPr>
        <w:t>Jublia</w:t>
      </w:r>
      <w:proofErr w:type="spellEnd"/>
      <w:r w:rsidRPr="00C85EC1">
        <w:rPr>
          <w:rFonts w:ascii="Arial" w:eastAsia="Calibri" w:hAnsi="Arial" w:cs="Arial"/>
          <w:sz w:val="22"/>
          <w:szCs w:val="22"/>
        </w:rPr>
        <w:t xml:space="preserve"> (</w:t>
      </w:r>
      <w:proofErr w:type="spellStart"/>
      <w:r w:rsidRPr="00C85EC1">
        <w:rPr>
          <w:rFonts w:ascii="Arial" w:eastAsia="Calibri" w:hAnsi="Arial" w:cs="Arial"/>
          <w:sz w:val="22"/>
          <w:szCs w:val="22"/>
        </w:rPr>
        <w:t>efinaconazole</w:t>
      </w:r>
      <w:proofErr w:type="spellEnd"/>
      <w:r w:rsidRPr="00C85EC1">
        <w:rPr>
          <w:rFonts w:ascii="Arial" w:eastAsia="Calibri" w:hAnsi="Arial" w:cs="Arial"/>
          <w:sz w:val="22"/>
          <w:szCs w:val="22"/>
        </w:rPr>
        <w:t xml:space="preserve">) – </w:t>
      </w:r>
      <w:r w:rsidRPr="00C85EC1">
        <w:rPr>
          <w:rFonts w:ascii="Arial" w:eastAsia="Calibri" w:hAnsi="Arial" w:cs="Arial"/>
          <w:b/>
          <w:bCs/>
          <w:sz w:val="22"/>
          <w:szCs w:val="22"/>
        </w:rPr>
        <w:t>PA</w:t>
      </w:r>
    </w:p>
    <w:p w14:paraId="629E20D4" w14:textId="77777777" w:rsidR="00CA370D" w:rsidRPr="00C85EC1" w:rsidRDefault="00CA370D" w:rsidP="00CA370D">
      <w:pPr>
        <w:pStyle w:val="Default"/>
        <w:numPr>
          <w:ilvl w:val="0"/>
          <w:numId w:val="16"/>
        </w:numPr>
        <w:spacing w:line="276" w:lineRule="auto"/>
        <w:rPr>
          <w:rFonts w:ascii="Arial" w:hAnsi="Arial" w:cs="Arial"/>
          <w:sz w:val="22"/>
          <w:szCs w:val="22"/>
        </w:rPr>
      </w:pPr>
      <w:proofErr w:type="spellStart"/>
      <w:r w:rsidRPr="00C85EC1">
        <w:rPr>
          <w:rFonts w:ascii="Arial" w:hAnsi="Arial" w:cs="Arial"/>
          <w:sz w:val="22"/>
          <w:szCs w:val="22"/>
        </w:rPr>
        <w:t>Monurol</w:t>
      </w:r>
      <w:proofErr w:type="spellEnd"/>
      <w:r w:rsidRPr="00C85EC1">
        <w:rPr>
          <w:rFonts w:ascii="Arial" w:hAnsi="Arial" w:cs="Arial"/>
          <w:sz w:val="22"/>
          <w:szCs w:val="22"/>
        </w:rPr>
        <w:t xml:space="preserve"> (</w:t>
      </w:r>
      <w:proofErr w:type="spellStart"/>
      <w:r w:rsidRPr="00C85EC1">
        <w:rPr>
          <w:rFonts w:ascii="Arial" w:hAnsi="Arial" w:cs="Arial"/>
          <w:sz w:val="22"/>
          <w:szCs w:val="22"/>
        </w:rPr>
        <w:t>fosfomycin</w:t>
      </w:r>
      <w:proofErr w:type="spellEnd"/>
      <w:r w:rsidRPr="00C85EC1">
        <w:rPr>
          <w:rFonts w:ascii="Arial" w:hAnsi="Arial" w:cs="Arial"/>
          <w:sz w:val="22"/>
          <w:szCs w:val="22"/>
        </w:rPr>
        <w:t>); #, A90</w:t>
      </w:r>
    </w:p>
    <w:p w14:paraId="675E4B5E" w14:textId="77777777" w:rsidR="00CA370D" w:rsidRPr="00C85EC1" w:rsidRDefault="00CA370D" w:rsidP="00CA370D">
      <w:pPr>
        <w:pStyle w:val="ListParagraph"/>
        <w:numPr>
          <w:ilvl w:val="0"/>
          <w:numId w:val="16"/>
        </w:numPr>
        <w:spacing w:line="259" w:lineRule="auto"/>
        <w:contextualSpacing/>
        <w:rPr>
          <w:rFonts w:ascii="Arial" w:hAnsi="Arial" w:cs="Arial"/>
          <w:color w:val="000000"/>
          <w:sz w:val="22"/>
          <w:szCs w:val="22"/>
        </w:rPr>
      </w:pPr>
      <w:proofErr w:type="spellStart"/>
      <w:r w:rsidRPr="00C85EC1">
        <w:rPr>
          <w:rFonts w:ascii="Arial" w:hAnsi="Arial" w:cs="Arial"/>
          <w:sz w:val="22"/>
          <w:szCs w:val="22"/>
        </w:rPr>
        <w:t>Sandostatin</w:t>
      </w:r>
      <w:proofErr w:type="spellEnd"/>
      <w:r w:rsidRPr="00C85EC1">
        <w:rPr>
          <w:rFonts w:ascii="Arial" w:hAnsi="Arial" w:cs="Arial"/>
          <w:sz w:val="22"/>
          <w:szCs w:val="22"/>
        </w:rPr>
        <w:t xml:space="preserve"> LAR (octreotide injectable suspension)</w:t>
      </w:r>
    </w:p>
    <w:p w14:paraId="277E33A3" w14:textId="77777777" w:rsidR="00CA370D" w:rsidRPr="00C85EC1" w:rsidRDefault="00CA370D" w:rsidP="00CA370D">
      <w:pPr>
        <w:pStyle w:val="ListParagraph"/>
        <w:numPr>
          <w:ilvl w:val="0"/>
          <w:numId w:val="16"/>
        </w:numPr>
        <w:spacing w:line="259" w:lineRule="auto"/>
        <w:contextualSpacing/>
        <w:rPr>
          <w:rFonts w:ascii="Arial" w:hAnsi="Arial" w:cs="Arial"/>
          <w:color w:val="000000"/>
          <w:sz w:val="22"/>
          <w:szCs w:val="22"/>
        </w:rPr>
      </w:pPr>
      <w:r w:rsidRPr="00C85EC1">
        <w:rPr>
          <w:rFonts w:ascii="Arial" w:hAnsi="Arial" w:cs="Arial"/>
          <w:color w:val="000000"/>
          <w:sz w:val="22"/>
          <w:szCs w:val="22"/>
        </w:rPr>
        <w:t xml:space="preserve">Strattera (atomoxetine) – </w:t>
      </w:r>
      <w:r w:rsidRPr="00C85EC1">
        <w:rPr>
          <w:rFonts w:ascii="Arial" w:hAnsi="Arial" w:cs="Arial"/>
          <w:b/>
          <w:bCs/>
          <w:color w:val="000000"/>
          <w:sz w:val="22"/>
          <w:szCs w:val="22"/>
        </w:rPr>
        <w:t>PA &lt; 6 years</w:t>
      </w:r>
      <w:r w:rsidRPr="00C85EC1">
        <w:rPr>
          <w:rFonts w:ascii="Arial" w:hAnsi="Arial" w:cs="Arial"/>
          <w:color w:val="000000"/>
          <w:sz w:val="22"/>
          <w:szCs w:val="22"/>
        </w:rPr>
        <w:t>; #, A90</w:t>
      </w:r>
    </w:p>
    <w:p w14:paraId="2F8FA991" w14:textId="77777777" w:rsidR="00CA370D" w:rsidRPr="008151CA" w:rsidRDefault="00CA370D" w:rsidP="00CA370D">
      <w:pPr>
        <w:rPr>
          <w:rFonts w:ascii="Arial" w:hAnsi="Arial" w:cs="Arial"/>
          <w:sz w:val="22"/>
          <w:szCs w:val="22"/>
        </w:rPr>
      </w:pPr>
    </w:p>
    <w:p w14:paraId="7809ECBF" w14:textId="77777777" w:rsidR="00CA370D" w:rsidRPr="00CA370D" w:rsidRDefault="00CA370D" w:rsidP="00CA370D">
      <w:pPr>
        <w:spacing w:line="259" w:lineRule="auto"/>
        <w:contextualSpacing/>
        <w:rPr>
          <w:rFonts w:ascii="Arial" w:hAnsi="Arial" w:cs="Arial"/>
          <w:color w:val="000000"/>
        </w:rPr>
      </w:pPr>
    </w:p>
    <w:p w14:paraId="1DE2C109" w14:textId="77777777" w:rsidR="0086142C" w:rsidRPr="003C78FE" w:rsidRDefault="0086142C" w:rsidP="0086142C">
      <w:pPr>
        <w:autoSpaceDE w:val="0"/>
        <w:autoSpaceDN w:val="0"/>
        <w:adjustRightInd w:val="0"/>
        <w:spacing w:line="360" w:lineRule="auto"/>
        <w:ind w:left="1080" w:hanging="720"/>
        <w:rPr>
          <w:rFonts w:ascii="Arial" w:hAnsi="Arial" w:cs="Arial"/>
          <w:sz w:val="22"/>
          <w:szCs w:val="22"/>
        </w:rPr>
      </w:pPr>
      <w:r>
        <w:rPr>
          <w:rFonts w:ascii="Arial" w:hAnsi="Arial" w:cs="Arial"/>
          <w:sz w:val="22"/>
          <w:szCs w:val="22"/>
        </w:rPr>
        <w:t>____________________________________</w:t>
      </w:r>
    </w:p>
    <w:p w14:paraId="1F142E8B" w14:textId="77777777" w:rsidR="00EF7C8A" w:rsidRDefault="00EF7C8A" w:rsidP="00B645C9">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644A4DC8" w14:textId="4D69756D" w:rsidR="005B15B3" w:rsidRPr="008474A5" w:rsidRDefault="005B15B3" w:rsidP="00C963FD">
      <w:pPr>
        <w:shd w:val="clear" w:color="auto" w:fill="FFFFFF"/>
        <w:tabs>
          <w:tab w:val="left" w:pos="180"/>
          <w:tab w:val="left" w:pos="360"/>
        </w:tabs>
        <w:ind w:left="270" w:hanging="360"/>
        <w:rPr>
          <w:rFonts w:ascii="Arial" w:hAnsi="Arial"/>
          <w:b/>
          <w:bCs/>
          <w:color w:val="FF0000"/>
          <w:sz w:val="18"/>
          <w:szCs w:val="18"/>
        </w:rPr>
      </w:pPr>
    </w:p>
    <w:p w14:paraId="1196CFD8" w14:textId="6E582ACE" w:rsidR="00E50862" w:rsidRDefault="00E50862" w:rsidP="0057273A">
      <w:pPr>
        <w:shd w:val="clear" w:color="auto" w:fill="FFFFFF"/>
        <w:tabs>
          <w:tab w:val="left" w:pos="180"/>
          <w:tab w:val="left" w:pos="360"/>
        </w:tabs>
        <w:ind w:left="360" w:hanging="450"/>
        <w:rPr>
          <w:rFonts w:ascii="Arial" w:hAnsi="Arial"/>
          <w:bCs/>
          <w:sz w:val="18"/>
          <w:szCs w:val="18"/>
        </w:rPr>
      </w:pPr>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sidR="000C6911">
        <w:rPr>
          <w:rFonts w:ascii="Arial" w:hAnsi="Arial"/>
          <w:b/>
          <w:bCs/>
          <w:sz w:val="18"/>
          <w:szCs w:val="18"/>
        </w:rPr>
        <w:t xml:space="preserve"> </w:t>
      </w:r>
      <w:r w:rsidR="000A71F2">
        <w:rPr>
          <w:rFonts w:ascii="Arial" w:hAnsi="Arial"/>
          <w:b/>
          <w:bCs/>
          <w:sz w:val="18"/>
          <w:szCs w:val="18"/>
        </w:rPr>
        <w:t xml:space="preserve"> </w:t>
      </w:r>
      <w:r>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61B0514E" w14:textId="77777777" w:rsidR="003240F1" w:rsidRDefault="003240F1" w:rsidP="005B15B3">
      <w:pPr>
        <w:shd w:val="clear" w:color="auto" w:fill="FFFFFF"/>
        <w:tabs>
          <w:tab w:val="left" w:pos="180"/>
          <w:tab w:val="left" w:pos="360"/>
        </w:tabs>
        <w:ind w:left="270" w:hanging="360"/>
        <w:rPr>
          <w:rFonts w:ascii="Arial" w:hAnsi="Arial"/>
          <w:bCs/>
          <w:sz w:val="18"/>
          <w:szCs w:val="18"/>
        </w:rPr>
      </w:pPr>
    </w:p>
    <w:p w14:paraId="442C143F" w14:textId="13364E94" w:rsidR="009D6D73" w:rsidRPr="009D6D73" w:rsidRDefault="009D6D73" w:rsidP="000C6911">
      <w:pPr>
        <w:shd w:val="clear" w:color="auto" w:fill="FFFFFF"/>
        <w:tabs>
          <w:tab w:val="left" w:pos="360"/>
        </w:tabs>
        <w:ind w:left="360" w:hanging="450"/>
        <w:rPr>
          <w:rFonts w:ascii="Arial" w:hAnsi="Arial"/>
          <w:bCs/>
          <w:sz w:val="18"/>
          <w:szCs w:val="18"/>
        </w:rPr>
      </w:pPr>
      <w:r w:rsidRPr="00D70191">
        <w:rPr>
          <w:rFonts w:ascii="Arial" w:hAnsi="Arial"/>
          <w:bCs/>
          <w:sz w:val="18"/>
          <w:szCs w:val="18"/>
        </w:rPr>
        <w:t>#</w:t>
      </w: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w:t>
      </w:r>
      <w:r w:rsidR="000C6911">
        <w:rPr>
          <w:rFonts w:ascii="Arial" w:hAnsi="Arial"/>
          <w:bCs/>
          <w:sz w:val="18"/>
          <w:szCs w:val="18"/>
        </w:rPr>
        <w:t xml:space="preserve"> </w:t>
      </w:r>
      <w:r>
        <w:rPr>
          <w:rFonts w:ascii="Arial" w:hAnsi="Arial"/>
          <w:bCs/>
          <w:sz w:val="18"/>
          <w:szCs w:val="18"/>
        </w:rPr>
        <w:t>D</w:t>
      </w:r>
      <w:r w:rsidRPr="009D6D73">
        <w:rPr>
          <w:rFonts w:ascii="Arial" w:hAnsi="Arial"/>
          <w:bCs/>
          <w:sz w:val="18"/>
          <w:szCs w:val="18"/>
        </w:rPr>
        <w:t>esignates a brand-name drug with FDA “A”-rated</w:t>
      </w:r>
      <w:r w:rsidR="000C6911">
        <w:rPr>
          <w:rFonts w:ascii="Arial" w:hAnsi="Arial"/>
          <w:bCs/>
          <w:sz w:val="18"/>
          <w:szCs w:val="18"/>
        </w:rPr>
        <w:t xml:space="preserve"> </w:t>
      </w:r>
      <w:r w:rsidRPr="009D6D73">
        <w:rPr>
          <w:rFonts w:ascii="Arial" w:hAnsi="Arial"/>
          <w:bCs/>
          <w:sz w:val="18"/>
          <w:szCs w:val="18"/>
        </w:rPr>
        <w:t>generic equivalents. </w:t>
      </w:r>
      <w:bookmarkStart w:id="7" w:name="Prior_Authorization"/>
      <w:r w:rsidRPr="009D6D73">
        <w:rPr>
          <w:rFonts w:ascii="Arial" w:hAnsi="Arial"/>
          <w:bCs/>
          <w:sz w:val="18"/>
          <w:szCs w:val="18"/>
        </w:rPr>
        <w:t>Prior authorization</w:t>
      </w:r>
      <w:bookmarkEnd w:id="7"/>
      <w:r w:rsidRPr="009D6D73">
        <w:rPr>
          <w:rFonts w:ascii="Arial" w:hAnsi="Arial"/>
          <w:bCs/>
          <w:sz w:val="18"/>
          <w:szCs w:val="18"/>
        </w:rPr>
        <w:t xml:space="preserve"> is required for the brand, unless a particular form of that drug (for example, tablet, capsule, or liquid) does not have an FDA “A”-rated generic equivalent. </w:t>
      </w:r>
    </w:p>
    <w:p w14:paraId="6A1198D7"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402155C9" w14:textId="70DC9307" w:rsidR="00212622" w:rsidRDefault="00E50862" w:rsidP="00FE694E">
      <w:pPr>
        <w:shd w:val="clear" w:color="auto" w:fill="FFFFFF"/>
        <w:ind w:left="360" w:hanging="450"/>
        <w:rPr>
          <w:rFonts w:ascii="Arial" w:hAnsi="Arial"/>
          <w:bCs/>
          <w:sz w:val="18"/>
          <w:szCs w:val="18"/>
        </w:rPr>
      </w:pPr>
      <w:r w:rsidRPr="00756748">
        <w:rPr>
          <w:rFonts w:ascii="Arial" w:hAnsi="Arial"/>
          <w:bCs/>
          <w:sz w:val="18"/>
          <w:szCs w:val="18"/>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0C6911">
        <w:rPr>
          <w:rFonts w:ascii="Arial" w:hAnsi="Arial"/>
          <w:b/>
          <w:sz w:val="18"/>
          <w:szCs w:val="18"/>
          <w:vertAlign w:val="superscript"/>
        </w:rPr>
        <w:t xml:space="preserve"> </w:t>
      </w:r>
      <w:r w:rsidR="004D79B2">
        <w:rPr>
          <w:rFonts w:ascii="Arial" w:hAnsi="Arial"/>
          <w:bCs/>
          <w:sz w:val="18"/>
          <w:szCs w:val="18"/>
        </w:rPr>
        <w:t xml:space="preserve"> </w:t>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3F03EFC6" w14:textId="577C2057" w:rsidR="00D70191" w:rsidRDefault="00D70191" w:rsidP="00212622">
      <w:pPr>
        <w:shd w:val="clear" w:color="auto" w:fill="FFFFFF"/>
        <w:ind w:left="270" w:hanging="441"/>
        <w:rPr>
          <w:rFonts w:ascii="Arial" w:hAnsi="Arial"/>
          <w:bCs/>
          <w:sz w:val="18"/>
          <w:szCs w:val="18"/>
        </w:rPr>
      </w:pPr>
    </w:p>
    <w:p w14:paraId="7EDF42FF" w14:textId="3D0AB22C" w:rsidR="00D70191" w:rsidRDefault="00D70191" w:rsidP="00FE694E">
      <w:pPr>
        <w:shd w:val="clear" w:color="auto" w:fill="FFFFFF"/>
        <w:ind w:left="360" w:hanging="450"/>
        <w:rPr>
          <w:rFonts w:ascii="Arial" w:hAnsi="Arial"/>
          <w:bCs/>
          <w:sz w:val="18"/>
          <w:szCs w:val="18"/>
        </w:rPr>
      </w:pPr>
      <w:r w:rsidRPr="00FE694E">
        <w:rPr>
          <w:rFonts w:ascii="Arial" w:hAnsi="Arial"/>
          <w:bCs/>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In general, MassHealth requires a trial of the preferred drug (PD) or a clinical rationale for prescribing a nonpreferred drug within a therapeutic class.</w:t>
      </w:r>
      <w:r w:rsidRPr="00212622">
        <w:rPr>
          <w:rFonts w:ascii="Arial" w:hAnsi="Arial"/>
          <w:bCs/>
          <w:sz w:val="18"/>
          <w:szCs w:val="18"/>
        </w:rPr>
        <w:t xml:space="preserve"> </w:t>
      </w:r>
    </w:p>
    <w:p w14:paraId="59E4C627" w14:textId="77777777" w:rsidR="00212622" w:rsidRDefault="00212622" w:rsidP="00212622">
      <w:pPr>
        <w:shd w:val="clear" w:color="auto" w:fill="FFFFFF"/>
        <w:ind w:left="270" w:hanging="441"/>
        <w:rPr>
          <w:rFonts w:ascii="Arial" w:hAnsi="Arial" w:cs="Arial"/>
          <w:b/>
          <w:sz w:val="22"/>
          <w:szCs w:val="22"/>
          <w:vertAlign w:val="superscript"/>
        </w:rPr>
      </w:pPr>
    </w:p>
    <w:p w14:paraId="297C03B0" w14:textId="5E6215FA" w:rsidR="00CA370D" w:rsidRPr="00760484" w:rsidRDefault="00756748" w:rsidP="0057273A">
      <w:pPr>
        <w:tabs>
          <w:tab w:val="left" w:pos="360"/>
        </w:tabs>
        <w:spacing w:after="120"/>
        <w:ind w:left="360" w:right="547" w:hanging="540"/>
        <w:rPr>
          <w:rFonts w:ascii="Arial" w:hAnsi="Arial" w:cs="Arial"/>
          <w:bCs/>
          <w:sz w:val="22"/>
          <w:szCs w:val="22"/>
        </w:rPr>
      </w:pPr>
      <w:r>
        <w:rPr>
          <w:rFonts w:ascii="Arial" w:hAnsi="Arial" w:cs="Arial"/>
          <w:bCs/>
          <w:sz w:val="18"/>
          <w:szCs w:val="18"/>
        </w:rPr>
        <w:t xml:space="preserve"> </w:t>
      </w:r>
      <w:r w:rsidR="00FE694E">
        <w:rPr>
          <w:rFonts w:ascii="Arial" w:hAnsi="Arial" w:cs="Arial"/>
          <w:bCs/>
          <w:sz w:val="18"/>
          <w:szCs w:val="18"/>
        </w:rPr>
        <w:t xml:space="preserve"> </w:t>
      </w:r>
      <w:r w:rsidR="00CA370D" w:rsidRPr="00760484">
        <w:rPr>
          <w:rFonts w:ascii="Arial" w:hAnsi="Arial" w:cs="Arial"/>
          <w:bCs/>
          <w:sz w:val="18"/>
          <w:szCs w:val="18"/>
        </w:rPr>
        <w:t>CO</w:t>
      </w:r>
      <w:r w:rsidR="00CA370D" w:rsidRPr="00760484">
        <w:rPr>
          <w:rFonts w:cs="Arial"/>
          <w:bCs/>
          <w:sz w:val="22"/>
          <w:szCs w:val="22"/>
        </w:rPr>
        <w:tab/>
      </w:r>
      <w:r w:rsidR="00CA370D" w:rsidRPr="0057273A">
        <w:rPr>
          <w:rFonts w:ascii="Arial" w:hAnsi="Arial"/>
          <w:bCs/>
          <w:sz w:val="18"/>
          <w:szCs w:val="18"/>
        </w:rPr>
        <w:t xml:space="preserve">Carve-Out. This agent is listed on the Acute </w:t>
      </w:r>
      <w:r w:rsidR="000C6911" w:rsidRPr="0057273A">
        <w:rPr>
          <w:rFonts w:ascii="Arial" w:hAnsi="Arial"/>
          <w:bCs/>
          <w:sz w:val="18"/>
          <w:szCs w:val="18"/>
        </w:rPr>
        <w:t xml:space="preserve">  </w:t>
      </w:r>
      <w:r w:rsidR="00CA370D" w:rsidRPr="0057273A">
        <w:rPr>
          <w:rFonts w:ascii="Arial" w:hAnsi="Arial"/>
          <w:bCs/>
          <w:sz w:val="18"/>
          <w:szCs w:val="18"/>
        </w:rPr>
        <w:t>Hospital Carve-Out Drugs List and is subject to  additional</w:t>
      </w:r>
      <w:r w:rsidR="00CA370D" w:rsidRPr="00760484">
        <w:rPr>
          <w:rFonts w:ascii="Arial" w:hAnsi="Arial" w:cs="Arial"/>
          <w:bCs/>
          <w:sz w:val="18"/>
          <w:szCs w:val="18"/>
        </w:rPr>
        <w:t xml:space="preserve"> monitoring and billing requirements</w:t>
      </w:r>
      <w:r w:rsidR="00CA370D" w:rsidRPr="00760484">
        <w:rPr>
          <w:rFonts w:cs="Arial"/>
          <w:bCs/>
          <w:sz w:val="22"/>
          <w:szCs w:val="22"/>
        </w:rPr>
        <w:t xml:space="preserve">. </w:t>
      </w:r>
    </w:p>
    <w:p w14:paraId="15A645FD" w14:textId="5B52C7DE" w:rsidR="00CA370D" w:rsidRDefault="00CA370D" w:rsidP="000A71F2">
      <w:pPr>
        <w:tabs>
          <w:tab w:val="left" w:pos="360"/>
        </w:tabs>
        <w:ind w:left="360" w:right="547" w:hanging="446"/>
        <w:rPr>
          <w:rFonts w:ascii="Arial" w:hAnsi="Arial" w:cs="Arial"/>
          <w:sz w:val="18"/>
          <w:szCs w:val="18"/>
        </w:rPr>
      </w:pPr>
      <w:r w:rsidRPr="00756748">
        <w:rPr>
          <w:rFonts w:ascii="Arial" w:hAnsi="Arial" w:cs="Arial"/>
          <w:sz w:val="18"/>
          <w:szCs w:val="18"/>
        </w:rPr>
        <w:t>MB</w:t>
      </w:r>
      <w:r w:rsidRPr="00760484">
        <w:rPr>
          <w:rFonts w:ascii="Arial" w:hAnsi="Arial" w:cs="Arial"/>
          <w:sz w:val="22"/>
          <w:szCs w:val="22"/>
        </w:rPr>
        <w:t xml:space="preserve"> </w:t>
      </w:r>
      <w:r w:rsidR="000C6911">
        <w:rPr>
          <w:rFonts w:ascii="Arial" w:hAnsi="Arial" w:cs="Arial"/>
          <w:sz w:val="22"/>
          <w:szCs w:val="22"/>
        </w:rPr>
        <w:t xml:space="preserve">  </w:t>
      </w:r>
      <w:r w:rsidRPr="00760484">
        <w:rPr>
          <w:rFonts w:ascii="Arial" w:hAnsi="Arial" w:cs="Arial"/>
          <w:sz w:val="18"/>
          <w:szCs w:val="18"/>
        </w:rPr>
        <w:t>This drug is available through the health care professional who administers the drug or in an outpatient or inpatient hospital setting. MassHealth does not pay for this drug to be dispensed through the retail pharmacy. If listed, prior authorization does not apply through the hospital outpatient and inpatient settings. Please refer to 130 CMR 433.408 for prior authorization requirements for other health care professionals.</w:t>
      </w:r>
    </w:p>
    <w:p w14:paraId="11CA81EB" w14:textId="77777777" w:rsidR="000A71F2" w:rsidRPr="00760484" w:rsidRDefault="000A71F2" w:rsidP="000A71F2">
      <w:pPr>
        <w:tabs>
          <w:tab w:val="left" w:pos="360"/>
        </w:tabs>
        <w:ind w:left="360" w:right="547" w:hanging="446"/>
        <w:rPr>
          <w:rFonts w:ascii="Arial" w:hAnsi="Arial" w:cs="Arial"/>
          <w:sz w:val="18"/>
          <w:szCs w:val="18"/>
        </w:rPr>
      </w:pPr>
    </w:p>
    <w:p w14:paraId="26D7C697" w14:textId="1DD866BE" w:rsidR="00CA370D" w:rsidRPr="00760484" w:rsidRDefault="00CA370D" w:rsidP="000A71F2">
      <w:pPr>
        <w:ind w:left="360" w:right="547" w:hanging="446"/>
        <w:rPr>
          <w:rFonts w:ascii="Arial" w:hAnsi="Arial" w:cs="Arial"/>
          <w:sz w:val="22"/>
          <w:szCs w:val="22"/>
        </w:rPr>
      </w:pPr>
      <w:r w:rsidRPr="00D70191">
        <w:rPr>
          <w:rFonts w:ascii="Arial" w:hAnsi="Arial" w:cs="Arial"/>
          <w:bCs/>
          <w:sz w:val="18"/>
          <w:szCs w:val="18"/>
        </w:rPr>
        <w:t>A90</w:t>
      </w:r>
      <w:r w:rsidRPr="00760484">
        <w:rPr>
          <w:rFonts w:ascii="Arial" w:hAnsi="Arial" w:cs="Arial"/>
          <w:sz w:val="22"/>
          <w:szCs w:val="22"/>
        </w:rPr>
        <w:t xml:space="preserve"> </w:t>
      </w:r>
      <w:r w:rsidR="000C6911">
        <w:rPr>
          <w:rFonts w:ascii="Arial" w:hAnsi="Arial" w:cs="Arial"/>
          <w:sz w:val="22"/>
          <w:szCs w:val="22"/>
        </w:rPr>
        <w:t xml:space="preserve"> </w:t>
      </w:r>
      <w:r w:rsidRPr="00760484">
        <w:rPr>
          <w:rFonts w:ascii="Arial" w:hAnsi="Arial" w:cs="Arial"/>
          <w:sz w:val="18"/>
          <w:szCs w:val="18"/>
        </w:rPr>
        <w:t>Allowable 90-day supply. Dispensing in up to a 90-day supply is allowed. May not include all strengths or formulations. Quantity limits and other restrictions may apply</w:t>
      </w:r>
      <w:r w:rsidRPr="00760484">
        <w:rPr>
          <w:rFonts w:ascii="Arial" w:hAnsi="Arial" w:cs="Arial"/>
          <w:sz w:val="22"/>
          <w:szCs w:val="22"/>
        </w:rPr>
        <w:t xml:space="preserve">. </w:t>
      </w:r>
    </w:p>
    <w:p w14:paraId="328346A1" w14:textId="77777777" w:rsidR="00D66801" w:rsidRDefault="00D66801" w:rsidP="00212622">
      <w:pPr>
        <w:shd w:val="clear" w:color="auto" w:fill="FFFFFF"/>
        <w:ind w:left="270" w:hanging="441"/>
        <w:rPr>
          <w:bCs/>
          <w:sz w:val="18"/>
          <w:szCs w:val="18"/>
        </w:rPr>
        <w:sectPr w:rsidR="00D66801" w:rsidSect="00137D3D">
          <w:headerReference w:type="default" r:id="rId12"/>
          <w:footerReference w:type="default" r:id="rId13"/>
          <w:type w:val="continuous"/>
          <w:pgSz w:w="12240" w:h="15840" w:code="1"/>
          <w:pgMar w:top="360" w:right="907" w:bottom="720" w:left="907" w:header="720" w:footer="576" w:gutter="0"/>
          <w:cols w:num="2" w:sep="1" w:space="720"/>
          <w:docGrid w:linePitch="360"/>
        </w:sectPr>
      </w:pPr>
    </w:p>
    <w:p w14:paraId="713969F9"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3255" w14:textId="77777777" w:rsidR="00E64F00" w:rsidRDefault="00E64F00" w:rsidP="00492602">
      <w:r>
        <w:separator/>
      </w:r>
    </w:p>
  </w:endnote>
  <w:endnote w:type="continuationSeparator" w:id="0">
    <w:p w14:paraId="7C2C722A" w14:textId="77777777" w:rsidR="00E64F00" w:rsidRDefault="00E64F00"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B947" w14:textId="77777777" w:rsidR="00F2773E" w:rsidRDefault="00F2773E" w:rsidP="00F2773E">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681D9901" w14:textId="77777777" w:rsidR="00F2773E" w:rsidRPr="00E95805" w:rsidRDefault="00E64F00" w:rsidP="00F2773E">
    <w:pPr>
      <w:pStyle w:val="Footer"/>
      <w:jc w:val="center"/>
    </w:pPr>
    <w:hyperlink r:id="rId1" w:history="1">
      <w:r w:rsidR="00F2773E" w:rsidRPr="00386AF8">
        <w:rPr>
          <w:rStyle w:val="Hyperlink"/>
          <w:rFonts w:ascii="Arial" w:hAnsi="Arial" w:cs="Arial"/>
          <w:iCs/>
          <w:sz w:val="18"/>
          <w:szCs w:val="18"/>
        </w:rPr>
        <w:t>PharmFactsMA@Conduent.com</w:t>
      </w:r>
    </w:hyperlink>
    <w:r w:rsidR="00F2773E">
      <w:rPr>
        <w:rFonts w:ascii="Arial" w:hAnsi="Arial" w:cs="Arial"/>
        <w:iCs/>
        <w:sz w:val="18"/>
        <w:szCs w:val="18"/>
      </w:rPr>
      <w:t>.</w:t>
    </w:r>
  </w:p>
  <w:p w14:paraId="5283AEC1" w14:textId="77777777" w:rsidR="00F2773E" w:rsidRPr="0075369B" w:rsidRDefault="00F2773E" w:rsidP="00F2773E">
    <w:pPr>
      <w:pStyle w:val="Footer"/>
    </w:pPr>
  </w:p>
  <w:p w14:paraId="080F3C14" w14:textId="4D819B2D" w:rsidR="00637A67" w:rsidRPr="00E24139" w:rsidRDefault="00637A67" w:rsidP="00637A67">
    <w:pPr>
      <w:tabs>
        <w:tab w:val="left" w:pos="-90"/>
      </w:tabs>
      <w:autoSpaceDE w:val="0"/>
      <w:autoSpaceDN w:val="0"/>
      <w:adjustRightInd w:val="0"/>
      <w:jc w:val="center"/>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BD5D" w14:textId="77777777" w:rsidR="00E64F00" w:rsidRDefault="00E64F00" w:rsidP="00492602">
      <w:r>
        <w:separator/>
      </w:r>
    </w:p>
  </w:footnote>
  <w:footnote w:type="continuationSeparator" w:id="0">
    <w:p w14:paraId="5745A6DA" w14:textId="77777777" w:rsidR="00E64F00" w:rsidRDefault="00E64F00"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EDF9" w14:textId="608C9414"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w:t>
    </w:r>
    <w:r w:rsidR="00CA370D">
      <w:rPr>
        <w:sz w:val="18"/>
        <w:szCs w:val="18"/>
      </w:rPr>
      <w:t xml:space="preserve"> 202</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01D2D"/>
    <w:multiLevelType w:val="hybridMultilevel"/>
    <w:tmpl w:val="D2D48C1C"/>
    <w:lvl w:ilvl="0" w:tplc="A132A67C">
      <w:start w:val="1"/>
      <w:numFmt w:val="lowerLetter"/>
      <w:lvlText w:val="%1."/>
      <w:lvlJc w:val="left"/>
      <w:pPr>
        <w:ind w:left="720" w:hanging="360"/>
      </w:pPr>
      <w:rPr>
        <w:rFonts w:ascii="Arial" w:eastAsia="Calibr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27707"/>
    <w:multiLevelType w:val="hybridMultilevel"/>
    <w:tmpl w:val="A7365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21"/>
  </w:num>
  <w:num w:numId="4">
    <w:abstractNumId w:val="7"/>
  </w:num>
  <w:num w:numId="5">
    <w:abstractNumId w:val="11"/>
  </w:num>
  <w:num w:numId="6">
    <w:abstractNumId w:val="16"/>
  </w:num>
  <w:num w:numId="7">
    <w:abstractNumId w:val="22"/>
  </w:num>
  <w:num w:numId="8">
    <w:abstractNumId w:val="3"/>
  </w:num>
  <w:num w:numId="9">
    <w:abstractNumId w:val="0"/>
  </w:num>
  <w:num w:numId="10">
    <w:abstractNumId w:val="19"/>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1"/>
  </w:num>
  <w:num w:numId="1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10"/>
  </w:num>
  <w:num w:numId="22">
    <w:abstractNumId w:val="23"/>
  </w:num>
  <w:num w:numId="23">
    <w:abstractNumId w:val="24"/>
  </w:num>
  <w:num w:numId="24">
    <w:abstractNumId w:val="15"/>
  </w:num>
  <w:num w:numId="25">
    <w:abstractNumId w:val="20"/>
  </w:num>
  <w:num w:numId="26">
    <w:abstractNumId w:val="8"/>
  </w:num>
  <w:num w:numId="27">
    <w:abstractNumId w:val="25"/>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713D3"/>
    <w:rsid w:val="00074014"/>
    <w:rsid w:val="00081E8E"/>
    <w:rsid w:val="000A6318"/>
    <w:rsid w:val="000A71F2"/>
    <w:rsid w:val="000C6911"/>
    <w:rsid w:val="000D1502"/>
    <w:rsid w:val="000E64E1"/>
    <w:rsid w:val="001148FD"/>
    <w:rsid w:val="00123D58"/>
    <w:rsid w:val="0012682D"/>
    <w:rsid w:val="001378CB"/>
    <w:rsid w:val="00137D3D"/>
    <w:rsid w:val="00140D08"/>
    <w:rsid w:val="00147437"/>
    <w:rsid w:val="00157A49"/>
    <w:rsid w:val="00171445"/>
    <w:rsid w:val="001721D8"/>
    <w:rsid w:val="001764B3"/>
    <w:rsid w:val="00180DF5"/>
    <w:rsid w:val="0018357E"/>
    <w:rsid w:val="001864A9"/>
    <w:rsid w:val="001A125B"/>
    <w:rsid w:val="001C0D1F"/>
    <w:rsid w:val="001C1481"/>
    <w:rsid w:val="001E779F"/>
    <w:rsid w:val="0021214A"/>
    <w:rsid w:val="00212477"/>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51497"/>
    <w:rsid w:val="00360067"/>
    <w:rsid w:val="00361733"/>
    <w:rsid w:val="0036343A"/>
    <w:rsid w:val="00372195"/>
    <w:rsid w:val="0037373E"/>
    <w:rsid w:val="00375713"/>
    <w:rsid w:val="00382054"/>
    <w:rsid w:val="003911FC"/>
    <w:rsid w:val="003B6839"/>
    <w:rsid w:val="003C45A1"/>
    <w:rsid w:val="003D3B27"/>
    <w:rsid w:val="003F533B"/>
    <w:rsid w:val="00436D2C"/>
    <w:rsid w:val="00447A5F"/>
    <w:rsid w:val="00456B5A"/>
    <w:rsid w:val="00457528"/>
    <w:rsid w:val="004664D3"/>
    <w:rsid w:val="00492602"/>
    <w:rsid w:val="0049423D"/>
    <w:rsid w:val="00494D38"/>
    <w:rsid w:val="004A3BAA"/>
    <w:rsid w:val="004A7395"/>
    <w:rsid w:val="004C1DAD"/>
    <w:rsid w:val="004D1BC7"/>
    <w:rsid w:val="004D20D7"/>
    <w:rsid w:val="004D79B2"/>
    <w:rsid w:val="004F5506"/>
    <w:rsid w:val="004F5612"/>
    <w:rsid w:val="005052D9"/>
    <w:rsid w:val="00505531"/>
    <w:rsid w:val="00516394"/>
    <w:rsid w:val="0052118E"/>
    <w:rsid w:val="00527F95"/>
    <w:rsid w:val="005314A6"/>
    <w:rsid w:val="005502E1"/>
    <w:rsid w:val="0056481B"/>
    <w:rsid w:val="0057156C"/>
    <w:rsid w:val="00571898"/>
    <w:rsid w:val="0057273A"/>
    <w:rsid w:val="00574ECE"/>
    <w:rsid w:val="00574F07"/>
    <w:rsid w:val="0057528C"/>
    <w:rsid w:val="00581E50"/>
    <w:rsid w:val="005835F0"/>
    <w:rsid w:val="005842A0"/>
    <w:rsid w:val="005958DD"/>
    <w:rsid w:val="005A57BA"/>
    <w:rsid w:val="005B15B3"/>
    <w:rsid w:val="005D723D"/>
    <w:rsid w:val="005F0C0A"/>
    <w:rsid w:val="005F2371"/>
    <w:rsid w:val="00605660"/>
    <w:rsid w:val="00623469"/>
    <w:rsid w:val="00634C49"/>
    <w:rsid w:val="00637A67"/>
    <w:rsid w:val="00644AAF"/>
    <w:rsid w:val="00650095"/>
    <w:rsid w:val="00651CA7"/>
    <w:rsid w:val="00656A01"/>
    <w:rsid w:val="00657D21"/>
    <w:rsid w:val="006615EC"/>
    <w:rsid w:val="00673F96"/>
    <w:rsid w:val="00674418"/>
    <w:rsid w:val="00674428"/>
    <w:rsid w:val="00680882"/>
    <w:rsid w:val="00686C26"/>
    <w:rsid w:val="00690023"/>
    <w:rsid w:val="00696F48"/>
    <w:rsid w:val="0069772F"/>
    <w:rsid w:val="006A7D28"/>
    <w:rsid w:val="006B1FDA"/>
    <w:rsid w:val="006C14D0"/>
    <w:rsid w:val="006D3B5F"/>
    <w:rsid w:val="006E0C20"/>
    <w:rsid w:val="006E0F42"/>
    <w:rsid w:val="006E22A3"/>
    <w:rsid w:val="006F35F9"/>
    <w:rsid w:val="007319D7"/>
    <w:rsid w:val="00731FAF"/>
    <w:rsid w:val="007426BF"/>
    <w:rsid w:val="00756748"/>
    <w:rsid w:val="00760FDF"/>
    <w:rsid w:val="0077228E"/>
    <w:rsid w:val="007757E7"/>
    <w:rsid w:val="00781D3B"/>
    <w:rsid w:val="0078566E"/>
    <w:rsid w:val="007A038A"/>
    <w:rsid w:val="007A41F5"/>
    <w:rsid w:val="007B2F2D"/>
    <w:rsid w:val="007B4429"/>
    <w:rsid w:val="007B7425"/>
    <w:rsid w:val="007F5417"/>
    <w:rsid w:val="00804116"/>
    <w:rsid w:val="0080625E"/>
    <w:rsid w:val="00812480"/>
    <w:rsid w:val="00816CE2"/>
    <w:rsid w:val="00821937"/>
    <w:rsid w:val="008340D0"/>
    <w:rsid w:val="008403CA"/>
    <w:rsid w:val="008474A5"/>
    <w:rsid w:val="0085395A"/>
    <w:rsid w:val="00853F8E"/>
    <w:rsid w:val="00855FF5"/>
    <w:rsid w:val="0086142C"/>
    <w:rsid w:val="00870F52"/>
    <w:rsid w:val="00872E7F"/>
    <w:rsid w:val="00880FA9"/>
    <w:rsid w:val="008930F1"/>
    <w:rsid w:val="00893F45"/>
    <w:rsid w:val="008C5414"/>
    <w:rsid w:val="008C66D8"/>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8171A"/>
    <w:rsid w:val="009A6665"/>
    <w:rsid w:val="009C3981"/>
    <w:rsid w:val="009D1341"/>
    <w:rsid w:val="009D6D73"/>
    <w:rsid w:val="009D79C6"/>
    <w:rsid w:val="009F0440"/>
    <w:rsid w:val="009F0526"/>
    <w:rsid w:val="00A01DE3"/>
    <w:rsid w:val="00A06542"/>
    <w:rsid w:val="00A11371"/>
    <w:rsid w:val="00A120E1"/>
    <w:rsid w:val="00A31FAA"/>
    <w:rsid w:val="00A343A9"/>
    <w:rsid w:val="00A5239C"/>
    <w:rsid w:val="00A571F6"/>
    <w:rsid w:val="00A620BD"/>
    <w:rsid w:val="00A650DC"/>
    <w:rsid w:val="00A6764A"/>
    <w:rsid w:val="00A84255"/>
    <w:rsid w:val="00AC1AC7"/>
    <w:rsid w:val="00AD18B8"/>
    <w:rsid w:val="00AD33D5"/>
    <w:rsid w:val="00AE21FC"/>
    <w:rsid w:val="00B01BAA"/>
    <w:rsid w:val="00B07BD7"/>
    <w:rsid w:val="00B12B13"/>
    <w:rsid w:val="00B13AA5"/>
    <w:rsid w:val="00B3099B"/>
    <w:rsid w:val="00B40A71"/>
    <w:rsid w:val="00B503C7"/>
    <w:rsid w:val="00B54AB5"/>
    <w:rsid w:val="00B645C9"/>
    <w:rsid w:val="00B86F04"/>
    <w:rsid w:val="00B92C96"/>
    <w:rsid w:val="00BA64D7"/>
    <w:rsid w:val="00BA68F0"/>
    <w:rsid w:val="00BD08CA"/>
    <w:rsid w:val="00BF0DF4"/>
    <w:rsid w:val="00C00CF2"/>
    <w:rsid w:val="00C12CBE"/>
    <w:rsid w:val="00C15672"/>
    <w:rsid w:val="00C21680"/>
    <w:rsid w:val="00C31421"/>
    <w:rsid w:val="00C33753"/>
    <w:rsid w:val="00C35B94"/>
    <w:rsid w:val="00C559C9"/>
    <w:rsid w:val="00C82FA4"/>
    <w:rsid w:val="00C85EC1"/>
    <w:rsid w:val="00C963FD"/>
    <w:rsid w:val="00CA0669"/>
    <w:rsid w:val="00CA1E7C"/>
    <w:rsid w:val="00CA370D"/>
    <w:rsid w:val="00CA60DF"/>
    <w:rsid w:val="00CB0030"/>
    <w:rsid w:val="00CB7521"/>
    <w:rsid w:val="00CC57AC"/>
    <w:rsid w:val="00CC776C"/>
    <w:rsid w:val="00CD6D68"/>
    <w:rsid w:val="00CF2057"/>
    <w:rsid w:val="00D0584B"/>
    <w:rsid w:val="00D2695E"/>
    <w:rsid w:val="00D450C8"/>
    <w:rsid w:val="00D521FA"/>
    <w:rsid w:val="00D66801"/>
    <w:rsid w:val="00D70191"/>
    <w:rsid w:val="00D779F2"/>
    <w:rsid w:val="00D81121"/>
    <w:rsid w:val="00D939D0"/>
    <w:rsid w:val="00DA6A55"/>
    <w:rsid w:val="00E06F7D"/>
    <w:rsid w:val="00E20F1A"/>
    <w:rsid w:val="00E24139"/>
    <w:rsid w:val="00E3616D"/>
    <w:rsid w:val="00E50862"/>
    <w:rsid w:val="00E60ABB"/>
    <w:rsid w:val="00E62D91"/>
    <w:rsid w:val="00E64F00"/>
    <w:rsid w:val="00E67611"/>
    <w:rsid w:val="00E67713"/>
    <w:rsid w:val="00E72DFF"/>
    <w:rsid w:val="00E92E47"/>
    <w:rsid w:val="00E9576D"/>
    <w:rsid w:val="00EC08AC"/>
    <w:rsid w:val="00EC1948"/>
    <w:rsid w:val="00ED4639"/>
    <w:rsid w:val="00EE54D2"/>
    <w:rsid w:val="00EF7C8A"/>
    <w:rsid w:val="00F2514F"/>
    <w:rsid w:val="00F25E7F"/>
    <w:rsid w:val="00F274DE"/>
    <w:rsid w:val="00F2773E"/>
    <w:rsid w:val="00F6038A"/>
    <w:rsid w:val="00F643E6"/>
    <w:rsid w:val="00F76D69"/>
    <w:rsid w:val="00F9012C"/>
    <w:rsid w:val="00F9097E"/>
    <w:rsid w:val="00F93C6C"/>
    <w:rsid w:val="00FA5147"/>
    <w:rsid w:val="00FB0C11"/>
    <w:rsid w:val="00FB5301"/>
    <w:rsid w:val="00FD4894"/>
    <w:rsid w:val="00FE694E"/>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7CE9F"/>
  <w15:docId w15:val="{1D99A032-E6FC-46FC-86AD-B016B608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A370D"/>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customStyle="1" w:styleId="Heading1Char">
    <w:name w:val="Heading 1 Char"/>
    <w:basedOn w:val="DefaultParagraphFont"/>
    <w:link w:val="Heading1"/>
    <w:rsid w:val="00CA370D"/>
    <w:rPr>
      <w:rFonts w:ascii="Tahoma" w:hAnsi="Tahoma" w:cs="Tahoma"/>
      <w:b/>
      <w:bCs/>
      <w:sz w:val="32"/>
      <w:szCs w:val="24"/>
    </w:rPr>
  </w:style>
  <w:style w:type="character" w:styleId="CommentReference">
    <w:name w:val="annotation reference"/>
    <w:uiPriority w:val="99"/>
    <w:rsid w:val="00CA370D"/>
    <w:rPr>
      <w:sz w:val="16"/>
      <w:szCs w:val="16"/>
    </w:rPr>
  </w:style>
  <w:style w:type="paragraph" w:styleId="CommentText">
    <w:name w:val="annotation text"/>
    <w:basedOn w:val="Normal"/>
    <w:link w:val="CommentTextChar"/>
    <w:uiPriority w:val="99"/>
    <w:rsid w:val="00CA370D"/>
    <w:rPr>
      <w:rFonts w:ascii="Arial" w:hAnsi="Arial"/>
      <w:sz w:val="20"/>
      <w:szCs w:val="20"/>
    </w:rPr>
  </w:style>
  <w:style w:type="character" w:customStyle="1" w:styleId="CommentTextChar">
    <w:name w:val="Comment Text Char"/>
    <w:basedOn w:val="DefaultParagraphFont"/>
    <w:link w:val="CommentText"/>
    <w:uiPriority w:val="99"/>
    <w:rsid w:val="00CA370D"/>
    <w:rPr>
      <w:rFonts w:ascii="Arial" w:hAnsi="Arial"/>
    </w:rPr>
  </w:style>
  <w:style w:type="paragraph" w:styleId="CommentSubject">
    <w:name w:val="annotation subject"/>
    <w:basedOn w:val="CommentText"/>
    <w:next w:val="CommentText"/>
    <w:link w:val="CommentSubjectChar"/>
    <w:semiHidden/>
    <w:unhideWhenUsed/>
    <w:rsid w:val="00CA60DF"/>
    <w:rPr>
      <w:rFonts w:ascii="Times New Roman" w:hAnsi="Times New Roman"/>
      <w:b/>
      <w:bCs/>
    </w:rPr>
  </w:style>
  <w:style w:type="character" w:customStyle="1" w:styleId="CommentSubjectChar">
    <w:name w:val="Comment Subject Char"/>
    <w:basedOn w:val="CommentTextChar"/>
    <w:link w:val="CommentSubject"/>
    <w:semiHidden/>
    <w:rsid w:val="00CA60DF"/>
    <w:rPr>
      <w:rFonts w:ascii="Arial" w:hAnsi="Arial"/>
      <w:b/>
      <w:bCs/>
    </w:rPr>
  </w:style>
  <w:style w:type="character" w:styleId="Hyperlink">
    <w:name w:val="Hyperlink"/>
    <w:basedOn w:val="DefaultParagraphFont"/>
    <w:uiPriority w:val="99"/>
    <w:semiHidden/>
    <w:unhideWhenUsed/>
    <w:rsid w:val="00680882"/>
    <w:rPr>
      <w:color w:val="3366FF"/>
      <w:u w:val="single"/>
    </w:rPr>
  </w:style>
  <w:style w:type="paragraph" w:styleId="Title">
    <w:name w:val="Title"/>
    <w:basedOn w:val="Normal"/>
    <w:link w:val="TitleChar"/>
    <w:uiPriority w:val="10"/>
    <w:qFormat/>
    <w:rsid w:val="00680882"/>
    <w:pPr>
      <w:jc w:val="center"/>
    </w:pPr>
    <w:rPr>
      <w:rFonts w:ascii="Tahoma" w:eastAsiaTheme="minorHAnsi" w:hAnsi="Tahoma" w:cs="Tahoma"/>
      <w:b/>
      <w:bCs/>
      <w:i/>
      <w:iCs/>
      <w:sz w:val="32"/>
      <w:szCs w:val="32"/>
    </w:rPr>
  </w:style>
  <w:style w:type="character" w:customStyle="1" w:styleId="TitleChar">
    <w:name w:val="Title Char"/>
    <w:basedOn w:val="DefaultParagraphFont"/>
    <w:link w:val="Title"/>
    <w:uiPriority w:val="10"/>
    <w:rsid w:val="00680882"/>
    <w:rPr>
      <w:rFonts w:ascii="Tahoma" w:eastAsiaTheme="minorHAnsi" w:hAnsi="Tahoma" w:cs="Tahoma"/>
      <w:b/>
      <w:bCs/>
      <w:i/>
      <w:iCs/>
      <w:sz w:val="32"/>
      <w:szCs w:val="32"/>
    </w:rPr>
  </w:style>
  <w:style w:type="character" w:styleId="FollowedHyperlink">
    <w:name w:val="FollowedHyperlink"/>
    <w:basedOn w:val="DefaultParagraphFont"/>
    <w:semiHidden/>
    <w:unhideWhenUsed/>
    <w:rsid w:val="006808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757289927">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Joseph (EHS)</dc:creator>
  <cp:lastModifiedBy>Sousa, Pam (EHS)</cp:lastModifiedBy>
  <cp:revision>5</cp:revision>
  <cp:lastPrinted>2023-05-31T13:41:00Z</cp:lastPrinted>
  <dcterms:created xsi:type="dcterms:W3CDTF">2023-05-31T13:40:00Z</dcterms:created>
  <dcterms:modified xsi:type="dcterms:W3CDTF">2023-05-31T15:13:00Z</dcterms:modified>
</cp:coreProperties>
</file>