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2DBD5" w14:textId="5B1EBC25" w:rsidR="008F2307" w:rsidRDefault="008F2307" w:rsidP="008F2307">
      <w:pPr>
        <w:pStyle w:val="Noparagraphstyle"/>
        <w:rPr>
          <w:rFonts w:ascii="Arial Narrow" w:hAnsi="Arial Narrow"/>
          <w:b/>
          <w:sz w:val="20"/>
          <w:szCs w:val="20"/>
        </w:rPr>
      </w:pPr>
      <w:r>
        <w:rPr>
          <w:rFonts w:ascii="Arial Narrow" w:hAnsi="Arial Narrow"/>
          <w:b/>
          <w:sz w:val="20"/>
          <w:szCs w:val="20"/>
        </w:rPr>
        <w:t>Numb</w:t>
      </w:r>
      <w:r w:rsidRPr="00635B57">
        <w:rPr>
          <w:rFonts w:ascii="Arial Narrow" w:hAnsi="Arial Narrow"/>
          <w:b/>
          <w:color w:val="auto"/>
          <w:sz w:val="20"/>
          <w:szCs w:val="20"/>
        </w:rPr>
        <w:t xml:space="preserve">er </w:t>
      </w:r>
      <w:r w:rsidR="00635B57" w:rsidRPr="00635B57">
        <w:rPr>
          <w:rFonts w:ascii="Arial Narrow" w:hAnsi="Arial Narrow"/>
          <w:b/>
          <w:color w:val="auto"/>
          <w:sz w:val="20"/>
          <w:szCs w:val="20"/>
        </w:rPr>
        <w:t>204, June 9, 2023</w:t>
      </w:r>
    </w:p>
    <w:p w14:paraId="56A843BC" w14:textId="4E7B52A4" w:rsidR="006F35F9" w:rsidRDefault="00381A1E" w:rsidP="002C3773">
      <w:pPr>
        <w:pStyle w:val="NormalWeb"/>
        <w:shd w:val="clear" w:color="auto" w:fill="FFFFFF"/>
        <w:spacing w:before="0" w:beforeAutospacing="0" w:after="225" w:afterAutospacing="0"/>
        <w:ind w:left="-144" w:right="144"/>
        <w:jc w:val="both"/>
        <w:rPr>
          <w:rFonts w:ascii="Arial" w:hAnsi="Arial" w:cs="Arial"/>
          <w:color w:val="000000"/>
          <w:sz w:val="21"/>
          <w:szCs w:val="21"/>
        </w:rPr>
        <w:sectPr w:rsidR="006F35F9" w:rsidSect="00410B13">
          <w:headerReference w:type="default" r:id="rId8"/>
          <w:footerReference w:type="default" r:id="rId9"/>
          <w:footerReference w:type="first" r:id="rId10"/>
          <w:pgSz w:w="12240" w:h="15840" w:code="1"/>
          <w:pgMar w:top="360" w:right="907" w:bottom="446" w:left="907" w:header="0" w:footer="0" w:gutter="0"/>
          <w:cols w:space="720"/>
          <w:docGrid w:linePitch="360"/>
        </w:sectPr>
      </w:pPr>
      <w:r>
        <w:rPr>
          <w:rFonts w:ascii="Arial" w:hAnsi="Arial" w:cs="Arial"/>
          <w:noProof/>
          <w:color w:val="000000"/>
          <w:sz w:val="21"/>
          <w:szCs w:val="21"/>
        </w:rPr>
        <w:drawing>
          <wp:inline distT="0" distB="0" distL="0" distR="0" wp14:anchorId="6C1E4D12" wp14:editId="332F7B74">
            <wp:extent cx="6807200" cy="1741954"/>
            <wp:effectExtent l="0" t="0" r="0" b="0"/>
            <wp:docPr id="745759799" name="Picture 1" descr="MassHealth Pharmacy Program logo&#10;Pharmacy Facts logo&#10;PHARMACY FACTS&#10;Current information for pharmacists about the MassHealth Pharmacy Program&#10;www.mass.gov/masshealth-pharmacy-facts&#10;Editor: Vic Vangel Contributors: Jennifer Banks, Ryan Bettencourt, Aimee Evers, Neha Kashalikar, Mackenzie McVeigh, Natalie Rodenberg, Nancy Schif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759799" name="Picture 1" descr="MassHealth Pharmacy Program logo&#10;Pharmacy Facts logo&#10;PHARMACY FACTS&#10;Current information for pharmacists about the MassHealth Pharmacy Program&#10;www.mass.gov/masshealth-pharmacy-facts&#10;Editor: Vic Vangel Contributors: Jennifer Banks, Ryan Bettencourt, Aimee Evers, Neha Kashalikar, Mackenzie McVeigh, Natalie Rodenberg, Nancy Schiff&#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7036" cy="1754707"/>
                    </a:xfrm>
                    <a:prstGeom prst="rect">
                      <a:avLst/>
                    </a:prstGeom>
                  </pic:spPr>
                </pic:pic>
              </a:graphicData>
            </a:graphic>
          </wp:inline>
        </w:drawing>
      </w:r>
    </w:p>
    <w:p w14:paraId="04348F1E" w14:textId="1DEA6726" w:rsidR="00635B57" w:rsidRPr="00635B57" w:rsidRDefault="00635B57" w:rsidP="00635B57">
      <w:pPr>
        <w:rPr>
          <w:rFonts w:ascii="Arial Black" w:hAnsi="Arial Black"/>
          <w:sz w:val="28"/>
          <w:szCs w:val="28"/>
        </w:rPr>
      </w:pPr>
      <w:r w:rsidRPr="00635B57">
        <w:rPr>
          <w:rFonts w:ascii="Arial Black" w:hAnsi="Arial Black"/>
          <w:sz w:val="28"/>
          <w:szCs w:val="28"/>
        </w:rPr>
        <w:t xml:space="preserve">Continuity of Care, Including </w:t>
      </w:r>
      <w:r>
        <w:rPr>
          <w:rFonts w:ascii="Arial Black" w:hAnsi="Arial Black"/>
          <w:sz w:val="28"/>
          <w:szCs w:val="28"/>
        </w:rPr>
        <w:t>a</w:t>
      </w:r>
      <w:r w:rsidRPr="00635B57">
        <w:rPr>
          <w:rFonts w:ascii="Arial Black" w:hAnsi="Arial Black"/>
          <w:sz w:val="28"/>
          <w:szCs w:val="28"/>
        </w:rPr>
        <w:t>fter Closure of Medical Practice</w:t>
      </w:r>
    </w:p>
    <w:p w14:paraId="0C866DD5" w14:textId="77777777" w:rsidR="00635B57" w:rsidRPr="00635B57" w:rsidRDefault="00635B57" w:rsidP="00635B57">
      <w:pPr>
        <w:rPr>
          <w:rFonts w:cs="Arial"/>
          <w:b/>
          <w:sz w:val="28"/>
          <w:szCs w:val="28"/>
        </w:rPr>
      </w:pPr>
    </w:p>
    <w:p w14:paraId="6DBDAF49" w14:textId="6681A3C0" w:rsidR="00635B57" w:rsidRPr="00635B57" w:rsidRDefault="00635B57" w:rsidP="00635B57">
      <w:pPr>
        <w:rPr>
          <w:rFonts w:ascii="Arial" w:hAnsi="Arial" w:cs="Arial"/>
          <w:sz w:val="22"/>
          <w:szCs w:val="22"/>
        </w:rPr>
      </w:pPr>
      <w:r w:rsidRPr="00635B57">
        <w:rPr>
          <w:rFonts w:ascii="Arial" w:hAnsi="Arial" w:cs="Arial"/>
          <w:sz w:val="22"/>
          <w:szCs w:val="22"/>
        </w:rPr>
        <w:t xml:space="preserve">The Massachusetts Board of Registration in Pharmacy has issued </w:t>
      </w:r>
      <w:hyperlink r:id="rId12" w:history="1">
        <w:r w:rsidRPr="00635B57">
          <w:rPr>
            <w:rStyle w:val="Hyperlink"/>
            <w:rFonts w:ascii="Arial" w:hAnsi="Arial" w:cs="Arial"/>
            <w:sz w:val="22"/>
            <w:szCs w:val="22"/>
          </w:rPr>
          <w:t>Policy 2023-04: Continuity of Care</w:t>
        </w:r>
      </w:hyperlink>
      <w:r w:rsidRPr="00635B57">
        <w:rPr>
          <w:rFonts w:ascii="Arial" w:hAnsi="Arial" w:cs="Arial"/>
          <w:sz w:val="22"/>
          <w:szCs w:val="22"/>
        </w:rPr>
        <w:t xml:space="preserve">. MassHealth wants to remind pharmacy providers that this policy is in place, as members may be affected by recent medical practice closures. Under this policy, most Schedule VI medications can be dispensed even if there are no remaining refills on a prescription.  </w:t>
      </w:r>
    </w:p>
    <w:p w14:paraId="20FA7E67" w14:textId="052A1F84" w:rsidR="00635B57" w:rsidRDefault="00635B57" w:rsidP="00635B57"/>
    <w:p w14:paraId="0FF44F39" w14:textId="1EB2346C" w:rsidR="00635B57" w:rsidRPr="00635B57" w:rsidRDefault="00635B57" w:rsidP="00635B57">
      <w:pPr>
        <w:rPr>
          <w:rFonts w:ascii="Arial" w:hAnsi="Arial" w:cs="Arial"/>
          <w:sz w:val="22"/>
          <w:szCs w:val="22"/>
        </w:rPr>
      </w:pPr>
      <w:r w:rsidRPr="00635B57">
        <w:rPr>
          <w:rFonts w:ascii="Arial" w:hAnsi="Arial" w:cs="Arial"/>
          <w:sz w:val="22"/>
          <w:szCs w:val="22"/>
        </w:rPr>
        <w:t>This policy states:</w:t>
      </w:r>
      <w:r w:rsidR="0061588C">
        <w:rPr>
          <w:rFonts w:ascii="Arial" w:hAnsi="Arial" w:cs="Arial"/>
          <w:sz w:val="22"/>
          <w:szCs w:val="22"/>
        </w:rPr>
        <w:t xml:space="preserve"> </w:t>
      </w:r>
    </w:p>
    <w:p w14:paraId="2A8FE51F" w14:textId="77777777" w:rsidR="00635B57" w:rsidRPr="00635B57" w:rsidRDefault="00635B57" w:rsidP="00635B57">
      <w:pPr>
        <w:rPr>
          <w:rFonts w:ascii="Arial" w:hAnsi="Arial" w:cs="Arial"/>
          <w:sz w:val="22"/>
          <w:szCs w:val="22"/>
        </w:rPr>
      </w:pPr>
    </w:p>
    <w:p w14:paraId="338F29F8" w14:textId="77777777" w:rsidR="0061588C" w:rsidRPr="0061588C" w:rsidRDefault="0061588C" w:rsidP="00E96688">
      <w:pPr>
        <w:ind w:left="270"/>
        <w:rPr>
          <w:rFonts w:ascii="Arial" w:hAnsi="Arial" w:cs="Arial"/>
          <w:sz w:val="22"/>
          <w:szCs w:val="22"/>
        </w:rPr>
      </w:pPr>
      <w:r w:rsidRPr="0061588C">
        <w:rPr>
          <w:rFonts w:ascii="Arial" w:hAnsi="Arial" w:cs="Arial"/>
          <w:sz w:val="22"/>
          <w:szCs w:val="22"/>
        </w:rPr>
        <w:t>Board of Registration in Pharmacy</w:t>
      </w:r>
    </w:p>
    <w:p w14:paraId="1649CF63" w14:textId="77777777" w:rsidR="0061588C" w:rsidRPr="0061588C" w:rsidRDefault="0061588C" w:rsidP="00E96688">
      <w:pPr>
        <w:ind w:left="270"/>
        <w:rPr>
          <w:rFonts w:ascii="Arial" w:hAnsi="Arial" w:cs="Arial"/>
          <w:sz w:val="22"/>
          <w:szCs w:val="22"/>
        </w:rPr>
      </w:pPr>
      <w:r w:rsidRPr="0061588C">
        <w:rPr>
          <w:rFonts w:ascii="Arial" w:hAnsi="Arial" w:cs="Arial"/>
          <w:sz w:val="22"/>
          <w:szCs w:val="22"/>
        </w:rPr>
        <w:t>Drug Control Program</w:t>
      </w:r>
    </w:p>
    <w:p w14:paraId="28A5B699" w14:textId="77777777" w:rsidR="0061588C" w:rsidRPr="0061588C" w:rsidRDefault="0061588C" w:rsidP="00E96688">
      <w:pPr>
        <w:ind w:left="270"/>
        <w:rPr>
          <w:rFonts w:ascii="Arial" w:hAnsi="Arial" w:cs="Arial"/>
          <w:sz w:val="22"/>
          <w:szCs w:val="22"/>
        </w:rPr>
      </w:pPr>
      <w:r w:rsidRPr="0061588C">
        <w:rPr>
          <w:rFonts w:ascii="Arial" w:hAnsi="Arial" w:cs="Arial"/>
          <w:sz w:val="22"/>
          <w:szCs w:val="22"/>
        </w:rPr>
        <w:t>Policy 2023-04: Continuity of Care</w:t>
      </w:r>
    </w:p>
    <w:p w14:paraId="5D64ED3C" w14:textId="77777777" w:rsidR="0061588C" w:rsidRDefault="0061588C" w:rsidP="00E96688">
      <w:pPr>
        <w:ind w:left="270"/>
        <w:rPr>
          <w:rFonts w:ascii="Arial" w:hAnsi="Arial" w:cs="Arial"/>
          <w:sz w:val="22"/>
          <w:szCs w:val="22"/>
        </w:rPr>
      </w:pPr>
    </w:p>
    <w:p w14:paraId="2CD0B6A5" w14:textId="36F4837C" w:rsidR="00635B57" w:rsidRPr="00635B57" w:rsidRDefault="00635B57" w:rsidP="00E96688">
      <w:pPr>
        <w:ind w:left="270"/>
        <w:rPr>
          <w:rFonts w:ascii="Arial" w:hAnsi="Arial" w:cs="Arial"/>
          <w:sz w:val="22"/>
          <w:szCs w:val="22"/>
        </w:rPr>
      </w:pPr>
      <w:r w:rsidRPr="00635B57">
        <w:rPr>
          <w:rFonts w:ascii="Arial" w:hAnsi="Arial" w:cs="Arial"/>
          <w:sz w:val="22"/>
          <w:szCs w:val="22"/>
        </w:rPr>
        <w:t xml:space="preserve">Under the following conditions, Schedule VI medications may be provided to ensure patient continuity of care if a prescription has </w:t>
      </w:r>
      <w:r w:rsidRPr="00635B57">
        <w:rPr>
          <w:rFonts w:ascii="Arial" w:hAnsi="Arial" w:cs="Arial"/>
          <w:b/>
          <w:bCs/>
          <w:sz w:val="22"/>
          <w:szCs w:val="22"/>
        </w:rPr>
        <w:t>no remaining refills</w:t>
      </w:r>
      <w:r w:rsidRPr="00635B57">
        <w:rPr>
          <w:rFonts w:ascii="Arial" w:hAnsi="Arial" w:cs="Arial"/>
          <w:sz w:val="22"/>
          <w:szCs w:val="22"/>
        </w:rPr>
        <w:t>, and the pharmacist</w:t>
      </w:r>
      <w:r w:rsidR="00F30E73">
        <w:rPr>
          <w:rFonts w:ascii="Arial" w:hAnsi="Arial" w:cs="Arial"/>
          <w:sz w:val="22"/>
          <w:szCs w:val="22"/>
        </w:rPr>
        <w:t xml:space="preserve"> </w:t>
      </w:r>
      <w:r w:rsidRPr="00635B57">
        <w:rPr>
          <w:rFonts w:ascii="Arial" w:hAnsi="Arial" w:cs="Arial"/>
          <w:sz w:val="22"/>
          <w:szCs w:val="22"/>
        </w:rPr>
        <w:t>is unable to obtain prescriber authorization in a timely manner.</w:t>
      </w:r>
    </w:p>
    <w:p w14:paraId="5DFB9588" w14:textId="77777777" w:rsidR="00635B57" w:rsidRPr="00635B57" w:rsidRDefault="00635B57" w:rsidP="00E96688">
      <w:pPr>
        <w:ind w:left="270"/>
        <w:rPr>
          <w:rFonts w:ascii="Arial" w:hAnsi="Arial" w:cs="Arial"/>
          <w:sz w:val="22"/>
          <w:szCs w:val="22"/>
        </w:rPr>
      </w:pPr>
    </w:p>
    <w:p w14:paraId="1939DA21" w14:textId="72C119F5" w:rsidR="00635B57" w:rsidRPr="00635B57" w:rsidRDefault="00635B57" w:rsidP="00E96688">
      <w:pPr>
        <w:ind w:left="270"/>
        <w:rPr>
          <w:rFonts w:ascii="Arial" w:hAnsi="Arial" w:cs="Arial"/>
          <w:sz w:val="22"/>
          <w:szCs w:val="22"/>
        </w:rPr>
      </w:pPr>
      <w:r w:rsidRPr="00635B57">
        <w:rPr>
          <w:rFonts w:ascii="Arial" w:hAnsi="Arial" w:cs="Arial"/>
          <w:sz w:val="22"/>
          <w:szCs w:val="22"/>
        </w:rPr>
        <w:t xml:space="preserve">A. Using professional judgement, a pharmacist may dispense a quantity not to exceed a 30-day supply or the smallest available unit of use packaging. </w:t>
      </w:r>
    </w:p>
    <w:p w14:paraId="397AC0DE" w14:textId="7553698D" w:rsidR="00635B57" w:rsidRPr="00635B57" w:rsidRDefault="00635B57" w:rsidP="00E96688">
      <w:pPr>
        <w:ind w:left="270"/>
        <w:rPr>
          <w:rFonts w:ascii="Arial" w:hAnsi="Arial" w:cs="Arial"/>
          <w:sz w:val="22"/>
          <w:szCs w:val="22"/>
        </w:rPr>
      </w:pPr>
      <w:r w:rsidRPr="00635B57">
        <w:rPr>
          <w:rFonts w:ascii="Arial" w:hAnsi="Arial" w:cs="Arial"/>
          <w:sz w:val="22"/>
          <w:szCs w:val="22"/>
        </w:rPr>
        <w:t xml:space="preserve">B. Only Schedule VI medications that do not require reporting to the PMP may be provided (i.e., gabapentin cannot be provided). </w:t>
      </w:r>
    </w:p>
    <w:p w14:paraId="5532EA8C" w14:textId="5275A9AF" w:rsidR="00635B57" w:rsidRPr="00635B57" w:rsidRDefault="00635B57" w:rsidP="00E96688">
      <w:pPr>
        <w:ind w:left="270"/>
        <w:rPr>
          <w:rFonts w:ascii="Arial" w:hAnsi="Arial" w:cs="Arial"/>
          <w:sz w:val="22"/>
          <w:szCs w:val="22"/>
        </w:rPr>
      </w:pPr>
      <w:r w:rsidRPr="00635B57">
        <w:rPr>
          <w:rFonts w:ascii="Arial" w:hAnsi="Arial" w:cs="Arial"/>
          <w:sz w:val="22"/>
          <w:szCs w:val="22"/>
        </w:rPr>
        <w:t xml:space="preserve">C. The circumstances regarding the continuity of care dispensing must be documented. </w:t>
      </w:r>
    </w:p>
    <w:p w14:paraId="0D0FE96D" w14:textId="73199FC1" w:rsidR="00635B57" w:rsidRPr="00635B57" w:rsidRDefault="00635B57" w:rsidP="00E96688">
      <w:pPr>
        <w:ind w:left="270"/>
        <w:rPr>
          <w:rFonts w:ascii="Arial" w:hAnsi="Arial" w:cs="Arial"/>
          <w:sz w:val="22"/>
          <w:szCs w:val="22"/>
        </w:rPr>
      </w:pPr>
      <w:r w:rsidRPr="00635B57">
        <w:rPr>
          <w:rFonts w:ascii="Arial" w:hAnsi="Arial" w:cs="Arial"/>
          <w:sz w:val="22"/>
          <w:szCs w:val="22"/>
        </w:rPr>
        <w:t>D. The pharmacy must develop policies and procedures for continuity of care dispensing.</w:t>
      </w:r>
    </w:p>
    <w:p w14:paraId="367AC41A" w14:textId="77777777" w:rsidR="00635B57" w:rsidRPr="00635B57" w:rsidRDefault="00635B57" w:rsidP="00E96688">
      <w:pPr>
        <w:ind w:left="270"/>
        <w:rPr>
          <w:rFonts w:ascii="Arial" w:hAnsi="Arial" w:cs="Arial"/>
          <w:sz w:val="22"/>
          <w:szCs w:val="22"/>
        </w:rPr>
      </w:pPr>
    </w:p>
    <w:p w14:paraId="271D67B2" w14:textId="2389385D" w:rsidR="00635B57" w:rsidRPr="00635B57" w:rsidRDefault="00635B57" w:rsidP="00E96688">
      <w:pPr>
        <w:ind w:left="270"/>
        <w:rPr>
          <w:rFonts w:ascii="Arial" w:hAnsi="Arial" w:cs="Arial"/>
          <w:sz w:val="22"/>
          <w:szCs w:val="22"/>
        </w:rPr>
      </w:pPr>
      <w:r w:rsidRPr="00635B57">
        <w:rPr>
          <w:rFonts w:ascii="Arial" w:hAnsi="Arial" w:cs="Arial"/>
          <w:sz w:val="22"/>
          <w:szCs w:val="22"/>
        </w:rPr>
        <w:t xml:space="preserve">When a </w:t>
      </w:r>
      <w:r w:rsidRPr="00635B57">
        <w:rPr>
          <w:rFonts w:ascii="Arial" w:hAnsi="Arial" w:cs="Arial"/>
          <w:b/>
          <w:bCs/>
          <w:sz w:val="22"/>
          <w:szCs w:val="22"/>
        </w:rPr>
        <w:t>prescriber-patient relationship has ended</w:t>
      </w:r>
      <w:r w:rsidRPr="00635B57">
        <w:rPr>
          <w:rFonts w:ascii="Arial" w:hAnsi="Arial" w:cs="Arial"/>
          <w:sz w:val="22"/>
          <w:szCs w:val="22"/>
        </w:rPr>
        <w:t xml:space="preserve"> because a prescriber has ceased to practice for any reason, established drug therapy may be continued in order to enable </w:t>
      </w:r>
      <w:r w:rsidRPr="00635B57">
        <w:rPr>
          <w:rFonts w:ascii="Arial" w:hAnsi="Arial" w:cs="Arial"/>
          <w:sz w:val="22"/>
          <w:szCs w:val="22"/>
        </w:rPr>
        <w:t>the patient time to establish a relationship with another prescriber. In order to do so, the following conditions must be met:</w:t>
      </w:r>
    </w:p>
    <w:p w14:paraId="18F12584" w14:textId="40C5DD37" w:rsidR="00635B57" w:rsidRPr="00635B57" w:rsidRDefault="00635B57" w:rsidP="00E96688">
      <w:pPr>
        <w:ind w:left="270"/>
        <w:rPr>
          <w:rFonts w:ascii="Arial" w:hAnsi="Arial" w:cs="Arial"/>
          <w:sz w:val="22"/>
          <w:szCs w:val="22"/>
        </w:rPr>
      </w:pPr>
      <w:r w:rsidRPr="00635B57">
        <w:rPr>
          <w:rFonts w:ascii="Arial" w:hAnsi="Arial" w:cs="Arial"/>
          <w:sz w:val="22"/>
          <w:szCs w:val="22"/>
        </w:rPr>
        <w:t xml:space="preserve">A. </w:t>
      </w:r>
      <w:bookmarkStart w:id="0" w:name="_Hlk137117995"/>
      <w:r w:rsidRPr="00635B57">
        <w:rPr>
          <w:rFonts w:ascii="Arial" w:hAnsi="Arial" w:cs="Arial"/>
          <w:sz w:val="22"/>
          <w:szCs w:val="22"/>
        </w:rPr>
        <w:t xml:space="preserve">The prescription must have been issued </w:t>
      </w:r>
      <w:r w:rsidR="00F30E73">
        <w:rPr>
          <w:rFonts w:ascii="Arial" w:hAnsi="Arial" w:cs="Arial"/>
          <w:sz w:val="22"/>
          <w:szCs w:val="22"/>
        </w:rPr>
        <w:t>p</w:t>
      </w:r>
      <w:r w:rsidRPr="00635B57">
        <w:rPr>
          <w:rFonts w:ascii="Arial" w:hAnsi="Arial" w:cs="Arial"/>
          <w:sz w:val="22"/>
          <w:szCs w:val="22"/>
        </w:rPr>
        <w:t xml:space="preserve">ursuant to a proper prescriber-patient </w:t>
      </w:r>
    </w:p>
    <w:p w14:paraId="7638E95B" w14:textId="77777777" w:rsidR="00635B57" w:rsidRPr="00635B57" w:rsidRDefault="00635B57" w:rsidP="00E96688">
      <w:pPr>
        <w:ind w:left="270"/>
        <w:rPr>
          <w:rFonts w:ascii="Arial" w:hAnsi="Arial" w:cs="Arial"/>
          <w:sz w:val="22"/>
          <w:szCs w:val="22"/>
        </w:rPr>
      </w:pPr>
      <w:r w:rsidRPr="00635B57">
        <w:rPr>
          <w:rFonts w:ascii="Arial" w:hAnsi="Arial" w:cs="Arial"/>
          <w:sz w:val="22"/>
          <w:szCs w:val="22"/>
        </w:rPr>
        <w:t xml:space="preserve">relationship </w:t>
      </w:r>
      <w:bookmarkEnd w:id="0"/>
      <w:r w:rsidRPr="00635B57">
        <w:rPr>
          <w:rFonts w:ascii="Arial" w:hAnsi="Arial" w:cs="Arial"/>
          <w:sz w:val="22"/>
          <w:szCs w:val="22"/>
        </w:rPr>
        <w:t>while the prescriber was still in practice.</w:t>
      </w:r>
    </w:p>
    <w:p w14:paraId="11DE6FCD" w14:textId="5B9FE11E" w:rsidR="00635B57" w:rsidRPr="00635B57" w:rsidRDefault="00635B57" w:rsidP="00E96688">
      <w:pPr>
        <w:ind w:left="270"/>
        <w:rPr>
          <w:rFonts w:ascii="Arial" w:hAnsi="Arial" w:cs="Arial"/>
          <w:sz w:val="22"/>
          <w:szCs w:val="22"/>
        </w:rPr>
      </w:pPr>
      <w:r w:rsidRPr="00635B57">
        <w:rPr>
          <w:rFonts w:ascii="Arial" w:hAnsi="Arial" w:cs="Arial"/>
          <w:sz w:val="22"/>
          <w:szCs w:val="22"/>
        </w:rPr>
        <w:t xml:space="preserve">B. The prescription is within its expiry period </w:t>
      </w:r>
      <w:r w:rsidR="00F30E73">
        <w:rPr>
          <w:rFonts w:ascii="Arial" w:hAnsi="Arial" w:cs="Arial"/>
          <w:sz w:val="22"/>
          <w:szCs w:val="22"/>
        </w:rPr>
        <w:t>b</w:t>
      </w:r>
      <w:r w:rsidRPr="00635B57">
        <w:rPr>
          <w:rFonts w:ascii="Arial" w:hAnsi="Arial" w:cs="Arial"/>
          <w:sz w:val="22"/>
          <w:szCs w:val="22"/>
        </w:rPr>
        <w:t>ased on its date of issuance (e.g.,</w:t>
      </w:r>
      <w:r w:rsidR="00F30E73">
        <w:rPr>
          <w:rFonts w:ascii="Arial" w:hAnsi="Arial" w:cs="Arial"/>
          <w:sz w:val="22"/>
          <w:szCs w:val="22"/>
        </w:rPr>
        <w:t xml:space="preserve"> </w:t>
      </w:r>
      <w:r w:rsidRPr="00635B57">
        <w:rPr>
          <w:rFonts w:ascii="Arial" w:hAnsi="Arial" w:cs="Arial"/>
          <w:sz w:val="22"/>
          <w:szCs w:val="22"/>
        </w:rPr>
        <w:t>Schedule III written within 6 months, etc.).</w:t>
      </w:r>
    </w:p>
    <w:p w14:paraId="7F3190A1" w14:textId="4810CB84" w:rsidR="00635B57" w:rsidRPr="00635B57" w:rsidRDefault="00635B57" w:rsidP="00E96688">
      <w:pPr>
        <w:ind w:left="270"/>
        <w:rPr>
          <w:rFonts w:ascii="Arial" w:hAnsi="Arial" w:cs="Arial"/>
          <w:sz w:val="22"/>
          <w:szCs w:val="22"/>
        </w:rPr>
      </w:pPr>
      <w:r w:rsidRPr="00635B57">
        <w:rPr>
          <w:rFonts w:ascii="Arial" w:hAnsi="Arial" w:cs="Arial"/>
          <w:sz w:val="22"/>
          <w:szCs w:val="22"/>
        </w:rPr>
        <w:t>C. The previously filled Schedule III – VI prescription has remaining authorized refills.</w:t>
      </w:r>
    </w:p>
    <w:p w14:paraId="6973E4AE" w14:textId="77777777" w:rsidR="00635B57" w:rsidRPr="00635B57" w:rsidRDefault="00635B57" w:rsidP="00E96688">
      <w:pPr>
        <w:ind w:left="270"/>
        <w:rPr>
          <w:rFonts w:ascii="Arial" w:hAnsi="Arial" w:cs="Arial"/>
          <w:sz w:val="22"/>
          <w:szCs w:val="22"/>
        </w:rPr>
      </w:pPr>
      <w:r w:rsidRPr="00635B57">
        <w:rPr>
          <w:rFonts w:ascii="Arial" w:hAnsi="Arial" w:cs="Arial"/>
          <w:sz w:val="22"/>
          <w:szCs w:val="22"/>
        </w:rPr>
        <w:t>D. If multiple Schedule II prescriptions had been issued in accordance with 21 CFR §1306.12, they may be honored.</w:t>
      </w:r>
    </w:p>
    <w:p w14:paraId="38CC6936" w14:textId="62440A78" w:rsidR="00635B57" w:rsidRPr="00635B57" w:rsidRDefault="00635B57" w:rsidP="00E96688">
      <w:pPr>
        <w:ind w:left="270"/>
        <w:rPr>
          <w:rFonts w:ascii="Arial" w:hAnsi="Arial" w:cs="Arial"/>
          <w:sz w:val="22"/>
          <w:szCs w:val="22"/>
        </w:rPr>
      </w:pPr>
      <w:r w:rsidRPr="00635B57">
        <w:rPr>
          <w:rFonts w:ascii="Arial" w:hAnsi="Arial" w:cs="Arial"/>
          <w:sz w:val="22"/>
          <w:szCs w:val="22"/>
        </w:rPr>
        <w:t>E. The pharmacist uses their professional judgment to ensure that the dispensing of the medication remains appropriate.</w:t>
      </w:r>
    </w:p>
    <w:p w14:paraId="14ED12A3" w14:textId="77777777" w:rsidR="00635B57" w:rsidRPr="00635B57" w:rsidRDefault="00635B57" w:rsidP="00E96688">
      <w:pPr>
        <w:ind w:left="270"/>
        <w:rPr>
          <w:rFonts w:ascii="Arial" w:hAnsi="Arial" w:cs="Arial"/>
          <w:sz w:val="22"/>
          <w:szCs w:val="22"/>
        </w:rPr>
      </w:pPr>
    </w:p>
    <w:p w14:paraId="65F0BEC5" w14:textId="4729F276" w:rsidR="00635B57" w:rsidRDefault="00635B57" w:rsidP="00E96688">
      <w:pPr>
        <w:ind w:left="270"/>
        <w:rPr>
          <w:rFonts w:ascii="Arial" w:hAnsi="Arial" w:cs="Arial"/>
          <w:sz w:val="22"/>
          <w:szCs w:val="22"/>
        </w:rPr>
      </w:pPr>
      <w:r w:rsidRPr="00635B57">
        <w:rPr>
          <w:rFonts w:ascii="Arial" w:hAnsi="Arial" w:cs="Arial"/>
          <w:sz w:val="22"/>
          <w:szCs w:val="22"/>
        </w:rPr>
        <w:t>Supersedes Policy 2020-06</w:t>
      </w:r>
    </w:p>
    <w:p w14:paraId="2F477E65" w14:textId="77777777" w:rsidR="00DC2B30" w:rsidRPr="00635B57" w:rsidRDefault="00DC2B30" w:rsidP="00E96688">
      <w:pPr>
        <w:ind w:left="270"/>
        <w:rPr>
          <w:rFonts w:ascii="Arial" w:hAnsi="Arial" w:cs="Arial"/>
          <w:sz w:val="22"/>
          <w:szCs w:val="22"/>
        </w:rPr>
      </w:pPr>
    </w:p>
    <w:p w14:paraId="5FD37750" w14:textId="1B77719F" w:rsidR="00635B57" w:rsidRDefault="00635B57" w:rsidP="00E96688">
      <w:pPr>
        <w:ind w:left="270"/>
        <w:rPr>
          <w:rFonts w:ascii="Arial" w:hAnsi="Arial" w:cs="Arial"/>
          <w:sz w:val="22"/>
          <w:szCs w:val="22"/>
        </w:rPr>
      </w:pPr>
      <w:bookmarkStart w:id="1" w:name="_Hlk137118952"/>
      <w:r w:rsidRPr="00635B57">
        <w:rPr>
          <w:rFonts w:ascii="Arial" w:hAnsi="Arial" w:cs="Arial"/>
          <w:sz w:val="22"/>
          <w:szCs w:val="22"/>
        </w:rPr>
        <w:t xml:space="preserve">Please direct any questions to: </w:t>
      </w:r>
      <w:hyperlink r:id="rId13" w:history="1">
        <w:r w:rsidRPr="005D7322">
          <w:rPr>
            <w:rStyle w:val="Hyperlink"/>
            <w:rFonts w:ascii="Arial" w:hAnsi="Arial" w:cs="Arial"/>
            <w:sz w:val="22"/>
            <w:szCs w:val="22"/>
          </w:rPr>
          <w:t>Pharmacy.Admin@mass.gov</w:t>
        </w:r>
      </w:hyperlink>
      <w:r>
        <w:rPr>
          <w:rFonts w:ascii="Arial" w:hAnsi="Arial" w:cs="Arial"/>
          <w:sz w:val="22"/>
          <w:szCs w:val="22"/>
        </w:rPr>
        <w:t>.</w:t>
      </w:r>
    </w:p>
    <w:p w14:paraId="5577E575" w14:textId="77777777" w:rsidR="00635B57" w:rsidRPr="00635B57" w:rsidRDefault="00635B57" w:rsidP="00635B57">
      <w:pPr>
        <w:rPr>
          <w:rFonts w:ascii="Arial" w:hAnsi="Arial" w:cs="Arial"/>
          <w:sz w:val="22"/>
          <w:szCs w:val="22"/>
        </w:rPr>
      </w:pPr>
    </w:p>
    <w:bookmarkEnd w:id="1"/>
    <w:p w14:paraId="1E0F61C7" w14:textId="77777777" w:rsidR="009D6AAA" w:rsidRDefault="009D6AAA" w:rsidP="009D4391">
      <w:pPr>
        <w:shd w:val="clear" w:color="auto" w:fill="FFFFFF"/>
        <w:rPr>
          <w:bCs/>
          <w:sz w:val="18"/>
          <w:szCs w:val="18"/>
        </w:rPr>
      </w:pPr>
    </w:p>
    <w:sectPr w:rsidR="009D6AAA" w:rsidSect="00A262A2">
      <w:type w:val="continuous"/>
      <w:pgSz w:w="12240" w:h="15840" w:code="1"/>
      <w:pgMar w:top="360" w:right="907" w:bottom="1080" w:left="907" w:header="720" w:footer="576"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E331B" w14:textId="77777777" w:rsidR="007326EC" w:rsidRDefault="007326EC" w:rsidP="00492602">
      <w:r>
        <w:separator/>
      </w:r>
    </w:p>
  </w:endnote>
  <w:endnote w:type="continuationSeparator" w:id="0">
    <w:p w14:paraId="4E0C2604" w14:textId="77777777" w:rsidR="007326EC" w:rsidRDefault="007326EC"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DE61D" w14:textId="77777777" w:rsidR="00AF19BA" w:rsidRDefault="00A330FD" w:rsidP="00AF19BA">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00AF19BA" w:rsidRPr="002D3600">
      <w:rPr>
        <w:rFonts w:ascii="Arial" w:hAnsi="Arial" w:cs="Arial"/>
        <w:iCs/>
        <w:sz w:val="18"/>
        <w:szCs w:val="18"/>
      </w:rPr>
      <w:t xml:space="preserve"> questions or comments</w:t>
    </w:r>
    <w:r>
      <w:rPr>
        <w:rFonts w:ascii="Arial" w:hAnsi="Arial" w:cs="Arial"/>
        <w:iCs/>
        <w:sz w:val="18"/>
        <w:szCs w:val="18"/>
      </w:rPr>
      <w:t xml:space="preserve"> (or </w:t>
    </w:r>
    <w:r w:rsidR="00AF19BA" w:rsidRPr="002D3600">
      <w:rPr>
        <w:rFonts w:ascii="Arial" w:hAnsi="Arial" w:cs="Arial"/>
        <w:iCs/>
        <w:sz w:val="18"/>
        <w:szCs w:val="18"/>
      </w:rPr>
      <w:t>to be removed from this fax distribution</w:t>
    </w:r>
    <w:r>
      <w:rPr>
        <w:rFonts w:ascii="Arial" w:hAnsi="Arial" w:cs="Arial"/>
        <w:iCs/>
        <w:sz w:val="18"/>
        <w:szCs w:val="18"/>
      </w:rPr>
      <w:t>)</w:t>
    </w:r>
    <w:r w:rsidR="00AF19BA" w:rsidRPr="002D3600">
      <w:rPr>
        <w:rFonts w:ascii="Arial" w:hAnsi="Arial" w:cs="Arial"/>
        <w:iCs/>
        <w:sz w:val="18"/>
        <w:szCs w:val="18"/>
      </w:rPr>
      <w:t xml:space="preserve"> </w:t>
    </w:r>
    <w:r w:rsidR="00183133">
      <w:rPr>
        <w:rFonts w:ascii="Arial" w:hAnsi="Arial" w:cs="Arial"/>
        <w:iCs/>
        <w:sz w:val="18"/>
        <w:szCs w:val="18"/>
      </w:rPr>
      <w:t>to</w:t>
    </w:r>
  </w:p>
  <w:p w14:paraId="7611DF64" w14:textId="4C9EE68C" w:rsidR="00AF19BA" w:rsidRPr="00E24139" w:rsidRDefault="000433FA" w:rsidP="00AF19BA">
    <w:pPr>
      <w:tabs>
        <w:tab w:val="left" w:pos="-90"/>
      </w:tabs>
      <w:autoSpaceDE w:val="0"/>
      <w:autoSpaceDN w:val="0"/>
      <w:adjustRightInd w:val="0"/>
      <w:jc w:val="center"/>
      <w:textAlignment w:val="baseline"/>
    </w:pPr>
    <w:hyperlink r:id="rId1" w:history="1">
      <w:r w:rsidR="00A330FD" w:rsidRPr="00386AF8">
        <w:rPr>
          <w:rStyle w:val="Hyperlink"/>
          <w:rFonts w:ascii="Arial" w:hAnsi="Arial" w:cs="Arial"/>
          <w:iCs/>
          <w:sz w:val="18"/>
          <w:szCs w:val="18"/>
        </w:rPr>
        <w:t>PharmFactsMA@Conduent.com</w:t>
      </w:r>
    </w:hyperlink>
    <w:r w:rsidR="00065861">
      <w:rPr>
        <w:rFonts w:ascii="Arial" w:hAnsi="Arial" w:cs="Arial"/>
        <w:iCs/>
        <w:sz w:val="18"/>
        <w:szCs w:val="18"/>
      </w:rPr>
      <w:t>.</w:t>
    </w:r>
    <w:r w:rsidR="00A330FD">
      <w:rPr>
        <w:rFonts w:ascii="Arial" w:hAnsi="Arial" w:cs="Arial"/>
        <w:iCs/>
        <w:sz w:val="18"/>
        <w:szCs w:val="18"/>
      </w:rPr>
      <w:t xml:space="preserve"> </w:t>
    </w:r>
  </w:p>
  <w:p w14:paraId="26B3FF02" w14:textId="77777777" w:rsidR="00637A67" w:rsidRDefault="006D3B5F" w:rsidP="00AF19BA">
    <w:pPr>
      <w:pStyle w:val="Foote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1C125" w14:textId="77777777" w:rsidR="00637A67" w:rsidRDefault="00637A67">
    <w:pPr>
      <w:pStyle w:val="Footer"/>
    </w:pPr>
    <w:r>
      <w:t>[Type text]</w:t>
    </w:r>
  </w:p>
  <w:p w14:paraId="1D4B9191" w14:textId="77777777" w:rsidR="00637A67" w:rsidRDefault="0063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BD33F" w14:textId="77777777" w:rsidR="007326EC" w:rsidRDefault="007326EC" w:rsidP="00492602">
      <w:r>
        <w:separator/>
      </w:r>
    </w:p>
  </w:footnote>
  <w:footnote w:type="continuationSeparator" w:id="0">
    <w:p w14:paraId="2A6C5C31" w14:textId="77777777" w:rsidR="007326EC" w:rsidRDefault="007326EC"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C34C6" w14:textId="77777777" w:rsidR="00492602" w:rsidRDefault="00492602" w:rsidP="00492602">
    <w:pPr>
      <w:pStyle w:val="Header"/>
    </w:pPr>
  </w:p>
  <w:p w14:paraId="7FC1742E" w14:textId="77777777" w:rsidR="00492602" w:rsidRDefault="0049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2"/>
  </w:num>
  <w:num w:numId="5">
    <w:abstractNumId w:val="3"/>
  </w:num>
  <w:num w:numId="6">
    <w:abstractNumId w:val="5"/>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2F24"/>
    <w:rsid w:val="000433FA"/>
    <w:rsid w:val="0005108C"/>
    <w:rsid w:val="00054839"/>
    <w:rsid w:val="00065861"/>
    <w:rsid w:val="00074014"/>
    <w:rsid w:val="00081E8E"/>
    <w:rsid w:val="000A1DA2"/>
    <w:rsid w:val="000B340B"/>
    <w:rsid w:val="000D1502"/>
    <w:rsid w:val="0013364C"/>
    <w:rsid w:val="00137D3D"/>
    <w:rsid w:val="00140D08"/>
    <w:rsid w:val="00147437"/>
    <w:rsid w:val="00157A49"/>
    <w:rsid w:val="001721D8"/>
    <w:rsid w:val="00183133"/>
    <w:rsid w:val="0018357E"/>
    <w:rsid w:val="001864A9"/>
    <w:rsid w:val="001C1481"/>
    <w:rsid w:val="001C17CD"/>
    <w:rsid w:val="001E0E7A"/>
    <w:rsid w:val="001F701D"/>
    <w:rsid w:val="002509E9"/>
    <w:rsid w:val="00276F3A"/>
    <w:rsid w:val="00286CBE"/>
    <w:rsid w:val="002967D3"/>
    <w:rsid w:val="002B0EB6"/>
    <w:rsid w:val="002C3773"/>
    <w:rsid w:val="002C54C4"/>
    <w:rsid w:val="002C7C67"/>
    <w:rsid w:val="002D390F"/>
    <w:rsid w:val="002D738C"/>
    <w:rsid w:val="003152DA"/>
    <w:rsid w:val="0033053B"/>
    <w:rsid w:val="00360067"/>
    <w:rsid w:val="0036343A"/>
    <w:rsid w:val="0037373E"/>
    <w:rsid w:val="00381A1E"/>
    <w:rsid w:val="00382054"/>
    <w:rsid w:val="00394FF0"/>
    <w:rsid w:val="003B3B03"/>
    <w:rsid w:val="003B6839"/>
    <w:rsid w:val="00410B13"/>
    <w:rsid w:val="00417EB4"/>
    <w:rsid w:val="0043707B"/>
    <w:rsid w:val="004417DC"/>
    <w:rsid w:val="00447A5F"/>
    <w:rsid w:val="004664D3"/>
    <w:rsid w:val="00490291"/>
    <w:rsid w:val="00492602"/>
    <w:rsid w:val="004A3BAA"/>
    <w:rsid w:val="004A7395"/>
    <w:rsid w:val="004C4924"/>
    <w:rsid w:val="004F5612"/>
    <w:rsid w:val="00516394"/>
    <w:rsid w:val="005314A6"/>
    <w:rsid w:val="005502E1"/>
    <w:rsid w:val="00562888"/>
    <w:rsid w:val="0056481B"/>
    <w:rsid w:val="00571898"/>
    <w:rsid w:val="00574F07"/>
    <w:rsid w:val="00581E50"/>
    <w:rsid w:val="005842A0"/>
    <w:rsid w:val="00593CA7"/>
    <w:rsid w:val="005958DD"/>
    <w:rsid w:val="005A57BA"/>
    <w:rsid w:val="005E089A"/>
    <w:rsid w:val="0061588C"/>
    <w:rsid w:val="00623469"/>
    <w:rsid w:val="00635B57"/>
    <w:rsid w:val="00637A67"/>
    <w:rsid w:val="006421B9"/>
    <w:rsid w:val="00650095"/>
    <w:rsid w:val="00651CA7"/>
    <w:rsid w:val="00674418"/>
    <w:rsid w:val="00674428"/>
    <w:rsid w:val="00686C26"/>
    <w:rsid w:val="00690023"/>
    <w:rsid w:val="0069772F"/>
    <w:rsid w:val="006D3B5F"/>
    <w:rsid w:val="006E0C20"/>
    <w:rsid w:val="006E22A3"/>
    <w:rsid w:val="006F35F9"/>
    <w:rsid w:val="007319D7"/>
    <w:rsid w:val="00731FAF"/>
    <w:rsid w:val="007326EC"/>
    <w:rsid w:val="007426BF"/>
    <w:rsid w:val="00752566"/>
    <w:rsid w:val="00760FDF"/>
    <w:rsid w:val="007757E7"/>
    <w:rsid w:val="007A41F5"/>
    <w:rsid w:val="007B7425"/>
    <w:rsid w:val="007C290F"/>
    <w:rsid w:val="007F5417"/>
    <w:rsid w:val="00812480"/>
    <w:rsid w:val="00821937"/>
    <w:rsid w:val="008403CA"/>
    <w:rsid w:val="0085395A"/>
    <w:rsid w:val="00853F8E"/>
    <w:rsid w:val="00861844"/>
    <w:rsid w:val="00872E7F"/>
    <w:rsid w:val="00880FA9"/>
    <w:rsid w:val="008930F1"/>
    <w:rsid w:val="00893F45"/>
    <w:rsid w:val="008978FF"/>
    <w:rsid w:val="008C5414"/>
    <w:rsid w:val="008E62B4"/>
    <w:rsid w:val="008F0130"/>
    <w:rsid w:val="008F2307"/>
    <w:rsid w:val="008F2E4C"/>
    <w:rsid w:val="00906EEC"/>
    <w:rsid w:val="009166DF"/>
    <w:rsid w:val="009204C7"/>
    <w:rsid w:val="00922030"/>
    <w:rsid w:val="00941258"/>
    <w:rsid w:val="00942245"/>
    <w:rsid w:val="00956812"/>
    <w:rsid w:val="009725E5"/>
    <w:rsid w:val="00981567"/>
    <w:rsid w:val="00985A71"/>
    <w:rsid w:val="009B437C"/>
    <w:rsid w:val="009C3981"/>
    <w:rsid w:val="009D4391"/>
    <w:rsid w:val="009D6AAA"/>
    <w:rsid w:val="009F0440"/>
    <w:rsid w:val="00A01DE3"/>
    <w:rsid w:val="00A11371"/>
    <w:rsid w:val="00A120E1"/>
    <w:rsid w:val="00A262A2"/>
    <w:rsid w:val="00A330FD"/>
    <w:rsid w:val="00A343A9"/>
    <w:rsid w:val="00A405B4"/>
    <w:rsid w:val="00A5239C"/>
    <w:rsid w:val="00A650DC"/>
    <w:rsid w:val="00A84255"/>
    <w:rsid w:val="00A87E7D"/>
    <w:rsid w:val="00A91725"/>
    <w:rsid w:val="00AC1AC7"/>
    <w:rsid w:val="00AD18B8"/>
    <w:rsid w:val="00AD4750"/>
    <w:rsid w:val="00AD7369"/>
    <w:rsid w:val="00AE21FC"/>
    <w:rsid w:val="00AF19BA"/>
    <w:rsid w:val="00AF3D5A"/>
    <w:rsid w:val="00B01BAA"/>
    <w:rsid w:val="00B07BD7"/>
    <w:rsid w:val="00B3099B"/>
    <w:rsid w:val="00B54AB5"/>
    <w:rsid w:val="00B92C96"/>
    <w:rsid w:val="00BA68F0"/>
    <w:rsid w:val="00BD08CA"/>
    <w:rsid w:val="00C31421"/>
    <w:rsid w:val="00C33753"/>
    <w:rsid w:val="00C35B94"/>
    <w:rsid w:val="00C671DE"/>
    <w:rsid w:val="00C82FA4"/>
    <w:rsid w:val="00CA0669"/>
    <w:rsid w:val="00CB0030"/>
    <w:rsid w:val="00CB7178"/>
    <w:rsid w:val="00CC3C2D"/>
    <w:rsid w:val="00CC57AC"/>
    <w:rsid w:val="00CC776C"/>
    <w:rsid w:val="00CE1E17"/>
    <w:rsid w:val="00D163F4"/>
    <w:rsid w:val="00D2695E"/>
    <w:rsid w:val="00D4030C"/>
    <w:rsid w:val="00D63E59"/>
    <w:rsid w:val="00D81121"/>
    <w:rsid w:val="00D93833"/>
    <w:rsid w:val="00DC2B30"/>
    <w:rsid w:val="00E24139"/>
    <w:rsid w:val="00E60ABB"/>
    <w:rsid w:val="00E67713"/>
    <w:rsid w:val="00E92E47"/>
    <w:rsid w:val="00E9576D"/>
    <w:rsid w:val="00E96688"/>
    <w:rsid w:val="00EC08AC"/>
    <w:rsid w:val="00EC2856"/>
    <w:rsid w:val="00EF7C8A"/>
    <w:rsid w:val="00F03AE8"/>
    <w:rsid w:val="00F053E2"/>
    <w:rsid w:val="00F25E7F"/>
    <w:rsid w:val="00F30E73"/>
    <w:rsid w:val="00F76D69"/>
    <w:rsid w:val="00F906CF"/>
    <w:rsid w:val="00F9387A"/>
    <w:rsid w:val="00FA5147"/>
    <w:rsid w:val="00FB0C11"/>
    <w:rsid w:val="00FB39E3"/>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4E252B2"/>
  <w15:docId w15:val="{52DBA5F2-0995-4666-BB08-6C516F06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35B5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character" w:customStyle="1" w:styleId="Heading1Char">
    <w:name w:val="Heading 1 Char"/>
    <w:basedOn w:val="DefaultParagraphFont"/>
    <w:link w:val="Heading1"/>
    <w:rsid w:val="00635B5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35B57"/>
    <w:pPr>
      <w:ind w:left="720"/>
      <w:contextualSpacing/>
    </w:pPr>
  </w:style>
  <w:style w:type="character" w:styleId="FollowedHyperlink">
    <w:name w:val="FollowedHyperlink"/>
    <w:basedOn w:val="DefaultParagraphFont"/>
    <w:semiHidden/>
    <w:unhideWhenUsed/>
    <w:rsid w:val="00635B57"/>
    <w:rPr>
      <w:color w:val="800080" w:themeColor="followedHyperlink"/>
      <w:u w:val="single"/>
    </w:rPr>
  </w:style>
  <w:style w:type="character" w:styleId="UnresolvedMention">
    <w:name w:val="Unresolved Mention"/>
    <w:basedOn w:val="DefaultParagraphFont"/>
    <w:uiPriority w:val="99"/>
    <w:semiHidden/>
    <w:unhideWhenUsed/>
    <w:rsid w:val="00635B57"/>
    <w:rPr>
      <w:color w:val="605E5C"/>
      <w:shd w:val="clear" w:color="auto" w:fill="E1DFDD"/>
    </w:rPr>
  </w:style>
  <w:style w:type="character" w:styleId="CommentReference">
    <w:name w:val="annotation reference"/>
    <w:basedOn w:val="DefaultParagraphFont"/>
    <w:semiHidden/>
    <w:unhideWhenUsed/>
    <w:rsid w:val="00752566"/>
    <w:rPr>
      <w:sz w:val="16"/>
      <w:szCs w:val="16"/>
    </w:rPr>
  </w:style>
  <w:style w:type="paragraph" w:styleId="CommentText">
    <w:name w:val="annotation text"/>
    <w:basedOn w:val="Normal"/>
    <w:link w:val="CommentTextChar"/>
    <w:semiHidden/>
    <w:unhideWhenUsed/>
    <w:rsid w:val="00752566"/>
    <w:rPr>
      <w:sz w:val="20"/>
      <w:szCs w:val="20"/>
    </w:rPr>
  </w:style>
  <w:style w:type="character" w:customStyle="1" w:styleId="CommentTextChar">
    <w:name w:val="Comment Text Char"/>
    <w:basedOn w:val="DefaultParagraphFont"/>
    <w:link w:val="CommentText"/>
    <w:semiHidden/>
    <w:rsid w:val="00752566"/>
  </w:style>
  <w:style w:type="paragraph" w:styleId="CommentSubject">
    <w:name w:val="annotation subject"/>
    <w:basedOn w:val="CommentText"/>
    <w:next w:val="CommentText"/>
    <w:link w:val="CommentSubjectChar"/>
    <w:semiHidden/>
    <w:unhideWhenUsed/>
    <w:rsid w:val="00752566"/>
    <w:rPr>
      <w:b/>
      <w:bCs/>
    </w:rPr>
  </w:style>
  <w:style w:type="character" w:customStyle="1" w:styleId="CommentSubjectChar">
    <w:name w:val="Comment Subject Char"/>
    <w:basedOn w:val="CommentTextChar"/>
    <w:link w:val="CommentSubject"/>
    <w:semiHidden/>
    <w:rsid w:val="007525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harmacy.Admin@mas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2023-04-continuity-of-care-pdf/downlo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3F95-AA02-4047-8BF3-1E5A2E8C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2030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Joseph (EHS)</dc:creator>
  <cp:lastModifiedBy>Luca, Joseph (EHS)</cp:lastModifiedBy>
  <cp:revision>2</cp:revision>
  <dcterms:created xsi:type="dcterms:W3CDTF">2023-06-08T20:58:00Z</dcterms:created>
  <dcterms:modified xsi:type="dcterms:W3CDTF">2023-06-08T20:58:00Z</dcterms:modified>
</cp:coreProperties>
</file>