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69479110"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2B136A" w:rsidRPr="002B136A">
        <w:rPr>
          <w:rFonts w:ascii="Arial Narrow" w:hAnsi="Arial Narrow"/>
          <w:b/>
          <w:color w:val="auto"/>
          <w:sz w:val="20"/>
          <w:szCs w:val="20"/>
        </w:rPr>
        <w:t>210, September 26, 2023</w:t>
      </w:r>
      <w:r w:rsidRPr="002B136A">
        <w:rPr>
          <w:rFonts w:ascii="Arial Narrow" w:hAnsi="Arial Narrow"/>
          <w:b/>
          <w:color w:val="auto"/>
          <w:sz w:val="20"/>
          <w:szCs w:val="20"/>
        </w:rPr>
        <w:t xml:space="preserve"> </w:t>
      </w:r>
    </w:p>
    <w:p w14:paraId="5B1A8BE8" w14:textId="4A43F5F7" w:rsidR="006F35F9" w:rsidRDefault="006E755C" w:rsidP="00E44D32">
      <w:pPr>
        <w:tabs>
          <w:tab w:val="left" w:pos="10530"/>
        </w:tabs>
        <w:spacing w:after="240"/>
        <w:ind w:left="-144"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2C3FEC5C" wp14:editId="5AB2887A">
            <wp:extent cx="6848803" cy="1752600"/>
            <wp:effectExtent l="0" t="0" r="0" b="0"/>
            <wp:docPr id="1902651292" name="Picture 1" descr="Pharmacy Facts&#10;Current information for pharmacists about the MassHealth Pharmacy Program&#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51292" name="Picture 1" descr="Pharmacy Facts&#10;Current information for pharmacists about the MassHealth Pharmacy Program&#10;www.mass.gov/masshealth-pharmacy-fac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71851" cy="1758498"/>
                    </a:xfrm>
                    <a:prstGeom prst="rect">
                      <a:avLst/>
                    </a:prstGeom>
                  </pic:spPr>
                </pic:pic>
              </a:graphicData>
            </a:graphic>
          </wp:inline>
        </w:drawing>
      </w:r>
    </w:p>
    <w:p w14:paraId="5B1A8BEA" w14:textId="64D7F0BE" w:rsidR="00CD6D68" w:rsidRDefault="00F16F89" w:rsidP="00CD6D68">
      <w:pPr>
        <w:rPr>
          <w:rFonts w:ascii="Arial Black" w:hAnsi="Arial Black" w:cs="Arial"/>
          <w:b/>
        </w:rPr>
      </w:pPr>
      <w:r w:rsidRPr="00F16F89">
        <w:rPr>
          <w:rFonts w:ascii="Arial Black" w:hAnsi="Arial Black" w:cs="Arial"/>
          <w:b/>
        </w:rPr>
        <w:t>New 2023</w:t>
      </w:r>
      <w:r w:rsidR="00DC307A">
        <w:rPr>
          <w:rFonts w:ascii="Arial Black" w:hAnsi="Arial Black" w:cs="Arial"/>
          <w:b/>
        </w:rPr>
        <w:t>–</w:t>
      </w:r>
      <w:r w:rsidRPr="00F16F89">
        <w:rPr>
          <w:rFonts w:ascii="Arial Black" w:hAnsi="Arial Black" w:cs="Arial"/>
          <w:b/>
        </w:rPr>
        <w:t>2024 mRNA COVID Vaccines</w:t>
      </w:r>
    </w:p>
    <w:p w14:paraId="67A4F055" w14:textId="77777777" w:rsidR="00F16F89" w:rsidRPr="00C60193" w:rsidRDefault="00F16F89" w:rsidP="00CD6D68">
      <w:pPr>
        <w:rPr>
          <w:sz w:val="22"/>
          <w:szCs w:val="22"/>
        </w:rPr>
      </w:pPr>
    </w:p>
    <w:p w14:paraId="5B1A8BEC" w14:textId="49E6729B" w:rsidR="00171445" w:rsidRDefault="002B136A" w:rsidP="00CD6D68">
      <w:pPr>
        <w:rPr>
          <w:rFonts w:ascii="Arial" w:hAnsi="Arial" w:cs="Arial"/>
          <w:sz w:val="22"/>
          <w:szCs w:val="22"/>
        </w:rPr>
      </w:pPr>
      <w:r w:rsidRPr="002B136A">
        <w:rPr>
          <w:rFonts w:ascii="Arial" w:hAnsi="Arial" w:cs="Arial"/>
          <w:sz w:val="22"/>
          <w:szCs w:val="22"/>
        </w:rPr>
        <w:t>Updated 2023</w:t>
      </w:r>
      <w:r w:rsidR="00DC307A">
        <w:rPr>
          <w:rFonts w:ascii="Arial" w:hAnsi="Arial" w:cs="Arial"/>
          <w:sz w:val="22"/>
          <w:szCs w:val="22"/>
        </w:rPr>
        <w:t>–</w:t>
      </w:r>
      <w:r w:rsidRPr="002B136A">
        <w:rPr>
          <w:rFonts w:ascii="Arial" w:hAnsi="Arial" w:cs="Arial"/>
          <w:sz w:val="22"/>
          <w:szCs w:val="22"/>
        </w:rPr>
        <w:t xml:space="preserve">2024 mRNA COVID vaccines have recently entered the commercial market. Effective </w:t>
      </w:r>
      <w:r w:rsidR="00F16F89" w:rsidRPr="00F16F89">
        <w:rPr>
          <w:rFonts w:ascii="Arial" w:hAnsi="Arial" w:cs="Arial"/>
          <w:sz w:val="22"/>
          <w:szCs w:val="22"/>
        </w:rPr>
        <w:t>September 11, 2023, the MassHealth Pharmacy Program covers the updated 2023</w:t>
      </w:r>
      <w:r w:rsidR="00DC307A">
        <w:rPr>
          <w:rFonts w:ascii="Arial" w:hAnsi="Arial" w:cs="Arial"/>
          <w:sz w:val="22"/>
          <w:szCs w:val="22"/>
        </w:rPr>
        <w:t>–</w:t>
      </w:r>
      <w:r w:rsidR="00F16F89" w:rsidRPr="00F16F89">
        <w:rPr>
          <w:rFonts w:ascii="Arial" w:hAnsi="Arial" w:cs="Arial"/>
          <w:sz w:val="22"/>
          <w:szCs w:val="22"/>
        </w:rPr>
        <w:t>2024 mRNA COVID vaccines and their administration as approved or authorized for emergency use by the Food and Drug Administration (FDA) and recommended by the Advisory Committee on Immunization Practices (ACIP) of the Centers for Disease Control (CDC).</w:t>
      </w:r>
    </w:p>
    <w:p w14:paraId="13A139C3" w14:textId="77777777" w:rsidR="00F16F89" w:rsidRPr="00171445" w:rsidRDefault="00F16F89" w:rsidP="00CD6D68">
      <w:pPr>
        <w:rPr>
          <w:rFonts w:ascii="Arial" w:hAnsi="Arial" w:cs="Arial"/>
          <w:sz w:val="22"/>
          <w:szCs w:val="22"/>
        </w:rPr>
      </w:pPr>
    </w:p>
    <w:p w14:paraId="3A1E5FF2" w14:textId="01C44607" w:rsidR="00F16F89" w:rsidRPr="00F16F89" w:rsidRDefault="00F16F89" w:rsidP="00F16F89">
      <w:pPr>
        <w:pStyle w:val="Default"/>
        <w:tabs>
          <w:tab w:val="left" w:pos="0"/>
        </w:tabs>
        <w:spacing w:line="276" w:lineRule="auto"/>
        <w:rPr>
          <w:rFonts w:ascii="Arial" w:hAnsi="Arial" w:cs="Arial"/>
          <w:bCs/>
          <w:sz w:val="22"/>
          <w:szCs w:val="22"/>
        </w:rPr>
      </w:pPr>
      <w:r w:rsidRPr="00F16F89">
        <w:rPr>
          <w:rFonts w:ascii="Arial" w:hAnsi="Arial" w:cs="Arial"/>
          <w:bCs/>
          <w:sz w:val="22"/>
          <w:szCs w:val="22"/>
        </w:rPr>
        <w:t>Pharmacies may bill for administration of commercially available COVID vaccines through the Pharmacy Online Processing System (POPS), using the following instructions.</w:t>
      </w:r>
    </w:p>
    <w:p w14:paraId="3A539FC8" w14:textId="0AACCEAD" w:rsidR="00F16F89" w:rsidRPr="00F16F89" w:rsidRDefault="00F16F89" w:rsidP="00F16F89">
      <w:pPr>
        <w:pStyle w:val="Default"/>
        <w:numPr>
          <w:ilvl w:val="0"/>
          <w:numId w:val="26"/>
        </w:numPr>
        <w:spacing w:line="276" w:lineRule="auto"/>
        <w:ind w:left="270" w:hanging="270"/>
        <w:rPr>
          <w:rFonts w:ascii="Arial" w:hAnsi="Arial" w:cs="Arial"/>
          <w:bCs/>
          <w:sz w:val="22"/>
          <w:szCs w:val="22"/>
        </w:rPr>
      </w:pPr>
      <w:r w:rsidRPr="00F16F89">
        <w:rPr>
          <w:rFonts w:ascii="Arial" w:hAnsi="Arial" w:cs="Arial"/>
          <w:bCs/>
          <w:sz w:val="22"/>
          <w:szCs w:val="22"/>
        </w:rPr>
        <w:t>Include the</w:t>
      </w:r>
      <w:r w:rsidR="00DC307A">
        <w:rPr>
          <w:rFonts w:ascii="Arial" w:hAnsi="Arial" w:cs="Arial"/>
          <w:bCs/>
          <w:sz w:val="22"/>
          <w:szCs w:val="22"/>
        </w:rPr>
        <w:t xml:space="preserve"> National Drug Code</w:t>
      </w:r>
      <w:r w:rsidRPr="00F16F89">
        <w:rPr>
          <w:rFonts w:ascii="Arial" w:hAnsi="Arial" w:cs="Arial"/>
          <w:bCs/>
          <w:sz w:val="22"/>
          <w:szCs w:val="22"/>
        </w:rPr>
        <w:t xml:space="preserve"> </w:t>
      </w:r>
      <w:r w:rsidR="00DC307A">
        <w:rPr>
          <w:rFonts w:ascii="Arial" w:hAnsi="Arial" w:cs="Arial"/>
          <w:bCs/>
          <w:sz w:val="22"/>
          <w:szCs w:val="22"/>
        </w:rPr>
        <w:t>(</w:t>
      </w:r>
      <w:r w:rsidRPr="00F16F89">
        <w:rPr>
          <w:rFonts w:ascii="Arial" w:hAnsi="Arial" w:cs="Arial"/>
          <w:bCs/>
          <w:sz w:val="22"/>
          <w:szCs w:val="22"/>
        </w:rPr>
        <w:t>NDC</w:t>
      </w:r>
      <w:r w:rsidR="00DC307A">
        <w:rPr>
          <w:rFonts w:ascii="Arial" w:hAnsi="Arial" w:cs="Arial"/>
          <w:bCs/>
          <w:sz w:val="22"/>
          <w:szCs w:val="22"/>
        </w:rPr>
        <w:t>)</w:t>
      </w:r>
      <w:r w:rsidRPr="00F16F89">
        <w:rPr>
          <w:rFonts w:ascii="Arial" w:hAnsi="Arial" w:cs="Arial"/>
          <w:bCs/>
          <w:sz w:val="22"/>
          <w:szCs w:val="22"/>
        </w:rPr>
        <w:t xml:space="preserve"> of the vaccine serum.</w:t>
      </w:r>
    </w:p>
    <w:p w14:paraId="35257F78" w14:textId="77777777" w:rsidR="00F16F89" w:rsidRPr="00F16F89" w:rsidRDefault="00F16F89" w:rsidP="00ED555C">
      <w:pPr>
        <w:pStyle w:val="Default"/>
        <w:numPr>
          <w:ilvl w:val="0"/>
          <w:numId w:val="26"/>
        </w:numPr>
        <w:spacing w:line="276" w:lineRule="auto"/>
        <w:ind w:left="270" w:hanging="270"/>
        <w:rPr>
          <w:rFonts w:ascii="Arial" w:hAnsi="Arial" w:cs="Arial"/>
          <w:bCs/>
          <w:sz w:val="22"/>
          <w:szCs w:val="22"/>
        </w:rPr>
      </w:pPr>
      <w:r w:rsidRPr="00F16F89">
        <w:rPr>
          <w:rFonts w:ascii="Arial" w:hAnsi="Arial" w:cs="Arial"/>
          <w:bCs/>
          <w:sz w:val="22"/>
          <w:szCs w:val="22"/>
        </w:rPr>
        <w:t>A dollar amount in the dispensing fee field is not required. (MassHealth will pay an administration fee to pharmacies instead of a dispensing fee.)</w:t>
      </w:r>
    </w:p>
    <w:p w14:paraId="7A97E0D4" w14:textId="77777777" w:rsidR="00F16F89" w:rsidRPr="00F16F89" w:rsidRDefault="00F16F89" w:rsidP="00ED555C">
      <w:pPr>
        <w:pStyle w:val="Default"/>
        <w:numPr>
          <w:ilvl w:val="0"/>
          <w:numId w:val="26"/>
        </w:numPr>
        <w:spacing w:line="276" w:lineRule="auto"/>
        <w:ind w:left="270" w:hanging="270"/>
        <w:rPr>
          <w:rFonts w:ascii="Arial" w:hAnsi="Arial" w:cs="Arial"/>
          <w:bCs/>
          <w:sz w:val="22"/>
          <w:szCs w:val="22"/>
        </w:rPr>
      </w:pPr>
      <w:r w:rsidRPr="00F16F89">
        <w:rPr>
          <w:rFonts w:ascii="Arial" w:hAnsi="Arial" w:cs="Arial"/>
          <w:bCs/>
          <w:sz w:val="22"/>
          <w:szCs w:val="22"/>
        </w:rPr>
        <w:t>Enter “MA” in the field named “Professional Service” (440-E5).</w:t>
      </w:r>
    </w:p>
    <w:p w14:paraId="2F9914BC" w14:textId="77777777" w:rsidR="00F16F89" w:rsidRPr="00F16F89" w:rsidRDefault="00F16F89" w:rsidP="00ED555C">
      <w:pPr>
        <w:pStyle w:val="Default"/>
        <w:numPr>
          <w:ilvl w:val="0"/>
          <w:numId w:val="26"/>
        </w:numPr>
        <w:spacing w:line="276" w:lineRule="auto"/>
        <w:ind w:left="270" w:hanging="270"/>
        <w:rPr>
          <w:rFonts w:ascii="Arial" w:hAnsi="Arial" w:cs="Arial"/>
          <w:bCs/>
          <w:sz w:val="22"/>
          <w:szCs w:val="22"/>
        </w:rPr>
      </w:pPr>
      <w:r w:rsidRPr="00F16F89">
        <w:rPr>
          <w:rFonts w:ascii="Arial" w:hAnsi="Arial" w:cs="Arial"/>
          <w:bCs/>
          <w:sz w:val="22"/>
          <w:szCs w:val="22"/>
        </w:rPr>
        <w:t xml:space="preserve">Enter the appropriate administration fee in the field named “Incentive Amount Submitted” (438-E8). </w:t>
      </w:r>
    </w:p>
    <w:p w14:paraId="1EBD438B" w14:textId="77777777" w:rsidR="00F16F89" w:rsidRPr="00F16F89" w:rsidRDefault="00F16F89" w:rsidP="00ED555C">
      <w:pPr>
        <w:pStyle w:val="Default"/>
        <w:numPr>
          <w:ilvl w:val="0"/>
          <w:numId w:val="26"/>
        </w:numPr>
        <w:spacing w:line="276" w:lineRule="auto"/>
        <w:ind w:left="270" w:hanging="270"/>
        <w:rPr>
          <w:rFonts w:ascii="Arial" w:hAnsi="Arial" w:cs="Arial"/>
          <w:bCs/>
          <w:sz w:val="22"/>
          <w:szCs w:val="22"/>
        </w:rPr>
      </w:pPr>
      <w:r w:rsidRPr="00F16F89">
        <w:rPr>
          <w:rFonts w:ascii="Arial" w:hAnsi="Arial" w:cs="Arial"/>
          <w:bCs/>
          <w:sz w:val="22"/>
          <w:szCs w:val="22"/>
        </w:rPr>
        <w:t>Include the cost of the vaccine serum, plus the administration fee, as the Gross Amount Due (430-DU).</w:t>
      </w:r>
    </w:p>
    <w:p w14:paraId="5DD4FDC4" w14:textId="50D8D43D" w:rsidR="00F16F89" w:rsidRDefault="00F16F89" w:rsidP="00ED555C">
      <w:pPr>
        <w:pStyle w:val="Default"/>
        <w:numPr>
          <w:ilvl w:val="0"/>
          <w:numId w:val="26"/>
        </w:numPr>
        <w:spacing w:line="276" w:lineRule="auto"/>
        <w:ind w:left="270" w:hanging="270"/>
        <w:rPr>
          <w:rFonts w:ascii="Arial" w:hAnsi="Arial" w:cs="Arial"/>
          <w:bCs/>
          <w:sz w:val="22"/>
          <w:szCs w:val="22"/>
        </w:rPr>
      </w:pPr>
      <w:r w:rsidRPr="00F16F89">
        <w:rPr>
          <w:rFonts w:ascii="Arial" w:hAnsi="Arial" w:cs="Arial"/>
          <w:bCs/>
          <w:sz w:val="22"/>
          <w:szCs w:val="22"/>
        </w:rPr>
        <w:t>Enter the pharmacy’s usual and customary price for the vaccine in the field named “Usual &amp; Customary Charge” (426-DQ) if it differs</w:t>
      </w:r>
      <w:r w:rsidR="00DC307A">
        <w:rPr>
          <w:rFonts w:ascii="Arial" w:hAnsi="Arial" w:cs="Arial"/>
          <w:bCs/>
          <w:sz w:val="22"/>
          <w:szCs w:val="22"/>
        </w:rPr>
        <w:t xml:space="preserve"> from</w:t>
      </w:r>
      <w:r w:rsidR="005C02EE">
        <w:rPr>
          <w:rFonts w:ascii="Arial" w:hAnsi="Arial" w:cs="Arial"/>
          <w:bCs/>
          <w:sz w:val="22"/>
          <w:szCs w:val="22"/>
        </w:rPr>
        <w:t xml:space="preserve"> t</w:t>
      </w:r>
      <w:r w:rsidRPr="00F16F89">
        <w:rPr>
          <w:rFonts w:ascii="Arial" w:hAnsi="Arial" w:cs="Arial"/>
          <w:bCs/>
          <w:sz w:val="22"/>
          <w:szCs w:val="22"/>
        </w:rPr>
        <w:t>he Gross Amount Due (430-DU)</w:t>
      </w:r>
      <w:r w:rsidR="005C02EE">
        <w:rPr>
          <w:rFonts w:ascii="Arial" w:hAnsi="Arial" w:cs="Arial"/>
          <w:bCs/>
          <w:sz w:val="22"/>
          <w:szCs w:val="22"/>
        </w:rPr>
        <w:t>.</w:t>
      </w:r>
    </w:p>
    <w:p w14:paraId="54D7762B" w14:textId="77777777" w:rsidR="00F16F89" w:rsidRDefault="00F16F89" w:rsidP="00F16F89">
      <w:pPr>
        <w:rPr>
          <w:rFonts w:cs="Arial"/>
          <w:bCs/>
          <w:sz w:val="22"/>
          <w:szCs w:val="22"/>
        </w:rPr>
      </w:pPr>
    </w:p>
    <w:p w14:paraId="400EEE85" w14:textId="6D363D38" w:rsidR="00F16F89" w:rsidRPr="00502A49" w:rsidRDefault="00F16F89" w:rsidP="00F16F89">
      <w:pPr>
        <w:rPr>
          <w:rFonts w:cs="Arial"/>
          <w:bCs/>
          <w:sz w:val="22"/>
          <w:szCs w:val="22"/>
        </w:rPr>
      </w:pPr>
      <w:r w:rsidRPr="00F16F89">
        <w:rPr>
          <w:rFonts w:ascii="Arial" w:hAnsi="Arial" w:cs="Arial"/>
          <w:bCs/>
          <w:sz w:val="22"/>
          <w:szCs w:val="22"/>
        </w:rPr>
        <w:t xml:space="preserve">For additional information on claims processing requirements, please refer to the POPS Billing guide. The POPS Billing Guide can be found at </w:t>
      </w:r>
      <w:hyperlink r:id="rId12" w:history="1">
        <w:r w:rsidRPr="00F16F89">
          <w:rPr>
            <w:rStyle w:val="Hyperlink"/>
            <w:rFonts w:ascii="Arial" w:hAnsi="Arial" w:cs="Arial"/>
            <w:bCs/>
            <w:sz w:val="22"/>
            <w:szCs w:val="22"/>
          </w:rPr>
          <w:t>https://www.mass.gov/doc/pops-billing-guide-10/download</w:t>
        </w:r>
      </w:hyperlink>
      <w:r>
        <w:rPr>
          <w:rFonts w:cs="Arial"/>
          <w:bCs/>
          <w:sz w:val="22"/>
          <w:szCs w:val="22"/>
        </w:rPr>
        <w:t xml:space="preserve">. </w:t>
      </w:r>
    </w:p>
    <w:p w14:paraId="7455D1F2" w14:textId="77777777" w:rsidR="00F16F89" w:rsidRPr="00F16F89" w:rsidRDefault="00F16F89" w:rsidP="00F16F89">
      <w:pPr>
        <w:pStyle w:val="Default"/>
        <w:spacing w:line="276" w:lineRule="auto"/>
        <w:rPr>
          <w:rFonts w:ascii="Arial" w:hAnsi="Arial" w:cs="Arial"/>
          <w:bCs/>
          <w:sz w:val="22"/>
          <w:szCs w:val="22"/>
        </w:rPr>
      </w:pPr>
    </w:p>
    <w:p w14:paraId="5B1A8BF5" w14:textId="6BFD2A9D" w:rsidR="00CD6D68" w:rsidRPr="00140D3B" w:rsidRDefault="00F16F89" w:rsidP="00CD6D68">
      <w:pPr>
        <w:pStyle w:val="Default"/>
        <w:tabs>
          <w:tab w:val="left" w:pos="90"/>
        </w:tabs>
        <w:spacing w:line="276" w:lineRule="auto"/>
        <w:ind w:left="360" w:hanging="360"/>
        <w:rPr>
          <w:rFonts w:ascii="Arial" w:hAnsi="Arial" w:cs="Arial"/>
          <w:color w:val="auto"/>
          <w:sz w:val="22"/>
          <w:szCs w:val="22"/>
        </w:rPr>
      </w:pPr>
      <w:r>
        <w:t>MassHealth Drug List Update</w:t>
      </w:r>
    </w:p>
    <w:p w14:paraId="6630B453" w14:textId="77777777" w:rsidR="00F16F89" w:rsidRDefault="00F16F89" w:rsidP="00B41B0C">
      <w:pPr>
        <w:autoSpaceDE w:val="0"/>
        <w:autoSpaceDN w:val="0"/>
        <w:adjustRightInd w:val="0"/>
        <w:spacing w:line="276" w:lineRule="auto"/>
        <w:rPr>
          <w:rFonts w:ascii="Arial" w:hAnsi="Arial" w:cs="Arial"/>
          <w:sz w:val="22"/>
          <w:szCs w:val="22"/>
          <w:lang w:val="fr-FR"/>
        </w:rPr>
      </w:pPr>
    </w:p>
    <w:p w14:paraId="5BBCFE34" w14:textId="77777777" w:rsidR="00F16F89" w:rsidRDefault="00F16F89" w:rsidP="00F16F89">
      <w:pPr>
        <w:pStyle w:val="Heading1"/>
        <w:spacing w:line="276" w:lineRule="auto"/>
        <w:jc w:val="left"/>
        <w:rPr>
          <w:rFonts w:ascii="Arial" w:hAnsi="Arial" w:cs="Arial"/>
          <w:b w:val="0"/>
          <w:bCs w:val="0"/>
          <w:sz w:val="22"/>
          <w:szCs w:val="22"/>
        </w:rPr>
      </w:pPr>
      <w:r>
        <w:rPr>
          <w:rFonts w:ascii="Arial" w:hAnsi="Arial" w:cs="Arial"/>
          <w:b w:val="0"/>
          <w:bCs w:val="0"/>
          <w:sz w:val="22"/>
          <w:szCs w:val="22"/>
        </w:rPr>
        <w:t>What follows</w:t>
      </w:r>
      <w:r w:rsidRPr="00C7515B">
        <w:rPr>
          <w:rFonts w:ascii="Arial" w:hAnsi="Arial" w:cs="Arial"/>
          <w:b w:val="0"/>
          <w:bCs w:val="0"/>
          <w:sz w:val="22"/>
          <w:szCs w:val="22"/>
        </w:rPr>
        <w:t xml:space="preserve"> are certain updates to the MassHealth Drug List (MHDL). See the MHDL for a complete listing of updates.</w:t>
      </w:r>
      <w:r w:rsidRPr="00C7515B">
        <w:rPr>
          <w:rFonts w:ascii="Arial" w:hAnsi="Arial" w:cs="Arial"/>
          <w:b w:val="0"/>
          <w:bCs w:val="0"/>
          <w:sz w:val="22"/>
          <w:szCs w:val="22"/>
        </w:rPr>
        <w:cr/>
      </w:r>
    </w:p>
    <w:p w14:paraId="7C70ECE6" w14:textId="77777777" w:rsidR="00F16F89" w:rsidRDefault="00F16F89" w:rsidP="00ED555C">
      <w:pPr>
        <w:pStyle w:val="Heading1"/>
        <w:spacing w:line="276" w:lineRule="auto"/>
        <w:jc w:val="left"/>
        <w:rPr>
          <w:rFonts w:ascii="Arial Black" w:hAnsi="Arial Black"/>
          <w:sz w:val="22"/>
          <w:szCs w:val="22"/>
        </w:rPr>
      </w:pPr>
      <w:r w:rsidRPr="00ED555C">
        <w:rPr>
          <w:rFonts w:ascii="Arial Black" w:hAnsi="Arial Black"/>
          <w:sz w:val="22"/>
          <w:szCs w:val="22"/>
        </w:rPr>
        <w:t>Additions</w:t>
      </w:r>
    </w:p>
    <w:p w14:paraId="5B89AD78" w14:textId="77777777" w:rsidR="0052695D" w:rsidRPr="0052695D" w:rsidRDefault="0052695D" w:rsidP="0052695D"/>
    <w:p w14:paraId="133D35DC" w14:textId="77777777" w:rsidR="00F16F89" w:rsidRPr="005F2B6D" w:rsidRDefault="00F16F89" w:rsidP="00F16F89">
      <w:pPr>
        <w:pStyle w:val="Default"/>
        <w:numPr>
          <w:ilvl w:val="0"/>
          <w:numId w:val="27"/>
        </w:numPr>
        <w:rPr>
          <w:rFonts w:ascii="Arial" w:hAnsi="Arial" w:cs="Arial"/>
          <w:sz w:val="22"/>
          <w:szCs w:val="22"/>
        </w:rPr>
      </w:pPr>
      <w:r w:rsidRPr="005F2B6D">
        <w:rPr>
          <w:rFonts w:ascii="Arial" w:hAnsi="Arial" w:cs="Arial"/>
          <w:sz w:val="22"/>
          <w:szCs w:val="22"/>
        </w:rPr>
        <w:t xml:space="preserve">Effective October 2, 2023, the following newly marketed drugs have been added to the MassHealth Drug List. </w:t>
      </w:r>
    </w:p>
    <w:p w14:paraId="2E47E79B"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r w:rsidRPr="005F2B6D">
        <w:rPr>
          <w:rFonts w:ascii="Arial" w:hAnsi="Arial" w:cs="Arial"/>
          <w:sz w:val="22"/>
          <w:szCs w:val="22"/>
        </w:rPr>
        <w:t xml:space="preserve">Abilify </w:t>
      </w:r>
      <w:proofErr w:type="spellStart"/>
      <w:r w:rsidRPr="005F2B6D">
        <w:rPr>
          <w:rFonts w:ascii="Arial" w:hAnsi="Arial" w:cs="Arial"/>
          <w:sz w:val="22"/>
          <w:szCs w:val="22"/>
        </w:rPr>
        <w:t>Asimtufii</w:t>
      </w:r>
      <w:proofErr w:type="spellEnd"/>
      <w:r w:rsidRPr="005F2B6D">
        <w:rPr>
          <w:rFonts w:ascii="Arial" w:hAnsi="Arial" w:cs="Arial"/>
          <w:sz w:val="22"/>
          <w:szCs w:val="22"/>
        </w:rPr>
        <w:t xml:space="preserve"> (aripiprazole extended-release injection) – </w:t>
      </w:r>
      <w:r w:rsidRPr="005F2B6D">
        <w:rPr>
          <w:rFonts w:ascii="Arial" w:hAnsi="Arial" w:cs="Arial"/>
          <w:b/>
          <w:bCs/>
          <w:sz w:val="22"/>
          <w:szCs w:val="22"/>
        </w:rPr>
        <w:t>PA</w:t>
      </w:r>
    </w:p>
    <w:p w14:paraId="178CDF02"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proofErr w:type="spellStart"/>
      <w:r w:rsidRPr="005F2B6D">
        <w:rPr>
          <w:rFonts w:ascii="Arial" w:hAnsi="Arial" w:cs="Arial"/>
          <w:sz w:val="22"/>
          <w:szCs w:val="22"/>
        </w:rPr>
        <w:t>Abrysvo</w:t>
      </w:r>
      <w:proofErr w:type="spellEnd"/>
      <w:r w:rsidRPr="005F2B6D">
        <w:rPr>
          <w:rFonts w:ascii="Arial" w:hAnsi="Arial" w:cs="Arial"/>
          <w:sz w:val="22"/>
          <w:szCs w:val="22"/>
        </w:rPr>
        <w:t xml:space="preserve"> (respiratory syncytial virus vaccine) – </w:t>
      </w:r>
      <w:r w:rsidRPr="005F2B6D">
        <w:rPr>
          <w:rFonts w:ascii="Arial" w:hAnsi="Arial" w:cs="Arial"/>
          <w:b/>
          <w:bCs/>
          <w:sz w:val="22"/>
          <w:szCs w:val="22"/>
        </w:rPr>
        <w:t>PA &lt; 60 years</w:t>
      </w:r>
    </w:p>
    <w:p w14:paraId="1253FDF6"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r w:rsidRPr="005F2B6D">
        <w:rPr>
          <w:rFonts w:ascii="Arial" w:hAnsi="Arial" w:cs="Arial"/>
          <w:sz w:val="22"/>
          <w:szCs w:val="22"/>
        </w:rPr>
        <w:t xml:space="preserve">allopurinol 200 mg tablet – </w:t>
      </w:r>
      <w:r w:rsidRPr="005F2B6D">
        <w:rPr>
          <w:rFonts w:ascii="Arial" w:hAnsi="Arial" w:cs="Arial"/>
          <w:b/>
          <w:bCs/>
          <w:sz w:val="22"/>
          <w:szCs w:val="22"/>
        </w:rPr>
        <w:t>PA</w:t>
      </w:r>
      <w:r w:rsidRPr="005F2B6D">
        <w:rPr>
          <w:rFonts w:ascii="Arial" w:hAnsi="Arial" w:cs="Arial"/>
          <w:sz w:val="22"/>
          <w:szCs w:val="22"/>
        </w:rPr>
        <w:t>; M90</w:t>
      </w:r>
    </w:p>
    <w:p w14:paraId="3B427C9E"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proofErr w:type="spellStart"/>
      <w:r w:rsidRPr="005F2B6D">
        <w:rPr>
          <w:rFonts w:ascii="Arial" w:hAnsi="Arial" w:cs="Arial"/>
          <w:sz w:val="22"/>
          <w:szCs w:val="22"/>
        </w:rPr>
        <w:t>Arexvy</w:t>
      </w:r>
      <w:proofErr w:type="spellEnd"/>
      <w:r w:rsidRPr="005F2B6D">
        <w:rPr>
          <w:rFonts w:ascii="Arial" w:hAnsi="Arial" w:cs="Arial"/>
          <w:sz w:val="22"/>
          <w:szCs w:val="22"/>
        </w:rPr>
        <w:t xml:space="preserve"> (respiratory syncytial virus vaccine, adjuvanted) – </w:t>
      </w:r>
      <w:r w:rsidRPr="005F2B6D">
        <w:rPr>
          <w:rFonts w:ascii="Arial" w:hAnsi="Arial" w:cs="Arial"/>
          <w:b/>
          <w:bCs/>
          <w:sz w:val="22"/>
          <w:szCs w:val="22"/>
        </w:rPr>
        <w:t>PA &lt; 60 years</w:t>
      </w:r>
    </w:p>
    <w:p w14:paraId="00B3805C"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proofErr w:type="spellStart"/>
      <w:r w:rsidRPr="005F2B6D">
        <w:rPr>
          <w:rFonts w:ascii="Arial" w:hAnsi="Arial" w:cs="Arial"/>
          <w:sz w:val="22"/>
          <w:szCs w:val="22"/>
        </w:rPr>
        <w:t>Beyfortus</w:t>
      </w:r>
      <w:proofErr w:type="spellEnd"/>
      <w:r w:rsidRPr="005F2B6D">
        <w:rPr>
          <w:rFonts w:ascii="Arial" w:hAnsi="Arial" w:cs="Arial"/>
          <w:sz w:val="22"/>
          <w:szCs w:val="22"/>
        </w:rPr>
        <w:t xml:space="preserve"> (</w:t>
      </w:r>
      <w:proofErr w:type="spellStart"/>
      <w:r w:rsidRPr="005F2B6D">
        <w:rPr>
          <w:rFonts w:ascii="Arial" w:hAnsi="Arial" w:cs="Arial"/>
          <w:sz w:val="22"/>
          <w:szCs w:val="22"/>
        </w:rPr>
        <w:t>nirsevimab-alip</w:t>
      </w:r>
      <w:proofErr w:type="spellEnd"/>
      <w:r w:rsidRPr="005F2B6D">
        <w:rPr>
          <w:rFonts w:ascii="Arial" w:hAnsi="Arial" w:cs="Arial"/>
          <w:sz w:val="22"/>
          <w:szCs w:val="22"/>
        </w:rPr>
        <w:t xml:space="preserve">) – </w:t>
      </w:r>
      <w:r w:rsidRPr="005F2B6D">
        <w:rPr>
          <w:rFonts w:ascii="Arial" w:hAnsi="Arial" w:cs="Arial"/>
          <w:b/>
          <w:bCs/>
          <w:sz w:val="22"/>
          <w:szCs w:val="22"/>
        </w:rPr>
        <w:t>PA ≥ 8 months of age</w:t>
      </w:r>
    </w:p>
    <w:p w14:paraId="014FFD6D"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proofErr w:type="spellStart"/>
      <w:r w:rsidRPr="005F2B6D">
        <w:rPr>
          <w:rFonts w:ascii="Arial" w:hAnsi="Arial" w:cs="Arial"/>
          <w:sz w:val="22"/>
          <w:szCs w:val="22"/>
        </w:rPr>
        <w:t>Cuvrior</w:t>
      </w:r>
      <w:proofErr w:type="spellEnd"/>
      <w:r w:rsidRPr="005F2B6D">
        <w:rPr>
          <w:rFonts w:ascii="Arial" w:hAnsi="Arial" w:cs="Arial"/>
          <w:sz w:val="22"/>
          <w:szCs w:val="22"/>
        </w:rPr>
        <w:t xml:space="preserve"> (</w:t>
      </w:r>
      <w:proofErr w:type="spellStart"/>
      <w:r w:rsidRPr="005F2B6D">
        <w:rPr>
          <w:rFonts w:ascii="Arial" w:hAnsi="Arial" w:cs="Arial"/>
          <w:sz w:val="22"/>
          <w:szCs w:val="22"/>
        </w:rPr>
        <w:t>trientine</w:t>
      </w:r>
      <w:proofErr w:type="spellEnd"/>
      <w:r w:rsidRPr="005F2B6D">
        <w:rPr>
          <w:rFonts w:ascii="Arial" w:hAnsi="Arial" w:cs="Arial"/>
          <w:sz w:val="22"/>
          <w:szCs w:val="22"/>
        </w:rPr>
        <w:t xml:space="preserve"> tablet) – </w:t>
      </w:r>
      <w:r w:rsidRPr="005F2B6D">
        <w:rPr>
          <w:rFonts w:ascii="Arial" w:hAnsi="Arial" w:cs="Arial"/>
          <w:b/>
          <w:bCs/>
          <w:sz w:val="22"/>
          <w:szCs w:val="22"/>
        </w:rPr>
        <w:t>PA</w:t>
      </w:r>
    </w:p>
    <w:p w14:paraId="74B9F452"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proofErr w:type="spellStart"/>
      <w:r w:rsidRPr="005F2B6D">
        <w:rPr>
          <w:rFonts w:ascii="Arial" w:hAnsi="Arial" w:cs="Arial"/>
          <w:sz w:val="22"/>
          <w:szCs w:val="22"/>
        </w:rPr>
        <w:t>Leqembi</w:t>
      </w:r>
      <w:proofErr w:type="spellEnd"/>
      <w:r w:rsidRPr="005F2B6D">
        <w:rPr>
          <w:rFonts w:ascii="Arial" w:hAnsi="Arial" w:cs="Arial"/>
          <w:sz w:val="22"/>
          <w:szCs w:val="22"/>
        </w:rPr>
        <w:t xml:space="preserve"> (</w:t>
      </w:r>
      <w:proofErr w:type="spellStart"/>
      <w:r w:rsidRPr="005F2B6D">
        <w:rPr>
          <w:rFonts w:ascii="Arial" w:hAnsi="Arial" w:cs="Arial"/>
          <w:sz w:val="22"/>
          <w:szCs w:val="22"/>
        </w:rPr>
        <w:t>lecanemab-irmb</w:t>
      </w:r>
      <w:proofErr w:type="spellEnd"/>
      <w:r w:rsidRPr="005F2B6D">
        <w:rPr>
          <w:rFonts w:ascii="Arial" w:hAnsi="Arial" w:cs="Arial"/>
          <w:sz w:val="22"/>
          <w:szCs w:val="22"/>
        </w:rPr>
        <w:t xml:space="preserve">) – </w:t>
      </w:r>
      <w:r w:rsidRPr="005F2B6D">
        <w:rPr>
          <w:rFonts w:ascii="Arial" w:hAnsi="Arial" w:cs="Arial"/>
          <w:b/>
          <w:bCs/>
          <w:sz w:val="22"/>
          <w:szCs w:val="22"/>
        </w:rPr>
        <w:t>PA</w:t>
      </w:r>
    </w:p>
    <w:p w14:paraId="1CDEDC32"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proofErr w:type="spellStart"/>
      <w:r w:rsidRPr="005F2B6D">
        <w:rPr>
          <w:rFonts w:ascii="Arial" w:hAnsi="Arial" w:cs="Arial"/>
          <w:sz w:val="22"/>
          <w:szCs w:val="22"/>
        </w:rPr>
        <w:t>Syfovre</w:t>
      </w:r>
      <w:proofErr w:type="spellEnd"/>
      <w:r w:rsidRPr="005F2B6D">
        <w:rPr>
          <w:rFonts w:ascii="Arial" w:hAnsi="Arial" w:cs="Arial"/>
          <w:sz w:val="22"/>
          <w:szCs w:val="22"/>
        </w:rPr>
        <w:t xml:space="preserve"> (</w:t>
      </w:r>
      <w:proofErr w:type="spellStart"/>
      <w:r w:rsidRPr="005F2B6D">
        <w:rPr>
          <w:rFonts w:ascii="Arial" w:hAnsi="Arial" w:cs="Arial"/>
          <w:sz w:val="22"/>
          <w:szCs w:val="22"/>
        </w:rPr>
        <w:t>pegcetacoplan</w:t>
      </w:r>
      <w:proofErr w:type="spellEnd"/>
      <w:r w:rsidRPr="005F2B6D">
        <w:rPr>
          <w:rFonts w:ascii="Arial" w:hAnsi="Arial" w:cs="Arial"/>
          <w:sz w:val="22"/>
          <w:szCs w:val="22"/>
        </w:rPr>
        <w:t xml:space="preserve"> 150 mg/mL vial) – </w:t>
      </w:r>
      <w:r w:rsidRPr="005F2B6D">
        <w:rPr>
          <w:rFonts w:ascii="Arial" w:hAnsi="Arial" w:cs="Arial"/>
          <w:b/>
          <w:bCs/>
          <w:sz w:val="22"/>
          <w:szCs w:val="22"/>
        </w:rPr>
        <w:t>PA</w:t>
      </w:r>
      <w:r w:rsidRPr="005F2B6D">
        <w:rPr>
          <w:rFonts w:ascii="Arial" w:hAnsi="Arial" w:cs="Arial"/>
          <w:sz w:val="22"/>
          <w:szCs w:val="22"/>
        </w:rPr>
        <w:t>; MB</w:t>
      </w:r>
    </w:p>
    <w:p w14:paraId="7C62A41D" w14:textId="77777777" w:rsidR="00F16F89" w:rsidRPr="005F2B6D" w:rsidRDefault="00F16F89" w:rsidP="00F16F89">
      <w:pPr>
        <w:pStyle w:val="Default"/>
        <w:numPr>
          <w:ilvl w:val="0"/>
          <w:numId w:val="2"/>
        </w:numPr>
        <w:spacing w:line="276" w:lineRule="auto"/>
        <w:ind w:left="1080"/>
        <w:rPr>
          <w:rFonts w:ascii="Arial" w:hAnsi="Arial" w:cs="Arial"/>
          <w:b/>
          <w:bCs/>
          <w:sz w:val="22"/>
          <w:szCs w:val="22"/>
        </w:rPr>
      </w:pPr>
      <w:proofErr w:type="spellStart"/>
      <w:r w:rsidRPr="005F2B6D">
        <w:rPr>
          <w:rFonts w:ascii="Arial" w:hAnsi="Arial" w:cs="Arial"/>
          <w:sz w:val="22"/>
          <w:szCs w:val="22"/>
        </w:rPr>
        <w:t>Uzedy</w:t>
      </w:r>
      <w:proofErr w:type="spellEnd"/>
      <w:r w:rsidRPr="005F2B6D">
        <w:rPr>
          <w:rFonts w:ascii="Arial" w:hAnsi="Arial" w:cs="Arial"/>
          <w:sz w:val="22"/>
          <w:szCs w:val="22"/>
        </w:rPr>
        <w:t xml:space="preserve"> (risperidone 50 mg, 75 mg, 100 mg, 125 mg extended-release subcutaneous injection) </w:t>
      </w:r>
      <w:r w:rsidRPr="005F2B6D">
        <w:rPr>
          <w:rFonts w:ascii="Arial" w:hAnsi="Arial" w:cs="Arial"/>
          <w:sz w:val="22"/>
          <w:szCs w:val="22"/>
          <w:vertAlign w:val="superscript"/>
        </w:rPr>
        <w:t>PD</w:t>
      </w:r>
      <w:r w:rsidRPr="005F2B6D">
        <w:rPr>
          <w:rFonts w:ascii="Arial" w:hAnsi="Arial" w:cs="Arial"/>
          <w:sz w:val="22"/>
          <w:szCs w:val="22"/>
        </w:rPr>
        <w:t xml:space="preserve"> – </w:t>
      </w:r>
      <w:r w:rsidRPr="005F2B6D">
        <w:rPr>
          <w:rFonts w:ascii="Arial" w:hAnsi="Arial" w:cs="Arial"/>
          <w:b/>
          <w:bCs/>
          <w:sz w:val="22"/>
          <w:szCs w:val="22"/>
        </w:rPr>
        <w:t>PA &lt; 6 years and PA &gt; 1 injection/28 days</w:t>
      </w:r>
    </w:p>
    <w:p w14:paraId="6F3EE9AA" w14:textId="77777777" w:rsidR="00F16F89" w:rsidRPr="005F2B6D" w:rsidRDefault="00F16F89" w:rsidP="00F16F89">
      <w:pPr>
        <w:pStyle w:val="Default"/>
        <w:numPr>
          <w:ilvl w:val="0"/>
          <w:numId w:val="2"/>
        </w:numPr>
        <w:spacing w:line="276" w:lineRule="auto"/>
        <w:ind w:left="1080"/>
        <w:rPr>
          <w:rFonts w:ascii="Arial" w:hAnsi="Arial" w:cs="Arial"/>
          <w:b/>
          <w:bCs/>
          <w:sz w:val="22"/>
          <w:szCs w:val="22"/>
        </w:rPr>
      </w:pPr>
      <w:proofErr w:type="spellStart"/>
      <w:r w:rsidRPr="005F2B6D">
        <w:rPr>
          <w:rFonts w:ascii="Arial" w:hAnsi="Arial" w:cs="Arial"/>
          <w:sz w:val="22"/>
          <w:szCs w:val="22"/>
        </w:rPr>
        <w:t>Uzedy</w:t>
      </w:r>
      <w:proofErr w:type="spellEnd"/>
      <w:r w:rsidRPr="005F2B6D">
        <w:rPr>
          <w:rFonts w:ascii="Arial" w:hAnsi="Arial" w:cs="Arial"/>
          <w:sz w:val="22"/>
          <w:szCs w:val="22"/>
        </w:rPr>
        <w:t xml:space="preserve"> (risperidone 150 mg, 200 mg, 250 mg extended-release subcutaneous injection) </w:t>
      </w:r>
      <w:r w:rsidRPr="005F2B6D">
        <w:rPr>
          <w:rFonts w:ascii="Arial" w:hAnsi="Arial" w:cs="Arial"/>
          <w:sz w:val="22"/>
          <w:szCs w:val="22"/>
          <w:vertAlign w:val="superscript"/>
        </w:rPr>
        <w:t>PD</w:t>
      </w:r>
      <w:r w:rsidRPr="005F2B6D">
        <w:rPr>
          <w:rFonts w:ascii="Arial" w:hAnsi="Arial" w:cs="Arial"/>
          <w:sz w:val="22"/>
          <w:szCs w:val="22"/>
        </w:rPr>
        <w:t xml:space="preserve"> – </w:t>
      </w:r>
      <w:r w:rsidRPr="005F2B6D">
        <w:rPr>
          <w:rFonts w:ascii="Arial" w:hAnsi="Arial" w:cs="Arial"/>
          <w:b/>
          <w:bCs/>
          <w:sz w:val="22"/>
          <w:szCs w:val="22"/>
        </w:rPr>
        <w:t>PA &lt; 6 years and PA &gt; 1 injection/56 days</w:t>
      </w:r>
    </w:p>
    <w:p w14:paraId="5B9705C8" w14:textId="77777777" w:rsidR="00F16F89" w:rsidRPr="005F2B6D" w:rsidRDefault="00F16F89" w:rsidP="00F16F89">
      <w:pPr>
        <w:pStyle w:val="Default"/>
        <w:numPr>
          <w:ilvl w:val="0"/>
          <w:numId w:val="2"/>
        </w:numPr>
        <w:spacing w:line="276" w:lineRule="auto"/>
        <w:ind w:left="1080"/>
        <w:rPr>
          <w:rFonts w:ascii="Arial" w:hAnsi="Arial" w:cs="Arial"/>
          <w:sz w:val="22"/>
          <w:szCs w:val="22"/>
        </w:rPr>
      </w:pPr>
      <w:proofErr w:type="spellStart"/>
      <w:r w:rsidRPr="005F2B6D">
        <w:rPr>
          <w:rFonts w:ascii="Arial" w:hAnsi="Arial" w:cs="Arial"/>
          <w:sz w:val="22"/>
          <w:szCs w:val="22"/>
        </w:rPr>
        <w:t>Vowst</w:t>
      </w:r>
      <w:proofErr w:type="spellEnd"/>
      <w:r w:rsidRPr="005F2B6D">
        <w:rPr>
          <w:rFonts w:ascii="Arial" w:hAnsi="Arial" w:cs="Arial"/>
          <w:sz w:val="22"/>
          <w:szCs w:val="22"/>
        </w:rPr>
        <w:t xml:space="preserve"> (fecal microbiota spores, live-</w:t>
      </w:r>
      <w:proofErr w:type="spellStart"/>
      <w:r w:rsidRPr="005F2B6D">
        <w:rPr>
          <w:rFonts w:ascii="Arial" w:hAnsi="Arial" w:cs="Arial"/>
          <w:sz w:val="22"/>
          <w:szCs w:val="22"/>
        </w:rPr>
        <w:t>brpk</w:t>
      </w:r>
      <w:proofErr w:type="spellEnd"/>
      <w:r w:rsidRPr="005F2B6D">
        <w:rPr>
          <w:rFonts w:ascii="Arial" w:hAnsi="Arial" w:cs="Arial"/>
          <w:sz w:val="22"/>
          <w:szCs w:val="22"/>
        </w:rPr>
        <w:t xml:space="preserve">) – </w:t>
      </w:r>
      <w:r w:rsidRPr="005F2B6D">
        <w:rPr>
          <w:rFonts w:ascii="Arial" w:hAnsi="Arial" w:cs="Arial"/>
          <w:b/>
          <w:bCs/>
          <w:sz w:val="22"/>
          <w:szCs w:val="22"/>
        </w:rPr>
        <w:t>PA</w:t>
      </w:r>
    </w:p>
    <w:p w14:paraId="4BC5C091" w14:textId="542E426D" w:rsidR="00F16F89" w:rsidRPr="005F2B6D" w:rsidRDefault="00F16F89" w:rsidP="00F16F89">
      <w:pPr>
        <w:pStyle w:val="ListParagraph"/>
        <w:numPr>
          <w:ilvl w:val="0"/>
          <w:numId w:val="27"/>
        </w:numPr>
        <w:autoSpaceDE w:val="0"/>
        <w:autoSpaceDN w:val="0"/>
        <w:adjustRightInd w:val="0"/>
        <w:contextualSpacing/>
        <w:rPr>
          <w:rFonts w:ascii="Arial" w:hAnsi="Arial" w:cs="Arial"/>
          <w:color w:val="000000"/>
          <w:sz w:val="22"/>
          <w:szCs w:val="22"/>
        </w:rPr>
      </w:pPr>
      <w:r w:rsidRPr="005F2B6D">
        <w:rPr>
          <w:rFonts w:ascii="Arial" w:hAnsi="Arial" w:cs="Arial"/>
          <w:color w:val="000000"/>
          <w:sz w:val="22"/>
          <w:szCs w:val="22"/>
        </w:rPr>
        <w:lastRenderedPageBreak/>
        <w:t xml:space="preserve">Effective for the date listed below, the following COVID-19 </w:t>
      </w:r>
      <w:r w:rsidR="00ED555C">
        <w:rPr>
          <w:rFonts w:ascii="Arial" w:hAnsi="Arial" w:cs="Arial"/>
          <w:color w:val="000000"/>
          <w:sz w:val="22"/>
          <w:szCs w:val="22"/>
        </w:rPr>
        <w:t>preventive</w:t>
      </w:r>
      <w:r w:rsidRPr="005F2B6D">
        <w:rPr>
          <w:rFonts w:ascii="Arial" w:hAnsi="Arial" w:cs="Arial"/>
          <w:color w:val="000000"/>
          <w:sz w:val="22"/>
          <w:szCs w:val="22"/>
        </w:rPr>
        <w:t xml:space="preserve"> therapies </w:t>
      </w:r>
      <w:r w:rsidR="004D4131">
        <w:rPr>
          <w:rFonts w:ascii="Arial" w:hAnsi="Arial" w:cs="Arial"/>
          <w:color w:val="000000"/>
          <w:sz w:val="22"/>
          <w:szCs w:val="22"/>
        </w:rPr>
        <w:t xml:space="preserve">will be </w:t>
      </w:r>
      <w:r w:rsidRPr="005F2B6D">
        <w:rPr>
          <w:rFonts w:ascii="Arial" w:hAnsi="Arial" w:cs="Arial"/>
          <w:color w:val="000000"/>
          <w:sz w:val="22"/>
          <w:szCs w:val="22"/>
        </w:rPr>
        <w:t xml:space="preserve">added to the MassHealth Drug List on October 2, 2023. </w:t>
      </w:r>
    </w:p>
    <w:p w14:paraId="7C795EA0" w14:textId="77777777" w:rsidR="00F16F89" w:rsidRPr="005F2B6D" w:rsidRDefault="00F16F89" w:rsidP="00F16F89">
      <w:pPr>
        <w:pStyle w:val="ListParagraph"/>
        <w:numPr>
          <w:ilvl w:val="0"/>
          <w:numId w:val="2"/>
        </w:numPr>
        <w:autoSpaceDE w:val="0"/>
        <w:autoSpaceDN w:val="0"/>
        <w:adjustRightInd w:val="0"/>
        <w:ind w:left="1080"/>
        <w:contextualSpacing/>
        <w:rPr>
          <w:rFonts w:ascii="Arial" w:hAnsi="Arial" w:cs="Arial"/>
          <w:color w:val="000000"/>
          <w:sz w:val="22"/>
          <w:szCs w:val="22"/>
        </w:rPr>
      </w:pPr>
      <w:bookmarkStart w:id="0" w:name="_Hlk94786218"/>
      <w:r w:rsidRPr="005F2B6D">
        <w:rPr>
          <w:rFonts w:ascii="Arial" w:hAnsi="Arial" w:cs="Arial"/>
          <w:color w:val="000000"/>
          <w:sz w:val="22"/>
          <w:szCs w:val="22"/>
        </w:rPr>
        <w:t>Comirnaty (COVID-19 Pfizer vaccine, COVID EUA – September 11, 2023</w:t>
      </w:r>
      <w:r>
        <w:rPr>
          <w:rFonts w:ascii="Arial" w:hAnsi="Arial" w:cs="Arial"/>
          <w:color w:val="000000"/>
          <w:sz w:val="22"/>
          <w:szCs w:val="22"/>
        </w:rPr>
        <w:t>,</w:t>
      </w:r>
      <w:r w:rsidRPr="005F2B6D">
        <w:rPr>
          <w:rFonts w:ascii="Arial" w:hAnsi="Arial" w:cs="Arial"/>
          <w:color w:val="000000"/>
          <w:sz w:val="22"/>
          <w:szCs w:val="22"/>
        </w:rPr>
        <w:t xml:space="preserve"> for members ≥ 6 months of age) </w:t>
      </w:r>
    </w:p>
    <w:p w14:paraId="57302C2A" w14:textId="77777777" w:rsidR="00F16F89" w:rsidRPr="005F2B6D" w:rsidRDefault="00F16F89" w:rsidP="00F16F89">
      <w:pPr>
        <w:pStyle w:val="ListParagraph"/>
        <w:numPr>
          <w:ilvl w:val="0"/>
          <w:numId w:val="2"/>
        </w:numPr>
        <w:autoSpaceDE w:val="0"/>
        <w:autoSpaceDN w:val="0"/>
        <w:adjustRightInd w:val="0"/>
        <w:ind w:left="1080"/>
        <w:contextualSpacing/>
        <w:rPr>
          <w:rFonts w:ascii="Arial" w:hAnsi="Arial" w:cs="Arial"/>
          <w:color w:val="000000"/>
          <w:sz w:val="22"/>
          <w:szCs w:val="22"/>
        </w:rPr>
      </w:pPr>
      <w:r w:rsidRPr="005F2B6D">
        <w:rPr>
          <w:rFonts w:ascii="Arial" w:hAnsi="Arial" w:cs="Arial"/>
          <w:color w:val="000000"/>
          <w:sz w:val="22"/>
          <w:szCs w:val="22"/>
        </w:rPr>
        <w:t>Spikevax (COVID-19 Moderna vaccine, COVID EUA – September 11, 2023</w:t>
      </w:r>
      <w:r>
        <w:rPr>
          <w:rFonts w:ascii="Arial" w:hAnsi="Arial" w:cs="Arial"/>
          <w:color w:val="000000"/>
          <w:sz w:val="22"/>
          <w:szCs w:val="22"/>
        </w:rPr>
        <w:t>,</w:t>
      </w:r>
      <w:r w:rsidRPr="005F2B6D">
        <w:rPr>
          <w:rFonts w:ascii="Arial" w:hAnsi="Arial" w:cs="Arial"/>
          <w:color w:val="000000"/>
          <w:sz w:val="22"/>
          <w:szCs w:val="22"/>
        </w:rPr>
        <w:t xml:space="preserve"> for members ≥ 6 months of age)</w:t>
      </w:r>
      <w:bookmarkEnd w:id="0"/>
    </w:p>
    <w:p w14:paraId="5B1A8C04" w14:textId="77777777" w:rsidR="00905C46" w:rsidRDefault="00905C46" w:rsidP="00905C46">
      <w:pPr>
        <w:autoSpaceDE w:val="0"/>
        <w:autoSpaceDN w:val="0"/>
        <w:adjustRightInd w:val="0"/>
        <w:rPr>
          <w:rFonts w:ascii="Arial" w:hAnsi="Arial" w:cs="Arial"/>
          <w:color w:val="000000"/>
        </w:rPr>
      </w:pPr>
    </w:p>
    <w:p w14:paraId="01B0339A" w14:textId="50C16029" w:rsidR="00424531" w:rsidRPr="00ED555C" w:rsidRDefault="00424531" w:rsidP="00ED555C">
      <w:pPr>
        <w:pStyle w:val="Heading1"/>
        <w:spacing w:line="276" w:lineRule="auto"/>
        <w:rPr>
          <w:rFonts w:ascii="Arial Black" w:hAnsi="Arial Black"/>
          <w:sz w:val="22"/>
          <w:szCs w:val="22"/>
        </w:rPr>
      </w:pPr>
      <w:r w:rsidRPr="00ED555C">
        <w:rPr>
          <w:rFonts w:ascii="Arial Black" w:hAnsi="Arial Black"/>
          <w:sz w:val="22"/>
          <w:szCs w:val="22"/>
        </w:rPr>
        <w:t>Change in Prior-Authorization Status</w:t>
      </w:r>
    </w:p>
    <w:p w14:paraId="3A6950A5" w14:textId="77777777" w:rsidR="00424531" w:rsidRPr="00905C46" w:rsidRDefault="00424531" w:rsidP="00905C46">
      <w:pPr>
        <w:autoSpaceDE w:val="0"/>
        <w:autoSpaceDN w:val="0"/>
        <w:adjustRightInd w:val="0"/>
        <w:rPr>
          <w:rFonts w:ascii="Arial" w:hAnsi="Arial" w:cs="Arial"/>
          <w:color w:val="000000"/>
        </w:rPr>
      </w:pPr>
    </w:p>
    <w:p w14:paraId="4E767467" w14:textId="210FA9DF" w:rsidR="00424531" w:rsidRPr="005F2B6D" w:rsidRDefault="00424531" w:rsidP="00424531">
      <w:pPr>
        <w:pStyle w:val="Default"/>
        <w:numPr>
          <w:ilvl w:val="0"/>
          <w:numId w:val="4"/>
        </w:numPr>
        <w:spacing w:line="276" w:lineRule="auto"/>
        <w:rPr>
          <w:rFonts w:ascii="Arial" w:hAnsi="Arial" w:cs="Arial"/>
          <w:sz w:val="22"/>
          <w:szCs w:val="22"/>
        </w:rPr>
      </w:pPr>
      <w:r w:rsidRPr="005F2B6D">
        <w:rPr>
          <w:rFonts w:ascii="Arial" w:hAnsi="Arial" w:cs="Arial"/>
          <w:sz w:val="22"/>
          <w:szCs w:val="22"/>
        </w:rPr>
        <w:t xml:space="preserve">Effective October 2, 2023, the following compounded pharmaceutical product will not require </w:t>
      </w:r>
      <w:r w:rsidRPr="005F2B6D">
        <w:rPr>
          <w:rFonts w:ascii="Arial" w:hAnsi="Arial" w:cs="Arial"/>
          <w:color w:val="auto"/>
          <w:sz w:val="22"/>
          <w:szCs w:val="22"/>
        </w:rPr>
        <w:t>prior authorization</w:t>
      </w:r>
      <w:r>
        <w:rPr>
          <w:rFonts w:ascii="Arial" w:hAnsi="Arial" w:cs="Arial"/>
          <w:color w:val="auto"/>
          <w:sz w:val="22"/>
          <w:szCs w:val="22"/>
        </w:rPr>
        <w:t xml:space="preserve"> (PA)</w:t>
      </w:r>
      <w:r w:rsidRPr="005F2B6D">
        <w:rPr>
          <w:rFonts w:ascii="Arial" w:hAnsi="Arial" w:cs="Arial"/>
          <w:sz w:val="22"/>
          <w:szCs w:val="22"/>
        </w:rPr>
        <w:t>.</w:t>
      </w:r>
      <w:r w:rsidRPr="005F2B6D">
        <w:rPr>
          <w:rFonts w:ascii="Arial" w:hAnsi="Arial" w:cs="Arial"/>
          <w:color w:val="auto"/>
          <w:sz w:val="22"/>
          <w:szCs w:val="22"/>
        </w:rPr>
        <w:t xml:space="preserve"> </w:t>
      </w:r>
    </w:p>
    <w:p w14:paraId="315C6551" w14:textId="77777777" w:rsidR="00424531" w:rsidRPr="005F2B6D" w:rsidRDefault="00424531" w:rsidP="00424531">
      <w:pPr>
        <w:pStyle w:val="Default"/>
        <w:numPr>
          <w:ilvl w:val="1"/>
          <w:numId w:val="4"/>
        </w:numPr>
        <w:spacing w:line="276" w:lineRule="auto"/>
        <w:ind w:left="1080"/>
        <w:rPr>
          <w:rFonts w:ascii="Arial" w:hAnsi="Arial" w:cs="Arial"/>
          <w:sz w:val="22"/>
          <w:szCs w:val="22"/>
        </w:rPr>
      </w:pPr>
      <w:r w:rsidRPr="005F2B6D">
        <w:rPr>
          <w:rFonts w:ascii="Arial" w:hAnsi="Arial" w:cs="Arial"/>
          <w:sz w:val="22"/>
          <w:szCs w:val="22"/>
        </w:rPr>
        <w:t>compounded pharmaceutical product with a total allowed ingredient cost &lt; $100 and non-topical route of administration; CP</w:t>
      </w:r>
    </w:p>
    <w:p w14:paraId="40A79C5B" w14:textId="77777777" w:rsidR="00424531" w:rsidRPr="005F2B6D" w:rsidRDefault="00424531" w:rsidP="00424531">
      <w:pPr>
        <w:pStyle w:val="Default"/>
        <w:numPr>
          <w:ilvl w:val="0"/>
          <w:numId w:val="4"/>
        </w:numPr>
        <w:spacing w:line="276" w:lineRule="auto"/>
        <w:rPr>
          <w:rFonts w:ascii="Arial" w:hAnsi="Arial" w:cs="Arial"/>
          <w:sz w:val="22"/>
          <w:szCs w:val="22"/>
        </w:rPr>
      </w:pPr>
      <w:r w:rsidRPr="005F2B6D">
        <w:rPr>
          <w:rFonts w:ascii="Arial" w:hAnsi="Arial" w:cs="Arial"/>
          <w:sz w:val="22"/>
          <w:szCs w:val="22"/>
        </w:rPr>
        <w:t xml:space="preserve">Effective October 2, 2023, the following compounded pharmaceutical products will require </w:t>
      </w:r>
      <w:r>
        <w:rPr>
          <w:rFonts w:ascii="Arial" w:hAnsi="Arial" w:cs="Arial"/>
          <w:color w:val="auto"/>
          <w:sz w:val="22"/>
          <w:szCs w:val="22"/>
        </w:rPr>
        <w:t>PA.</w:t>
      </w:r>
    </w:p>
    <w:p w14:paraId="79263748" w14:textId="77777777" w:rsidR="00424531" w:rsidRPr="005F2B6D" w:rsidRDefault="00424531" w:rsidP="00424531">
      <w:pPr>
        <w:pStyle w:val="ListParagraph"/>
        <w:numPr>
          <w:ilvl w:val="1"/>
          <w:numId w:val="4"/>
        </w:numPr>
        <w:spacing w:after="160" w:line="276" w:lineRule="auto"/>
        <w:ind w:left="1080"/>
        <w:contextualSpacing/>
        <w:rPr>
          <w:rFonts w:ascii="Arial" w:hAnsi="Arial" w:cs="Arial"/>
          <w:sz w:val="22"/>
          <w:szCs w:val="22"/>
        </w:rPr>
      </w:pPr>
      <w:r w:rsidRPr="005F2B6D">
        <w:rPr>
          <w:rFonts w:ascii="Arial" w:hAnsi="Arial" w:cs="Arial"/>
          <w:color w:val="000000"/>
          <w:sz w:val="22"/>
          <w:szCs w:val="22"/>
        </w:rPr>
        <w:t xml:space="preserve">compounded pharmaceutical product with a total allowed ingredient cost ≥ $100 </w:t>
      </w:r>
      <w:r w:rsidRPr="005F2B6D">
        <w:rPr>
          <w:rFonts w:ascii="Arial" w:hAnsi="Arial" w:cs="Arial"/>
          <w:sz w:val="22"/>
          <w:szCs w:val="22"/>
        </w:rPr>
        <w:t xml:space="preserve">– </w:t>
      </w:r>
      <w:r w:rsidRPr="005F2B6D">
        <w:rPr>
          <w:rFonts w:ascii="Arial" w:hAnsi="Arial" w:cs="Arial"/>
          <w:b/>
          <w:bCs/>
          <w:sz w:val="22"/>
          <w:szCs w:val="22"/>
        </w:rPr>
        <w:t>PA</w:t>
      </w:r>
      <w:r w:rsidRPr="005F2B6D">
        <w:rPr>
          <w:rFonts w:ascii="Arial" w:hAnsi="Arial" w:cs="Arial"/>
          <w:color w:val="000000"/>
          <w:sz w:val="22"/>
          <w:szCs w:val="22"/>
        </w:rPr>
        <w:t>; CP</w:t>
      </w:r>
    </w:p>
    <w:p w14:paraId="4A23B865" w14:textId="77777777" w:rsidR="00424531" w:rsidRPr="005F2B6D" w:rsidRDefault="00424531" w:rsidP="00424531">
      <w:pPr>
        <w:pStyle w:val="ListParagraph"/>
        <w:numPr>
          <w:ilvl w:val="1"/>
          <w:numId w:val="4"/>
        </w:numPr>
        <w:spacing w:line="276" w:lineRule="auto"/>
        <w:ind w:left="1080"/>
        <w:contextualSpacing/>
        <w:rPr>
          <w:rFonts w:ascii="Arial" w:hAnsi="Arial" w:cs="Arial"/>
          <w:sz w:val="22"/>
          <w:szCs w:val="22"/>
        </w:rPr>
      </w:pPr>
      <w:r w:rsidRPr="005F2B6D">
        <w:rPr>
          <w:rFonts w:ascii="Arial" w:hAnsi="Arial" w:cs="Arial"/>
          <w:sz w:val="22"/>
          <w:szCs w:val="22"/>
        </w:rPr>
        <w:t xml:space="preserve">compounded pharmaceutical product with topical route of administration – </w:t>
      </w:r>
      <w:r w:rsidRPr="005F2B6D">
        <w:rPr>
          <w:rFonts w:ascii="Arial" w:hAnsi="Arial" w:cs="Arial"/>
          <w:b/>
          <w:bCs/>
          <w:sz w:val="22"/>
          <w:szCs w:val="22"/>
        </w:rPr>
        <w:t>PA</w:t>
      </w:r>
      <w:r w:rsidRPr="005F2B6D">
        <w:rPr>
          <w:rFonts w:ascii="Arial" w:hAnsi="Arial" w:cs="Arial"/>
          <w:color w:val="000000"/>
          <w:sz w:val="22"/>
          <w:szCs w:val="22"/>
        </w:rPr>
        <w:t>; CP</w:t>
      </w:r>
    </w:p>
    <w:p w14:paraId="0ED8995A" w14:textId="77777777" w:rsidR="00FB4ADD" w:rsidRDefault="00FB4ADD" w:rsidP="00FB4ADD">
      <w:pPr>
        <w:pStyle w:val="Subtitle"/>
        <w:spacing w:before="0" w:after="0" w:line="240" w:lineRule="auto"/>
        <w:rPr>
          <w:rFonts w:cs="Arial"/>
          <w:b/>
        </w:rPr>
      </w:pPr>
    </w:p>
    <w:p w14:paraId="3720C1D0" w14:textId="45880946" w:rsidR="00424531" w:rsidRDefault="00424531" w:rsidP="00AE696C">
      <w:pPr>
        <w:pStyle w:val="Subtitle"/>
        <w:spacing w:before="0" w:after="0" w:line="240" w:lineRule="auto"/>
        <w:rPr>
          <w:rFonts w:cs="Arial"/>
          <w:b/>
        </w:rPr>
      </w:pPr>
      <w:r w:rsidRPr="00ED555C">
        <w:rPr>
          <w:rFonts w:cs="Arial"/>
          <w:b/>
        </w:rPr>
        <w:t>Change in Coverage Status</w:t>
      </w:r>
    </w:p>
    <w:p w14:paraId="5027A95F" w14:textId="77777777" w:rsidR="00DC307A" w:rsidRPr="00ED555C" w:rsidRDefault="00DC307A" w:rsidP="0052695D">
      <w:pPr>
        <w:pStyle w:val="Subtitle"/>
        <w:spacing w:before="0" w:after="0" w:line="240" w:lineRule="auto"/>
        <w:rPr>
          <w:rFonts w:cs="Arial"/>
          <w:b/>
        </w:rPr>
      </w:pPr>
    </w:p>
    <w:p w14:paraId="0E36AA79" w14:textId="77777777" w:rsidR="00424531" w:rsidRPr="001E7977" w:rsidRDefault="00424531" w:rsidP="00DC307A">
      <w:pPr>
        <w:pStyle w:val="Default"/>
        <w:spacing w:line="276" w:lineRule="auto"/>
        <w:rPr>
          <w:rFonts w:ascii="Arial" w:hAnsi="Arial" w:cs="Arial"/>
          <w:color w:val="auto"/>
          <w:sz w:val="22"/>
          <w:szCs w:val="22"/>
        </w:rPr>
      </w:pPr>
      <w:r w:rsidRPr="001E7977">
        <w:rPr>
          <w:rFonts w:ascii="Arial" w:hAnsi="Arial" w:cs="Arial"/>
          <w:sz w:val="22"/>
          <w:szCs w:val="22"/>
        </w:rPr>
        <w:t xml:space="preserve">Effective </w:t>
      </w:r>
      <w:r w:rsidRPr="00484E74">
        <w:rPr>
          <w:rFonts w:ascii="Arial" w:hAnsi="Arial" w:cs="Arial"/>
          <w:sz w:val="22"/>
          <w:szCs w:val="22"/>
        </w:rPr>
        <w:t>October 2</w:t>
      </w:r>
      <w:r w:rsidRPr="001E7977">
        <w:rPr>
          <w:rFonts w:ascii="Arial" w:hAnsi="Arial" w:cs="Arial"/>
          <w:sz w:val="22"/>
          <w:szCs w:val="22"/>
        </w:rPr>
        <w:t>, 2023, the following agents will be available through medical billing only and will no longer be available through pharmacy billing</w:t>
      </w:r>
      <w:r w:rsidRPr="001E7977">
        <w:rPr>
          <w:rFonts w:ascii="Arial" w:hAnsi="Arial" w:cs="Arial"/>
          <w:color w:val="auto"/>
          <w:sz w:val="22"/>
          <w:szCs w:val="22"/>
        </w:rPr>
        <w:t>.</w:t>
      </w:r>
    </w:p>
    <w:p w14:paraId="6236AE36" w14:textId="77777777" w:rsidR="00424531" w:rsidRPr="003B79CD" w:rsidRDefault="00424531" w:rsidP="00424531">
      <w:pPr>
        <w:pStyle w:val="Default"/>
        <w:numPr>
          <w:ilvl w:val="1"/>
          <w:numId w:val="28"/>
        </w:numPr>
        <w:spacing w:line="276" w:lineRule="auto"/>
        <w:ind w:left="720"/>
        <w:rPr>
          <w:rFonts w:ascii="Arial" w:hAnsi="Arial" w:cs="Arial"/>
          <w:color w:val="auto"/>
          <w:sz w:val="22"/>
          <w:szCs w:val="22"/>
        </w:rPr>
      </w:pPr>
      <w:proofErr w:type="spellStart"/>
      <w:r w:rsidRPr="003B79CD">
        <w:rPr>
          <w:rFonts w:ascii="Arial" w:hAnsi="Arial" w:cs="Arial"/>
          <w:bCs/>
          <w:color w:val="auto"/>
          <w:sz w:val="22"/>
          <w:szCs w:val="22"/>
        </w:rPr>
        <w:t>Enjaymo</w:t>
      </w:r>
      <w:proofErr w:type="spellEnd"/>
      <w:r w:rsidRPr="003B79CD">
        <w:rPr>
          <w:rFonts w:ascii="Arial" w:hAnsi="Arial" w:cs="Arial"/>
          <w:bCs/>
          <w:color w:val="auto"/>
          <w:sz w:val="22"/>
          <w:szCs w:val="22"/>
        </w:rPr>
        <w:t xml:space="preserve"> (</w:t>
      </w:r>
      <w:proofErr w:type="spellStart"/>
      <w:r w:rsidRPr="003B79CD">
        <w:rPr>
          <w:rFonts w:ascii="Arial" w:hAnsi="Arial" w:cs="Arial"/>
          <w:bCs/>
          <w:color w:val="auto"/>
          <w:sz w:val="22"/>
          <w:szCs w:val="22"/>
        </w:rPr>
        <w:t>sutimlimab-jome</w:t>
      </w:r>
      <w:proofErr w:type="spellEnd"/>
      <w:r w:rsidRPr="003B79CD">
        <w:rPr>
          <w:rFonts w:ascii="Arial" w:hAnsi="Arial" w:cs="Arial"/>
          <w:bCs/>
          <w:color w:val="auto"/>
          <w:sz w:val="22"/>
          <w:szCs w:val="22"/>
        </w:rPr>
        <w:t xml:space="preserve">) – </w:t>
      </w:r>
      <w:r w:rsidRPr="000645D4">
        <w:rPr>
          <w:rFonts w:ascii="Arial" w:hAnsi="Arial" w:cs="Arial"/>
          <w:b/>
          <w:color w:val="auto"/>
          <w:sz w:val="22"/>
          <w:szCs w:val="22"/>
        </w:rPr>
        <w:t>PA</w:t>
      </w:r>
      <w:r w:rsidRPr="003B79CD">
        <w:rPr>
          <w:rFonts w:ascii="Arial" w:hAnsi="Arial" w:cs="Arial"/>
          <w:bCs/>
          <w:color w:val="auto"/>
          <w:sz w:val="22"/>
          <w:szCs w:val="22"/>
        </w:rPr>
        <w:t>; MB</w:t>
      </w:r>
    </w:p>
    <w:p w14:paraId="66C627AE" w14:textId="77777777" w:rsidR="00424531" w:rsidRPr="008C0F38" w:rsidRDefault="00424531" w:rsidP="00424531">
      <w:pPr>
        <w:pStyle w:val="Default"/>
        <w:numPr>
          <w:ilvl w:val="1"/>
          <w:numId w:val="28"/>
        </w:numPr>
        <w:spacing w:line="276" w:lineRule="auto"/>
        <w:ind w:left="720"/>
        <w:rPr>
          <w:rFonts w:ascii="Arial" w:hAnsi="Arial" w:cs="Arial"/>
          <w:color w:val="auto"/>
          <w:sz w:val="22"/>
          <w:szCs w:val="22"/>
        </w:rPr>
      </w:pPr>
      <w:r w:rsidRPr="008C0F38">
        <w:rPr>
          <w:rFonts w:ascii="Arial" w:hAnsi="Arial" w:cs="Arial"/>
          <w:color w:val="auto"/>
          <w:sz w:val="22"/>
          <w:szCs w:val="22"/>
        </w:rPr>
        <w:t xml:space="preserve">Soliris (eculizumab) – </w:t>
      </w:r>
      <w:r w:rsidRPr="000645D4">
        <w:rPr>
          <w:rFonts w:ascii="Arial" w:hAnsi="Arial" w:cs="Arial"/>
          <w:b/>
          <w:bCs/>
          <w:color w:val="auto"/>
          <w:sz w:val="22"/>
          <w:szCs w:val="22"/>
        </w:rPr>
        <w:t>PA</w:t>
      </w:r>
      <w:r w:rsidRPr="008C0F38">
        <w:rPr>
          <w:rFonts w:ascii="Arial" w:hAnsi="Arial" w:cs="Arial"/>
          <w:color w:val="auto"/>
          <w:sz w:val="22"/>
          <w:szCs w:val="22"/>
        </w:rPr>
        <w:t>; MB</w:t>
      </w:r>
    </w:p>
    <w:p w14:paraId="5AED24C9" w14:textId="77777777" w:rsidR="00424531" w:rsidRPr="009B6AD0" w:rsidRDefault="00424531" w:rsidP="00424531">
      <w:pPr>
        <w:pStyle w:val="Default"/>
        <w:numPr>
          <w:ilvl w:val="1"/>
          <w:numId w:val="28"/>
        </w:numPr>
        <w:spacing w:line="276" w:lineRule="auto"/>
        <w:ind w:left="720"/>
        <w:rPr>
          <w:rFonts w:ascii="Arial" w:hAnsi="Arial" w:cs="Arial"/>
          <w:color w:val="auto"/>
          <w:sz w:val="22"/>
          <w:szCs w:val="22"/>
        </w:rPr>
      </w:pPr>
      <w:proofErr w:type="spellStart"/>
      <w:r w:rsidRPr="009B6AD0">
        <w:rPr>
          <w:rFonts w:ascii="Arial" w:hAnsi="Arial" w:cs="Arial"/>
          <w:bCs/>
          <w:sz w:val="22"/>
          <w:szCs w:val="22"/>
        </w:rPr>
        <w:t>Padcev</w:t>
      </w:r>
      <w:proofErr w:type="spellEnd"/>
      <w:r w:rsidRPr="009B6AD0">
        <w:rPr>
          <w:rFonts w:ascii="Arial" w:hAnsi="Arial" w:cs="Arial"/>
          <w:bCs/>
          <w:sz w:val="22"/>
          <w:szCs w:val="22"/>
        </w:rPr>
        <w:t xml:space="preserve"> (</w:t>
      </w:r>
      <w:proofErr w:type="spellStart"/>
      <w:r w:rsidRPr="009B6AD0">
        <w:rPr>
          <w:rFonts w:ascii="Arial" w:hAnsi="Arial" w:cs="Arial"/>
          <w:bCs/>
          <w:sz w:val="22"/>
          <w:szCs w:val="22"/>
        </w:rPr>
        <w:t>enfortumab</w:t>
      </w:r>
      <w:proofErr w:type="spellEnd"/>
      <w:r w:rsidRPr="009B6AD0">
        <w:rPr>
          <w:rFonts w:ascii="Arial" w:hAnsi="Arial" w:cs="Arial"/>
          <w:bCs/>
          <w:sz w:val="22"/>
          <w:szCs w:val="22"/>
        </w:rPr>
        <w:t xml:space="preserve"> </w:t>
      </w:r>
      <w:proofErr w:type="spellStart"/>
      <w:r w:rsidRPr="009B6AD0">
        <w:rPr>
          <w:rFonts w:ascii="Arial" w:hAnsi="Arial" w:cs="Arial"/>
          <w:bCs/>
          <w:sz w:val="22"/>
          <w:szCs w:val="22"/>
        </w:rPr>
        <w:t>vedotin-ejfv</w:t>
      </w:r>
      <w:proofErr w:type="spellEnd"/>
      <w:r w:rsidRPr="009B6AD0">
        <w:rPr>
          <w:rFonts w:ascii="Arial" w:hAnsi="Arial" w:cs="Arial"/>
          <w:bCs/>
          <w:sz w:val="22"/>
          <w:szCs w:val="22"/>
        </w:rPr>
        <w:t xml:space="preserve">) </w:t>
      </w:r>
      <w:r w:rsidRPr="009B6AD0">
        <w:rPr>
          <w:rFonts w:ascii="Arial" w:hAnsi="Arial" w:cs="Arial"/>
          <w:color w:val="auto"/>
          <w:sz w:val="22"/>
          <w:szCs w:val="22"/>
        </w:rPr>
        <w:t xml:space="preserve">– </w:t>
      </w:r>
      <w:r w:rsidRPr="009B6AD0">
        <w:rPr>
          <w:rFonts w:ascii="Arial" w:hAnsi="Arial" w:cs="Arial"/>
          <w:b/>
          <w:sz w:val="22"/>
          <w:szCs w:val="22"/>
        </w:rPr>
        <w:t>PA</w:t>
      </w:r>
      <w:r w:rsidRPr="009B6AD0">
        <w:rPr>
          <w:rFonts w:ascii="Arial" w:hAnsi="Arial" w:cs="Arial"/>
          <w:bCs/>
          <w:color w:val="auto"/>
          <w:sz w:val="22"/>
          <w:szCs w:val="22"/>
        </w:rPr>
        <w:t>; MB</w:t>
      </w:r>
    </w:p>
    <w:p w14:paraId="56A92668" w14:textId="77777777" w:rsidR="00424531" w:rsidRPr="00D76C42" w:rsidRDefault="00424531" w:rsidP="00424531">
      <w:pPr>
        <w:pStyle w:val="Default"/>
        <w:numPr>
          <w:ilvl w:val="1"/>
          <w:numId w:val="28"/>
        </w:numPr>
        <w:spacing w:line="276" w:lineRule="auto"/>
        <w:ind w:left="720"/>
        <w:rPr>
          <w:rFonts w:ascii="Arial" w:hAnsi="Arial" w:cs="Arial"/>
          <w:color w:val="auto"/>
          <w:sz w:val="22"/>
          <w:szCs w:val="22"/>
        </w:rPr>
      </w:pPr>
      <w:proofErr w:type="spellStart"/>
      <w:r w:rsidRPr="00D76C42">
        <w:rPr>
          <w:rFonts w:ascii="Arial" w:hAnsi="Arial" w:cs="Arial"/>
          <w:bCs/>
          <w:color w:val="auto"/>
          <w:sz w:val="22"/>
          <w:szCs w:val="22"/>
        </w:rPr>
        <w:t>Uplizna</w:t>
      </w:r>
      <w:proofErr w:type="spellEnd"/>
      <w:r w:rsidRPr="00D76C42">
        <w:rPr>
          <w:rFonts w:ascii="Arial" w:hAnsi="Arial" w:cs="Arial"/>
          <w:bCs/>
          <w:color w:val="auto"/>
          <w:sz w:val="22"/>
          <w:szCs w:val="22"/>
        </w:rPr>
        <w:t xml:space="preserve"> (</w:t>
      </w:r>
      <w:proofErr w:type="spellStart"/>
      <w:r w:rsidRPr="00D76C42">
        <w:rPr>
          <w:rFonts w:ascii="Arial" w:hAnsi="Arial" w:cs="Arial"/>
          <w:bCs/>
          <w:color w:val="auto"/>
          <w:sz w:val="22"/>
          <w:szCs w:val="22"/>
        </w:rPr>
        <w:t>inebilizumab-cdon</w:t>
      </w:r>
      <w:proofErr w:type="spellEnd"/>
      <w:r w:rsidRPr="00D76C42">
        <w:rPr>
          <w:rFonts w:ascii="Arial" w:hAnsi="Arial" w:cs="Arial"/>
          <w:bCs/>
          <w:color w:val="auto"/>
          <w:sz w:val="22"/>
          <w:szCs w:val="22"/>
        </w:rPr>
        <w:t xml:space="preserve">) – </w:t>
      </w:r>
      <w:r w:rsidRPr="00D76C42">
        <w:rPr>
          <w:rFonts w:ascii="Arial" w:hAnsi="Arial" w:cs="Arial"/>
          <w:b/>
          <w:color w:val="auto"/>
          <w:sz w:val="22"/>
          <w:szCs w:val="22"/>
        </w:rPr>
        <w:t>PA</w:t>
      </w:r>
      <w:r w:rsidRPr="00D76C42">
        <w:rPr>
          <w:rFonts w:ascii="Arial" w:hAnsi="Arial" w:cs="Arial"/>
          <w:bCs/>
          <w:color w:val="auto"/>
          <w:sz w:val="22"/>
          <w:szCs w:val="22"/>
        </w:rPr>
        <w:t>; MB</w:t>
      </w:r>
    </w:p>
    <w:p w14:paraId="3233597F" w14:textId="77777777" w:rsidR="00424531" w:rsidRDefault="00424531" w:rsidP="00424531">
      <w:pPr>
        <w:pStyle w:val="Default"/>
        <w:numPr>
          <w:ilvl w:val="1"/>
          <w:numId w:val="28"/>
        </w:numPr>
        <w:spacing w:line="276" w:lineRule="auto"/>
        <w:ind w:left="720"/>
        <w:rPr>
          <w:rFonts w:ascii="Arial" w:hAnsi="Arial" w:cs="Arial"/>
          <w:color w:val="auto"/>
          <w:sz w:val="22"/>
          <w:szCs w:val="22"/>
        </w:rPr>
      </w:pPr>
      <w:proofErr w:type="spellStart"/>
      <w:r w:rsidRPr="000645D4">
        <w:rPr>
          <w:rFonts w:ascii="Arial" w:hAnsi="Arial" w:cs="Arial"/>
          <w:color w:val="auto"/>
          <w:sz w:val="22"/>
          <w:szCs w:val="22"/>
        </w:rPr>
        <w:t>Vyvgart</w:t>
      </w:r>
      <w:proofErr w:type="spellEnd"/>
      <w:r w:rsidRPr="000645D4">
        <w:rPr>
          <w:rFonts w:ascii="Arial" w:hAnsi="Arial" w:cs="Arial"/>
          <w:color w:val="auto"/>
          <w:sz w:val="22"/>
          <w:szCs w:val="22"/>
        </w:rPr>
        <w:t xml:space="preserve"> (efgartigimod alfa-</w:t>
      </w:r>
      <w:proofErr w:type="spellStart"/>
      <w:r w:rsidRPr="000645D4">
        <w:rPr>
          <w:rFonts w:ascii="Arial" w:hAnsi="Arial" w:cs="Arial"/>
          <w:color w:val="auto"/>
          <w:sz w:val="22"/>
          <w:szCs w:val="22"/>
        </w:rPr>
        <w:t>fcab</w:t>
      </w:r>
      <w:proofErr w:type="spellEnd"/>
      <w:r w:rsidRPr="000645D4">
        <w:rPr>
          <w:rFonts w:ascii="Arial" w:hAnsi="Arial" w:cs="Arial"/>
          <w:color w:val="auto"/>
          <w:sz w:val="22"/>
          <w:szCs w:val="22"/>
        </w:rPr>
        <w:t>) –</w:t>
      </w:r>
      <w:r w:rsidRPr="000645D4">
        <w:rPr>
          <w:rFonts w:ascii="Arial" w:hAnsi="Arial" w:cs="Arial"/>
          <w:b/>
          <w:bCs/>
          <w:color w:val="auto"/>
          <w:sz w:val="22"/>
          <w:szCs w:val="22"/>
        </w:rPr>
        <w:t xml:space="preserve"> PA</w:t>
      </w:r>
      <w:r w:rsidRPr="000645D4">
        <w:rPr>
          <w:rFonts w:ascii="Arial" w:hAnsi="Arial" w:cs="Arial"/>
          <w:color w:val="auto"/>
          <w:sz w:val="22"/>
          <w:szCs w:val="22"/>
        </w:rPr>
        <w:t>; MB</w:t>
      </w:r>
    </w:p>
    <w:p w14:paraId="740BEF0D" w14:textId="77777777" w:rsidR="00424531" w:rsidRDefault="00424531" w:rsidP="00424531">
      <w:pPr>
        <w:pStyle w:val="Default"/>
        <w:spacing w:line="276" w:lineRule="auto"/>
        <w:ind w:left="720"/>
        <w:rPr>
          <w:rFonts w:ascii="Arial" w:hAnsi="Arial" w:cs="Arial"/>
          <w:color w:val="auto"/>
          <w:sz w:val="22"/>
          <w:szCs w:val="22"/>
        </w:rPr>
      </w:pPr>
    </w:p>
    <w:p w14:paraId="74087389" w14:textId="77777777" w:rsidR="001B0428" w:rsidRDefault="001B0428" w:rsidP="008059DB">
      <w:pPr>
        <w:pStyle w:val="Default"/>
        <w:spacing w:line="276" w:lineRule="auto"/>
        <w:rPr>
          <w:rFonts w:cs="Arial"/>
          <w:color w:val="auto"/>
          <w:sz w:val="22"/>
          <w:szCs w:val="22"/>
        </w:rPr>
      </w:pPr>
    </w:p>
    <w:p w14:paraId="15BCAF27" w14:textId="77777777" w:rsidR="001B0428" w:rsidRDefault="001B0428" w:rsidP="008059DB">
      <w:pPr>
        <w:pStyle w:val="Default"/>
        <w:spacing w:line="276" w:lineRule="auto"/>
        <w:rPr>
          <w:rFonts w:cs="Arial"/>
          <w:color w:val="auto"/>
          <w:sz w:val="22"/>
          <w:szCs w:val="22"/>
        </w:rPr>
      </w:pPr>
    </w:p>
    <w:p w14:paraId="0A7BBAD9" w14:textId="0298379A" w:rsidR="00424531" w:rsidRPr="00ED555C" w:rsidRDefault="00424531" w:rsidP="008059DB">
      <w:pPr>
        <w:pStyle w:val="Default"/>
        <w:spacing w:line="276" w:lineRule="auto"/>
        <w:rPr>
          <w:rFonts w:cs="Arial"/>
          <w:color w:val="auto"/>
          <w:sz w:val="22"/>
          <w:szCs w:val="22"/>
        </w:rPr>
      </w:pPr>
      <w:r w:rsidRPr="00ED555C">
        <w:rPr>
          <w:rFonts w:cs="Arial"/>
          <w:color w:val="auto"/>
          <w:sz w:val="22"/>
          <w:szCs w:val="22"/>
        </w:rPr>
        <w:t xml:space="preserve">Updated MassHealth Brand Name Preferred Over Generic Drug </w:t>
      </w:r>
      <w:proofErr w:type="spellStart"/>
      <w:r w:rsidRPr="00ED555C">
        <w:rPr>
          <w:rFonts w:cs="Arial"/>
          <w:color w:val="auto"/>
          <w:sz w:val="22"/>
          <w:szCs w:val="22"/>
        </w:rPr>
        <w:t>LIst</w:t>
      </w:r>
      <w:proofErr w:type="spellEnd"/>
    </w:p>
    <w:p w14:paraId="76FD1E52" w14:textId="77777777" w:rsidR="00424531" w:rsidRPr="0037348F" w:rsidRDefault="00424531" w:rsidP="00424531">
      <w:pPr>
        <w:pStyle w:val="ListParagraph"/>
        <w:ind w:left="0"/>
        <w:contextualSpacing/>
        <w:rPr>
          <w:rFonts w:ascii="Arial" w:hAnsi="Arial" w:cs="Arial"/>
          <w:sz w:val="22"/>
          <w:szCs w:val="22"/>
        </w:rPr>
      </w:pPr>
    </w:p>
    <w:p w14:paraId="62E19108" w14:textId="77777777" w:rsidR="00424531" w:rsidRPr="008059DB" w:rsidRDefault="00424531" w:rsidP="00424531">
      <w:pPr>
        <w:rPr>
          <w:rFonts w:ascii="Arial" w:hAnsi="Arial" w:cs="Arial"/>
          <w:sz w:val="22"/>
          <w:szCs w:val="22"/>
        </w:rPr>
      </w:pPr>
      <w:r w:rsidRPr="008059DB">
        <w:rPr>
          <w:rFonts w:ascii="Arial" w:hAnsi="Arial" w:cs="Arial"/>
          <w:sz w:val="22"/>
          <w:szCs w:val="22"/>
        </w:rPr>
        <w:t>The MassHealth Brand Name Preferred Over Generic Drug List has been updated to reflect recent changes to the MassHealth Drug List.</w:t>
      </w:r>
    </w:p>
    <w:p w14:paraId="0285C883" w14:textId="77777777" w:rsidR="00424531" w:rsidRPr="008059DB" w:rsidRDefault="00424531" w:rsidP="00424531">
      <w:pPr>
        <w:rPr>
          <w:rFonts w:ascii="Arial" w:hAnsi="Arial" w:cs="Arial"/>
          <w:sz w:val="22"/>
          <w:szCs w:val="22"/>
        </w:rPr>
      </w:pPr>
    </w:p>
    <w:p w14:paraId="6169EC94" w14:textId="77777777" w:rsidR="00424531" w:rsidRPr="008059DB" w:rsidRDefault="00424531" w:rsidP="00424531">
      <w:pPr>
        <w:pStyle w:val="Default"/>
        <w:numPr>
          <w:ilvl w:val="0"/>
          <w:numId w:val="29"/>
        </w:numPr>
        <w:spacing w:line="276" w:lineRule="auto"/>
        <w:rPr>
          <w:rFonts w:ascii="Arial" w:hAnsi="Arial" w:cs="Arial"/>
          <w:sz w:val="22"/>
          <w:szCs w:val="22"/>
        </w:rPr>
      </w:pPr>
      <w:bookmarkStart w:id="1" w:name="_Hlk14249184"/>
      <w:bookmarkStart w:id="2" w:name="_Hlk536624120"/>
      <w:r w:rsidRPr="008059DB">
        <w:rPr>
          <w:rFonts w:ascii="Arial" w:hAnsi="Arial" w:cs="Arial"/>
          <w:sz w:val="22"/>
          <w:szCs w:val="22"/>
        </w:rPr>
        <w:t xml:space="preserve">Effective October 2, 2023, the following agent will be added to the MassHealth Brand Name Preferred Over Generic Drug List. </w:t>
      </w:r>
    </w:p>
    <w:p w14:paraId="37A5E34D" w14:textId="77777777" w:rsidR="00424531" w:rsidRPr="005F2B6D" w:rsidRDefault="00424531" w:rsidP="00424531">
      <w:pPr>
        <w:pStyle w:val="Default"/>
        <w:numPr>
          <w:ilvl w:val="0"/>
          <w:numId w:val="30"/>
        </w:numPr>
        <w:spacing w:line="276" w:lineRule="auto"/>
        <w:rPr>
          <w:rFonts w:ascii="Arial" w:hAnsi="Arial" w:cs="Arial"/>
          <w:sz w:val="22"/>
          <w:szCs w:val="22"/>
        </w:rPr>
      </w:pPr>
      <w:r w:rsidRPr="005F2B6D">
        <w:rPr>
          <w:rFonts w:ascii="Arial" w:hAnsi="Arial" w:cs="Arial"/>
          <w:sz w:val="22"/>
          <w:szCs w:val="22"/>
        </w:rPr>
        <w:t>Flovent (fluticasone propionate inhalation powder); BP</w:t>
      </w:r>
    </w:p>
    <w:p w14:paraId="720DE347" w14:textId="77777777" w:rsidR="00424531" w:rsidRPr="005F2B6D" w:rsidRDefault="00424531" w:rsidP="00424531">
      <w:pPr>
        <w:pStyle w:val="Default"/>
        <w:numPr>
          <w:ilvl w:val="0"/>
          <w:numId w:val="29"/>
        </w:numPr>
        <w:spacing w:line="276" w:lineRule="auto"/>
        <w:rPr>
          <w:rFonts w:ascii="Arial" w:hAnsi="Arial" w:cs="Arial"/>
          <w:sz w:val="22"/>
          <w:szCs w:val="22"/>
        </w:rPr>
      </w:pPr>
      <w:r w:rsidRPr="005F2B6D">
        <w:rPr>
          <w:rFonts w:ascii="Arial" w:hAnsi="Arial" w:cs="Arial"/>
          <w:sz w:val="22"/>
          <w:szCs w:val="22"/>
        </w:rPr>
        <w:t xml:space="preserve">Effective October 2, 2023, the following agents will be removed from the MassHealth Brand Name Preferred Over Generic Drug List. </w:t>
      </w:r>
    </w:p>
    <w:bookmarkEnd w:id="1"/>
    <w:p w14:paraId="19D500A0" w14:textId="77777777" w:rsidR="00424531" w:rsidRPr="005F2B6D" w:rsidRDefault="00424531" w:rsidP="00424531">
      <w:pPr>
        <w:pStyle w:val="Default"/>
        <w:numPr>
          <w:ilvl w:val="0"/>
          <w:numId w:val="16"/>
        </w:numPr>
        <w:spacing w:line="276" w:lineRule="auto"/>
        <w:rPr>
          <w:rFonts w:ascii="Arial" w:hAnsi="Arial" w:cs="Arial"/>
          <w:sz w:val="22"/>
          <w:szCs w:val="22"/>
        </w:rPr>
      </w:pPr>
      <w:proofErr w:type="spellStart"/>
      <w:r w:rsidRPr="005F2B6D">
        <w:rPr>
          <w:rFonts w:ascii="Arial" w:hAnsi="Arial" w:cs="Arial"/>
          <w:color w:val="auto"/>
          <w:sz w:val="22"/>
          <w:szCs w:val="22"/>
        </w:rPr>
        <w:t>Exelderm</w:t>
      </w:r>
      <w:proofErr w:type="spellEnd"/>
      <w:r w:rsidRPr="005F2B6D">
        <w:rPr>
          <w:rFonts w:ascii="Arial" w:hAnsi="Arial" w:cs="Arial"/>
          <w:color w:val="auto"/>
          <w:sz w:val="22"/>
          <w:szCs w:val="22"/>
        </w:rPr>
        <w:t xml:space="preserve"> (</w:t>
      </w:r>
      <w:proofErr w:type="spellStart"/>
      <w:r w:rsidRPr="005F2B6D">
        <w:rPr>
          <w:rFonts w:ascii="Arial" w:hAnsi="Arial" w:cs="Arial"/>
          <w:color w:val="auto"/>
          <w:sz w:val="22"/>
          <w:szCs w:val="22"/>
        </w:rPr>
        <w:t>sulconazole</w:t>
      </w:r>
      <w:proofErr w:type="spellEnd"/>
      <w:r w:rsidRPr="005F2B6D">
        <w:rPr>
          <w:rFonts w:ascii="Arial" w:hAnsi="Arial" w:cs="Arial"/>
          <w:color w:val="auto"/>
          <w:sz w:val="22"/>
          <w:szCs w:val="22"/>
        </w:rPr>
        <w:t xml:space="preserve">) – </w:t>
      </w:r>
      <w:r w:rsidRPr="005F2B6D">
        <w:rPr>
          <w:rFonts w:ascii="Arial" w:hAnsi="Arial" w:cs="Arial"/>
          <w:b/>
          <w:bCs/>
          <w:color w:val="auto"/>
          <w:sz w:val="22"/>
          <w:szCs w:val="22"/>
        </w:rPr>
        <w:t>PA</w:t>
      </w:r>
      <w:r w:rsidRPr="005F2B6D">
        <w:rPr>
          <w:rFonts w:ascii="Arial" w:hAnsi="Arial" w:cs="Arial"/>
          <w:sz w:val="22"/>
          <w:szCs w:val="22"/>
        </w:rPr>
        <w:t>; A90</w:t>
      </w:r>
    </w:p>
    <w:p w14:paraId="1B85A7E9" w14:textId="77777777" w:rsidR="00424531" w:rsidRPr="00424531" w:rsidRDefault="00424531" w:rsidP="00424531">
      <w:pPr>
        <w:pStyle w:val="ListParagraph"/>
        <w:numPr>
          <w:ilvl w:val="0"/>
          <w:numId w:val="16"/>
        </w:numPr>
        <w:spacing w:line="259" w:lineRule="auto"/>
        <w:contextualSpacing/>
        <w:rPr>
          <w:rFonts w:ascii="Arial" w:hAnsi="Arial" w:cs="Arial"/>
          <w:color w:val="000000"/>
          <w:sz w:val="22"/>
          <w:szCs w:val="22"/>
        </w:rPr>
      </w:pPr>
      <w:r w:rsidRPr="005F2B6D">
        <w:rPr>
          <w:rFonts w:ascii="Arial" w:eastAsia="Calibri" w:hAnsi="Arial" w:cs="Arial"/>
          <w:sz w:val="22"/>
          <w:szCs w:val="22"/>
        </w:rPr>
        <w:t xml:space="preserve">Invega (paliperidone tablet) – </w:t>
      </w:r>
      <w:r w:rsidRPr="005F2B6D">
        <w:rPr>
          <w:rFonts w:ascii="Arial" w:eastAsia="Calibri" w:hAnsi="Arial" w:cs="Arial"/>
          <w:b/>
          <w:bCs/>
          <w:sz w:val="22"/>
          <w:szCs w:val="22"/>
        </w:rPr>
        <w:t>PA</w:t>
      </w:r>
      <w:r w:rsidRPr="005F2B6D">
        <w:rPr>
          <w:rFonts w:ascii="Arial" w:hAnsi="Arial" w:cs="Arial"/>
          <w:sz w:val="22"/>
          <w:szCs w:val="22"/>
        </w:rPr>
        <w:t>; A90</w:t>
      </w:r>
    </w:p>
    <w:bookmarkEnd w:id="2"/>
    <w:p w14:paraId="48E1997A" w14:textId="77777777" w:rsidR="004D4131" w:rsidRDefault="004D4131" w:rsidP="004D4131">
      <w:pPr>
        <w:spacing w:line="256" w:lineRule="auto"/>
        <w:jc w:val="center"/>
        <w:rPr>
          <w:rFonts w:ascii="Tahoma" w:eastAsia="Calibri" w:hAnsi="Tahoma" w:cs="Tahoma"/>
          <w:b/>
          <w:sz w:val="32"/>
          <w:szCs w:val="32"/>
        </w:rPr>
      </w:pPr>
    </w:p>
    <w:p w14:paraId="43AB1454" w14:textId="3DF05B0B" w:rsidR="004D4131" w:rsidRPr="00ED555C" w:rsidRDefault="004D4131" w:rsidP="00C405E8">
      <w:pPr>
        <w:spacing w:line="256" w:lineRule="auto"/>
        <w:rPr>
          <w:rFonts w:ascii="Arial Black" w:eastAsia="Calibri" w:hAnsi="Arial Black" w:cs="Tahoma"/>
          <w:b/>
          <w:sz w:val="22"/>
          <w:szCs w:val="22"/>
        </w:rPr>
      </w:pPr>
      <w:r w:rsidRPr="00ED555C">
        <w:rPr>
          <w:rFonts w:ascii="Arial Black" w:eastAsia="Calibri" w:hAnsi="Arial Black" w:cs="Tahoma"/>
          <w:b/>
          <w:sz w:val="22"/>
          <w:szCs w:val="22"/>
        </w:rPr>
        <w:t>Updated MassHealth Non-Drug Product List</w:t>
      </w:r>
    </w:p>
    <w:p w14:paraId="1537A85E" w14:textId="77777777" w:rsidR="004D4131" w:rsidRPr="0070229B" w:rsidRDefault="004D4131" w:rsidP="004D4131">
      <w:pPr>
        <w:rPr>
          <w:sz w:val="22"/>
          <w:szCs w:val="22"/>
        </w:rPr>
      </w:pPr>
    </w:p>
    <w:p w14:paraId="1342ED6D" w14:textId="77777777" w:rsidR="004D4131" w:rsidRPr="00ED555C" w:rsidRDefault="004D4131" w:rsidP="004D4131">
      <w:pPr>
        <w:rPr>
          <w:rFonts w:ascii="Arial" w:hAnsi="Arial" w:cs="Arial"/>
          <w:color w:val="000000"/>
          <w:sz w:val="22"/>
          <w:szCs w:val="22"/>
        </w:rPr>
      </w:pPr>
      <w:r w:rsidRPr="00ED555C">
        <w:rPr>
          <w:rFonts w:ascii="Arial" w:hAnsi="Arial" w:cs="Arial"/>
          <w:sz w:val="22"/>
          <w:szCs w:val="22"/>
        </w:rPr>
        <w:t xml:space="preserve">The MassHealth Non-Drug Product List has been updated to reflect recent changes to the MassHealth Drug List. Effective October 2, 2023, </w:t>
      </w:r>
      <w:r w:rsidRPr="00ED555C">
        <w:rPr>
          <w:rFonts w:ascii="Arial" w:hAnsi="Arial" w:cs="Arial"/>
          <w:color w:val="000000"/>
          <w:sz w:val="22"/>
          <w:szCs w:val="22"/>
        </w:rPr>
        <w:t xml:space="preserve">the following product will be added to the MassHealth Non-Drug Product list. </w:t>
      </w:r>
    </w:p>
    <w:p w14:paraId="099B28D2" w14:textId="77777777" w:rsidR="004D4131" w:rsidRPr="00ED555C" w:rsidRDefault="004D4131" w:rsidP="004D4131">
      <w:pPr>
        <w:pStyle w:val="ListParagraph"/>
        <w:numPr>
          <w:ilvl w:val="0"/>
          <w:numId w:val="31"/>
        </w:numPr>
        <w:ind w:left="720"/>
        <w:contextualSpacing/>
        <w:rPr>
          <w:rFonts w:ascii="Arial" w:hAnsi="Arial" w:cs="Arial"/>
          <w:sz w:val="22"/>
          <w:szCs w:val="22"/>
        </w:rPr>
      </w:pPr>
      <w:proofErr w:type="spellStart"/>
      <w:r w:rsidRPr="00ED555C">
        <w:rPr>
          <w:rFonts w:ascii="Arial" w:hAnsi="Arial" w:cs="Arial"/>
          <w:sz w:val="22"/>
          <w:szCs w:val="22"/>
        </w:rPr>
        <w:t>Omnipod</w:t>
      </w:r>
      <w:proofErr w:type="spellEnd"/>
      <w:r w:rsidRPr="00ED555C">
        <w:rPr>
          <w:rFonts w:ascii="Arial" w:hAnsi="Arial" w:cs="Arial"/>
          <w:sz w:val="22"/>
          <w:szCs w:val="22"/>
        </w:rPr>
        <w:t xml:space="preserve"> Go – </w:t>
      </w:r>
      <w:r w:rsidRPr="00ED555C">
        <w:rPr>
          <w:rFonts w:ascii="Arial" w:hAnsi="Arial" w:cs="Arial"/>
          <w:b/>
          <w:bCs/>
          <w:sz w:val="22"/>
          <w:szCs w:val="22"/>
        </w:rPr>
        <w:t xml:space="preserve">PA </w:t>
      </w:r>
    </w:p>
    <w:p w14:paraId="5B1A8C16" w14:textId="77777777" w:rsidR="00634C49" w:rsidRPr="00634C49" w:rsidRDefault="00634C49" w:rsidP="00634C49">
      <w:pPr>
        <w:autoSpaceDE w:val="0"/>
        <w:autoSpaceDN w:val="0"/>
        <w:adjustRightInd w:val="0"/>
        <w:rPr>
          <w:rFonts w:ascii="Arial" w:hAnsi="Arial" w:cs="Arial"/>
          <w:color w:val="000000"/>
        </w:rPr>
      </w:pPr>
    </w:p>
    <w:p w14:paraId="3D892941" w14:textId="69DB0FD9" w:rsidR="008059DB" w:rsidRDefault="008059DB" w:rsidP="00300B9D">
      <w:pPr>
        <w:shd w:val="clear" w:color="auto" w:fill="FFFFFF"/>
        <w:ind w:left="630" w:hanging="630"/>
        <w:jc w:val="center"/>
        <w:rPr>
          <w:rFonts w:ascii="Arial" w:hAnsi="Arial"/>
          <w:b/>
          <w:bCs/>
          <w:sz w:val="18"/>
          <w:szCs w:val="18"/>
        </w:rPr>
      </w:pPr>
      <w:r>
        <w:rPr>
          <w:rFonts w:ascii="Arial" w:hAnsi="Arial"/>
          <w:b/>
          <w:bCs/>
          <w:sz w:val="18"/>
          <w:szCs w:val="18"/>
        </w:rPr>
        <w:t>L</w:t>
      </w:r>
      <w:r w:rsidRPr="006E1C33">
        <w:rPr>
          <w:rFonts w:ascii="Arial" w:hAnsi="Arial"/>
          <w:b/>
          <w:bCs/>
          <w:sz w:val="18"/>
          <w:szCs w:val="18"/>
        </w:rPr>
        <w:t>egend</w:t>
      </w:r>
    </w:p>
    <w:p w14:paraId="52007795" w14:textId="77777777" w:rsidR="008059DB" w:rsidRDefault="008059DB" w:rsidP="008059DB">
      <w:pPr>
        <w:shd w:val="clear" w:color="auto" w:fill="FFFFFF"/>
        <w:tabs>
          <w:tab w:val="left" w:pos="180"/>
          <w:tab w:val="left" w:pos="360"/>
        </w:tabs>
        <w:ind w:left="270" w:hanging="360"/>
        <w:rPr>
          <w:rFonts w:ascii="Arial" w:hAnsi="Arial"/>
          <w:b/>
          <w:bCs/>
          <w:color w:val="FF0000"/>
          <w:sz w:val="18"/>
          <w:szCs w:val="18"/>
        </w:rPr>
      </w:pPr>
    </w:p>
    <w:p w14:paraId="41CB23C8" w14:textId="3E767BF0" w:rsidR="001B0428" w:rsidRPr="007A78CA" w:rsidRDefault="001B0428" w:rsidP="007A78CA">
      <w:pPr>
        <w:spacing w:after="120"/>
        <w:ind w:left="360" w:right="547" w:hanging="360"/>
        <w:rPr>
          <w:rFonts w:ascii="Arial" w:hAnsi="Arial" w:cs="Arial"/>
          <w:sz w:val="18"/>
          <w:szCs w:val="18"/>
        </w:rPr>
      </w:pPr>
      <w:bookmarkStart w:id="3" w:name="_Hlk146614624"/>
      <w:r w:rsidRPr="007E56D6">
        <w:rPr>
          <w:rFonts w:ascii="Arial" w:hAnsi="Arial" w:cs="Arial"/>
          <w:sz w:val="22"/>
          <w:szCs w:val="22"/>
          <w:vertAlign w:val="superscript"/>
        </w:rPr>
        <w:t>MB</w:t>
      </w:r>
      <w:r w:rsidRPr="005F2B6D">
        <w:rPr>
          <w:sz w:val="22"/>
          <w:szCs w:val="22"/>
        </w:rPr>
        <w:t xml:space="preserve"> </w:t>
      </w:r>
      <w:r w:rsidR="007A78CA">
        <w:rPr>
          <w:sz w:val="22"/>
          <w:szCs w:val="22"/>
        </w:rPr>
        <w:t xml:space="preserve"> </w:t>
      </w:r>
      <w:r w:rsidRPr="007A78CA">
        <w:rPr>
          <w:rFonts w:ascii="Arial" w:hAnsi="Arial" w:cs="Arial"/>
          <w:sz w:val="18"/>
          <w:szCs w:val="18"/>
        </w:rPr>
        <w:t>This drug is available through the health care professional who administers the drug or in an outpatient or inpatient hospital setting. MassHealth does not pay for this drug to be dispensed through the retail pharmacy.</w:t>
      </w:r>
      <w:r w:rsidR="00040748">
        <w:rPr>
          <w:rFonts w:ascii="Arial" w:hAnsi="Arial" w:cs="Arial"/>
          <w:sz w:val="18"/>
          <w:szCs w:val="18"/>
        </w:rPr>
        <w:t xml:space="preserve"> </w:t>
      </w:r>
      <w:r w:rsidRPr="007A78CA">
        <w:rPr>
          <w:rFonts w:ascii="Arial" w:hAnsi="Arial" w:cs="Arial"/>
          <w:sz w:val="18"/>
          <w:szCs w:val="18"/>
        </w:rPr>
        <w:t xml:space="preserve">If listed, prior authorization </w:t>
      </w:r>
      <w:r w:rsidR="00040748">
        <w:rPr>
          <w:rFonts w:ascii="Arial" w:hAnsi="Arial" w:cs="Arial"/>
          <w:sz w:val="18"/>
          <w:szCs w:val="18"/>
        </w:rPr>
        <w:t xml:space="preserve">(PA) </w:t>
      </w:r>
      <w:r w:rsidRPr="007A78CA">
        <w:rPr>
          <w:rFonts w:ascii="Arial" w:hAnsi="Arial" w:cs="Arial"/>
          <w:sz w:val="18"/>
          <w:szCs w:val="18"/>
        </w:rPr>
        <w:t xml:space="preserve">does not apply through the hospital outpatient and inpatient settings. Please refer to 130 CMR 433.408 for </w:t>
      </w:r>
      <w:r w:rsidR="00AE696C">
        <w:rPr>
          <w:rFonts w:ascii="Arial" w:hAnsi="Arial" w:cs="Arial"/>
          <w:sz w:val="18"/>
          <w:szCs w:val="18"/>
        </w:rPr>
        <w:t xml:space="preserve">PA </w:t>
      </w:r>
      <w:r w:rsidRPr="007A78CA">
        <w:rPr>
          <w:rFonts w:ascii="Arial" w:hAnsi="Arial" w:cs="Arial"/>
          <w:sz w:val="18"/>
          <w:szCs w:val="18"/>
        </w:rPr>
        <w:t>requirements for other health care professionals.</w:t>
      </w:r>
      <w:bookmarkStart w:id="4" w:name="_Hlk131578258"/>
      <w:r w:rsidRPr="007A78CA">
        <w:rPr>
          <w:rFonts w:ascii="Arial" w:hAnsi="Arial" w:cs="Arial"/>
          <w:sz w:val="18"/>
          <w:szCs w:val="18"/>
        </w:rPr>
        <w:t xml:space="preserve"> Notwithstanding the above, this drug may be an exception to the unified pharmacy policy; please refer to respective MassHealth Accountable Care Partnership Plans (ACPPs) and Managed Care Organizations (MCOs) for </w:t>
      </w:r>
      <w:r w:rsidR="007A78CA" w:rsidRPr="007A78CA">
        <w:rPr>
          <w:rFonts w:ascii="Arial" w:hAnsi="Arial" w:cs="Arial"/>
          <w:sz w:val="18"/>
          <w:szCs w:val="18"/>
        </w:rPr>
        <w:t xml:space="preserve">PA </w:t>
      </w:r>
      <w:r w:rsidRPr="007A78CA">
        <w:rPr>
          <w:rFonts w:ascii="Arial" w:hAnsi="Arial" w:cs="Arial"/>
          <w:sz w:val="18"/>
          <w:szCs w:val="18"/>
        </w:rPr>
        <w:t>status and criteria, if applicable.</w:t>
      </w:r>
      <w:bookmarkEnd w:id="4"/>
    </w:p>
    <w:p w14:paraId="1EA97511" w14:textId="51BC438F" w:rsidR="00194223" w:rsidRDefault="008059DB" w:rsidP="007A78CA">
      <w:pPr>
        <w:shd w:val="clear" w:color="auto" w:fill="FFFFFF"/>
        <w:tabs>
          <w:tab w:val="left" w:pos="360"/>
        </w:tabs>
        <w:ind w:left="360" w:hanging="450"/>
        <w:rPr>
          <w:rFonts w:ascii="Arial" w:hAnsi="Arial"/>
          <w:bCs/>
          <w:sz w:val="18"/>
          <w:szCs w:val="18"/>
        </w:rPr>
        <w:sectPr w:rsidR="00194223" w:rsidSect="003C1739">
          <w:headerReference w:type="default" r:id="rId13"/>
          <w:footerReference w:type="default" r:id="rId14"/>
          <w:type w:val="continuous"/>
          <w:pgSz w:w="12240" w:h="15840" w:code="1"/>
          <w:pgMar w:top="360" w:right="907" w:bottom="432" w:left="907" w:header="720" w:footer="576" w:gutter="0"/>
          <w:cols w:num="2" w:sep="1" w:space="720"/>
          <w:docGrid w:linePitch="360"/>
        </w:sectPr>
      </w:pPr>
      <w:r w:rsidRPr="00B645C9">
        <w:rPr>
          <w:rFonts w:ascii="Arial" w:hAnsi="Arial"/>
          <w:b/>
          <w:bCs/>
          <w:sz w:val="18"/>
          <w:szCs w:val="18"/>
        </w:rPr>
        <w:t>PA</w:t>
      </w:r>
      <w:r>
        <w:rPr>
          <w:rFonts w:ascii="Arial" w:hAnsi="Arial"/>
          <w:b/>
          <w:bCs/>
          <w:sz w:val="18"/>
          <w:szCs w:val="18"/>
        </w:rPr>
        <w:t xml:space="preserve">  </w:t>
      </w:r>
      <w:r w:rsidR="00C405E8">
        <w:rPr>
          <w:rFonts w:ascii="Arial" w:hAnsi="Arial"/>
          <w:b/>
          <w:bCs/>
          <w:sz w:val="18"/>
          <w:szCs w:val="18"/>
        </w:rPr>
        <w:t xml:space="preserve">  </w:t>
      </w:r>
      <w:r>
        <w:rPr>
          <w:rFonts w:ascii="Arial" w:hAnsi="Arial"/>
          <w:bCs/>
          <w:sz w:val="18"/>
          <w:szCs w:val="18"/>
        </w:rPr>
        <w:t xml:space="preserve">Prior authorization </w:t>
      </w:r>
      <w:r w:rsidR="0052695D">
        <w:rPr>
          <w:rFonts w:ascii="Arial" w:hAnsi="Arial"/>
          <w:bCs/>
          <w:sz w:val="18"/>
          <w:szCs w:val="18"/>
        </w:rPr>
        <w:t xml:space="preserve">(PA) </w:t>
      </w:r>
      <w:r>
        <w:rPr>
          <w:rFonts w:ascii="Arial" w:hAnsi="Arial"/>
          <w:bCs/>
          <w:sz w:val="18"/>
          <w:szCs w:val="18"/>
        </w:rPr>
        <w:t xml:space="preserve">is required. The prescriber must obtain </w:t>
      </w:r>
      <w:r w:rsidR="0052695D">
        <w:rPr>
          <w:rFonts w:ascii="Arial" w:hAnsi="Arial"/>
          <w:bCs/>
          <w:sz w:val="18"/>
          <w:szCs w:val="18"/>
        </w:rPr>
        <w:t>PA</w:t>
      </w:r>
      <w:r>
        <w:rPr>
          <w:rFonts w:ascii="Arial" w:hAnsi="Arial"/>
          <w:bCs/>
          <w:sz w:val="18"/>
          <w:szCs w:val="18"/>
        </w:rPr>
        <w:t xml:space="preserve"> for the drug in order for the pharmacy to receive payment. Note: PA applies to both </w:t>
      </w:r>
    </w:p>
    <w:p w14:paraId="32C3050F" w14:textId="0CA693FC" w:rsidR="008059DB" w:rsidRDefault="008059DB" w:rsidP="00C520A1">
      <w:pPr>
        <w:shd w:val="clear" w:color="auto" w:fill="FFFFFF"/>
        <w:tabs>
          <w:tab w:val="left" w:pos="360"/>
        </w:tabs>
        <w:ind w:left="360"/>
        <w:rPr>
          <w:rFonts w:ascii="Arial" w:hAnsi="Arial"/>
          <w:bCs/>
          <w:sz w:val="18"/>
          <w:szCs w:val="18"/>
        </w:rPr>
      </w:pPr>
      <w:r>
        <w:rPr>
          <w:rFonts w:ascii="Arial" w:hAnsi="Arial"/>
          <w:bCs/>
          <w:sz w:val="18"/>
          <w:szCs w:val="18"/>
        </w:rPr>
        <w:lastRenderedPageBreak/>
        <w:t>the brand-name and the FDA “A”-rated generic equivalent of listed product.</w:t>
      </w:r>
    </w:p>
    <w:p w14:paraId="7EA5ECAF" w14:textId="77777777" w:rsidR="008059DB" w:rsidRDefault="008059DB" w:rsidP="008059DB">
      <w:pPr>
        <w:shd w:val="clear" w:color="auto" w:fill="FFFFFF"/>
        <w:tabs>
          <w:tab w:val="left" w:pos="360"/>
        </w:tabs>
        <w:ind w:left="270" w:hanging="360"/>
        <w:rPr>
          <w:rFonts w:ascii="Arial" w:hAnsi="Arial"/>
          <w:bCs/>
          <w:sz w:val="18"/>
          <w:szCs w:val="18"/>
        </w:rPr>
      </w:pPr>
    </w:p>
    <w:p w14:paraId="5B1A8C4E" w14:textId="14018935" w:rsidR="00212622" w:rsidRDefault="00E50862" w:rsidP="00D55E94">
      <w:pPr>
        <w:shd w:val="clear" w:color="auto" w:fill="FFFFFF"/>
        <w:ind w:left="360" w:hanging="360"/>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In general, MassHealth requires a trial of the preferred drug or clinical rationale for prescribing the nonpreferred drug generic equivalent</w:t>
      </w:r>
      <w:r w:rsidR="00212622">
        <w:rPr>
          <w:rFonts w:ascii="Arial" w:hAnsi="Arial"/>
          <w:bCs/>
          <w:sz w:val="18"/>
          <w:szCs w:val="18"/>
        </w:rPr>
        <w:t>.</w:t>
      </w:r>
    </w:p>
    <w:p w14:paraId="5B1A8C4F" w14:textId="77777777" w:rsidR="00212622" w:rsidRPr="00C405E8" w:rsidRDefault="00212622" w:rsidP="00212622">
      <w:pPr>
        <w:shd w:val="clear" w:color="auto" w:fill="FFFFFF"/>
        <w:ind w:left="270" w:hanging="441"/>
        <w:rPr>
          <w:rFonts w:ascii="Arial" w:eastAsia="Calibri" w:hAnsi="Arial" w:cs="Arial"/>
          <w:sz w:val="16"/>
          <w:szCs w:val="16"/>
        </w:rPr>
      </w:pPr>
    </w:p>
    <w:p w14:paraId="5B1A8C51" w14:textId="158CD154" w:rsidR="00212622" w:rsidRPr="00D55E94" w:rsidRDefault="00C405E8" w:rsidP="00D55E94">
      <w:pPr>
        <w:shd w:val="clear" w:color="auto" w:fill="FFFFFF"/>
        <w:tabs>
          <w:tab w:val="left" w:pos="360"/>
        </w:tabs>
        <w:ind w:left="360" w:hanging="360"/>
        <w:rPr>
          <w:rFonts w:ascii="Arial" w:hAnsi="Arial"/>
          <w:bCs/>
          <w:sz w:val="18"/>
          <w:szCs w:val="18"/>
        </w:rPr>
      </w:pPr>
      <w:r w:rsidRPr="00C405E8">
        <w:rPr>
          <w:rFonts w:ascii="Arial" w:eastAsia="Calibri" w:hAnsi="Arial" w:cs="Arial"/>
          <w:sz w:val="16"/>
          <w:szCs w:val="16"/>
        </w:rPr>
        <w:t xml:space="preserve">A90 </w:t>
      </w:r>
      <w:r w:rsidR="00D55E94">
        <w:rPr>
          <w:rFonts w:ascii="Arial" w:eastAsia="Calibri" w:hAnsi="Arial" w:cs="Arial"/>
          <w:sz w:val="16"/>
          <w:szCs w:val="16"/>
        </w:rPr>
        <w:t xml:space="preserve"> </w:t>
      </w:r>
      <w:r w:rsidRPr="00D55E94">
        <w:rPr>
          <w:rFonts w:ascii="Arial" w:hAnsi="Arial"/>
          <w:bCs/>
          <w:sz w:val="18"/>
          <w:szCs w:val="18"/>
        </w:rPr>
        <w:t xml:space="preserve">Allowable 90-day supply. Dispensing in up to a 90-day supply is allowed. May not include all strengths or formulations. Quantity limits and other restrictions may apply. </w:t>
      </w:r>
    </w:p>
    <w:p w14:paraId="7537071E" w14:textId="77777777" w:rsidR="00C405E8" w:rsidRPr="00D55E94" w:rsidRDefault="00C405E8" w:rsidP="00D55E94">
      <w:pPr>
        <w:shd w:val="clear" w:color="auto" w:fill="FFFFFF"/>
        <w:tabs>
          <w:tab w:val="left" w:pos="360"/>
        </w:tabs>
        <w:ind w:left="360" w:hanging="360"/>
        <w:rPr>
          <w:rFonts w:ascii="Arial" w:hAnsi="Arial"/>
          <w:bCs/>
          <w:sz w:val="18"/>
          <w:szCs w:val="18"/>
        </w:rPr>
      </w:pPr>
    </w:p>
    <w:p w14:paraId="5B1A8C52" w14:textId="77777777" w:rsidR="00212622" w:rsidRDefault="00212622" w:rsidP="00D55E94">
      <w:pPr>
        <w:shd w:val="clear" w:color="auto" w:fill="FFFFFF"/>
        <w:ind w:left="270" w:hanging="360"/>
        <w:rPr>
          <w:rFonts w:ascii="Arial" w:hAnsi="Arial"/>
          <w:bCs/>
          <w:sz w:val="18"/>
          <w:szCs w:val="18"/>
        </w:rPr>
      </w:pPr>
      <w:r w:rsidRPr="00B645C9">
        <w:rPr>
          <w:rFonts w:ascii="Arial" w:hAnsi="Arial"/>
          <w:b/>
          <w:sz w:val="22"/>
          <w:szCs w:val="22"/>
          <w:vertAlign w:val="superscript"/>
        </w:rPr>
        <w:t>PD</w:t>
      </w:r>
      <w:r w:rsidRPr="00B645C9">
        <w:rPr>
          <w:rFonts w:ascii="Arial" w:hAnsi="Arial"/>
          <w:b/>
          <w:sz w:val="18"/>
          <w:szCs w:val="18"/>
          <w:vertAlign w:val="superscript"/>
        </w:rPr>
        <w:t xml:space="preserve">    </w:t>
      </w:r>
      <w:r>
        <w:rPr>
          <w:rFonts w:ascii="Arial" w:hAnsi="Arial"/>
          <w:bCs/>
          <w:sz w:val="18"/>
          <w:szCs w:val="18"/>
          <w:vertAlign w:val="superscript"/>
        </w:rPr>
        <w:tab/>
      </w:r>
      <w:r w:rsidRPr="004D79B2">
        <w:rPr>
          <w:rFonts w:ascii="Arial" w:eastAsia="Calibri" w:hAnsi="Arial" w:cs="Arial"/>
          <w:sz w:val="18"/>
          <w:szCs w:val="18"/>
        </w:rPr>
        <w:t>In general, MassHealth requires a trial of the preferred drug (PD) or a clinical rationale for prescribing a nonpreferred drug within a therapeutic class.</w:t>
      </w:r>
      <w:r w:rsidRPr="00212622">
        <w:rPr>
          <w:rFonts w:ascii="Arial" w:hAnsi="Arial"/>
          <w:bCs/>
          <w:sz w:val="18"/>
          <w:szCs w:val="18"/>
        </w:rPr>
        <w:t xml:space="preserve"> </w:t>
      </w:r>
    </w:p>
    <w:p w14:paraId="5B1A8C59" w14:textId="77777777" w:rsidR="0041065E" w:rsidRPr="0041065E" w:rsidRDefault="0041065E" w:rsidP="0041065E">
      <w:pPr>
        <w:shd w:val="clear" w:color="auto" w:fill="FFFFFF"/>
        <w:ind w:left="270" w:hanging="441"/>
        <w:rPr>
          <w:bCs/>
          <w:sz w:val="18"/>
          <w:szCs w:val="18"/>
        </w:rPr>
      </w:pPr>
    </w:p>
    <w:p w14:paraId="79963F73" w14:textId="34E937A0" w:rsidR="00EF35DB" w:rsidRDefault="007A78CA" w:rsidP="00D55E94">
      <w:pPr>
        <w:shd w:val="clear" w:color="auto" w:fill="FFFFFF"/>
        <w:ind w:left="270" w:hanging="360"/>
        <w:rPr>
          <w:rFonts w:ascii="Arial" w:eastAsia="Calibri" w:hAnsi="Arial" w:cs="Arial"/>
          <w:sz w:val="18"/>
          <w:szCs w:val="18"/>
        </w:rPr>
      </w:pPr>
      <w:r w:rsidRPr="00D55E94">
        <w:rPr>
          <w:rFonts w:ascii="Arial" w:hAnsi="Arial" w:cs="Arial"/>
          <w:bCs/>
          <w:sz w:val="16"/>
          <w:szCs w:val="16"/>
        </w:rPr>
        <w:t>CP</w:t>
      </w:r>
      <w:r w:rsidRPr="007A78CA">
        <w:rPr>
          <w:bCs/>
          <w:sz w:val="18"/>
          <w:szCs w:val="18"/>
        </w:rPr>
        <w:t xml:space="preserve"> </w:t>
      </w:r>
      <w:r>
        <w:rPr>
          <w:bCs/>
          <w:sz w:val="18"/>
          <w:szCs w:val="18"/>
        </w:rPr>
        <w:t xml:space="preserve">  </w:t>
      </w:r>
      <w:r w:rsidRPr="00D55E94">
        <w:rPr>
          <w:rFonts w:ascii="Arial" w:eastAsia="Calibri" w:hAnsi="Arial" w:cs="Arial"/>
          <w:sz w:val="18"/>
          <w:szCs w:val="18"/>
        </w:rPr>
        <w:t xml:space="preserve">Compounded pharmaceutical products with a total allowed ingredient cost ≥ $100 require PA. In addition, compounded pharmaceutical products with topical route of administration require PA. The following routes of administration are excluded from the PA requirement for products with a total allowed ingredient cost ≥ $100: infusion, intravenous, intravenous piggyback, intravenous push, subcutaneous. Compounded pharmaceutical products </w:t>
      </w:r>
      <w:r w:rsidR="0052695D">
        <w:rPr>
          <w:rFonts w:ascii="Arial" w:eastAsia="Calibri" w:hAnsi="Arial" w:cs="Arial"/>
          <w:sz w:val="18"/>
          <w:szCs w:val="18"/>
        </w:rPr>
        <w:t>using</w:t>
      </w:r>
      <w:r w:rsidR="0052695D" w:rsidRPr="00D55E94">
        <w:rPr>
          <w:rFonts w:ascii="Arial" w:eastAsia="Calibri" w:hAnsi="Arial" w:cs="Arial"/>
          <w:sz w:val="18"/>
          <w:szCs w:val="18"/>
        </w:rPr>
        <w:t xml:space="preserve"> </w:t>
      </w:r>
      <w:r w:rsidRPr="00D55E94">
        <w:rPr>
          <w:rFonts w:ascii="Arial" w:eastAsia="Calibri" w:hAnsi="Arial" w:cs="Arial"/>
          <w:sz w:val="18"/>
          <w:szCs w:val="18"/>
        </w:rPr>
        <w:t>any PA-requiring agent or not</w:t>
      </w:r>
      <w:r w:rsidR="0052695D">
        <w:rPr>
          <w:rFonts w:ascii="Arial" w:eastAsia="Calibri" w:hAnsi="Arial" w:cs="Arial"/>
          <w:sz w:val="18"/>
          <w:szCs w:val="18"/>
        </w:rPr>
        <w:t>-</w:t>
      </w:r>
      <w:r w:rsidRPr="00D55E94">
        <w:rPr>
          <w:rFonts w:ascii="Arial" w:eastAsia="Calibri" w:hAnsi="Arial" w:cs="Arial"/>
          <w:sz w:val="18"/>
          <w:szCs w:val="18"/>
        </w:rPr>
        <w:t>covered ingredient as part of the compound require PA.</w:t>
      </w:r>
    </w:p>
    <w:p w14:paraId="7B3D8E2E" w14:textId="77777777" w:rsidR="000938B5" w:rsidRDefault="000938B5" w:rsidP="00D55E94">
      <w:pPr>
        <w:shd w:val="clear" w:color="auto" w:fill="FFFFFF"/>
        <w:ind w:left="270" w:hanging="360"/>
        <w:rPr>
          <w:rFonts w:ascii="Arial" w:eastAsia="Calibri" w:hAnsi="Arial" w:cs="Arial"/>
          <w:sz w:val="18"/>
          <w:szCs w:val="18"/>
        </w:rPr>
      </w:pPr>
    </w:p>
    <w:bookmarkEnd w:id="3"/>
    <w:p w14:paraId="526BFF4E" w14:textId="6C700636" w:rsidR="000938B5" w:rsidRDefault="000938B5" w:rsidP="00D55E94">
      <w:pPr>
        <w:shd w:val="clear" w:color="auto" w:fill="FFFFFF"/>
        <w:ind w:left="270" w:hanging="360"/>
        <w:rPr>
          <w:bCs/>
          <w:sz w:val="18"/>
          <w:szCs w:val="18"/>
        </w:rPr>
        <w:sectPr w:rsidR="000938B5" w:rsidSect="00194223">
          <w:footerReference w:type="default" r:id="rId15"/>
          <w:pgSz w:w="12240" w:h="15840" w:code="1"/>
          <w:pgMar w:top="360" w:right="907" w:bottom="432" w:left="907" w:header="720" w:footer="576" w:gutter="0"/>
          <w:cols w:num="2" w:sep="1" w:space="720"/>
          <w:docGrid w:linePitch="360"/>
        </w:sectPr>
      </w:pPr>
    </w:p>
    <w:p w14:paraId="5B1A8C5B" w14:textId="77777777" w:rsidR="00A650DC" w:rsidRDefault="00A650DC" w:rsidP="000938B5">
      <w:pPr>
        <w:tabs>
          <w:tab w:val="left" w:pos="1606"/>
        </w:tabs>
      </w:pPr>
    </w:p>
    <w:p w14:paraId="271694CF" w14:textId="77777777" w:rsidR="00194223" w:rsidRPr="00194223" w:rsidRDefault="00194223" w:rsidP="00194223"/>
    <w:p w14:paraId="41761214" w14:textId="77777777" w:rsidR="00194223" w:rsidRPr="00194223" w:rsidRDefault="00194223" w:rsidP="00194223"/>
    <w:p w14:paraId="4738094D" w14:textId="77777777" w:rsidR="00194223" w:rsidRDefault="00194223" w:rsidP="00194223"/>
    <w:p w14:paraId="13FED27C" w14:textId="31DDA255" w:rsidR="00194223" w:rsidRPr="00194223" w:rsidRDefault="00194223" w:rsidP="00194223">
      <w:pPr>
        <w:tabs>
          <w:tab w:val="left" w:pos="7851"/>
        </w:tabs>
      </w:pPr>
      <w:r>
        <w:tab/>
      </w:r>
    </w:p>
    <w:sectPr w:rsidR="00194223" w:rsidRPr="00194223"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B1A2" w14:textId="77777777" w:rsidR="009E55A1" w:rsidRDefault="009E55A1" w:rsidP="00492602">
      <w:r>
        <w:separator/>
      </w:r>
    </w:p>
  </w:endnote>
  <w:endnote w:type="continuationSeparator" w:id="0">
    <w:p w14:paraId="1F7D7EF1" w14:textId="77777777" w:rsidR="009E55A1" w:rsidRDefault="009E55A1"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8943" w14:textId="4F8832D7" w:rsidR="00EF35DB" w:rsidRPr="00E95805" w:rsidRDefault="00EF35DB" w:rsidP="00194223">
    <w:pPr>
      <w:pBdr>
        <w:top w:val="single" w:sz="18" w:space="1" w:color="auto"/>
      </w:pBdr>
      <w:tabs>
        <w:tab w:val="left" w:pos="-90"/>
        <w:tab w:val="left" w:pos="530"/>
        <w:tab w:val="center" w:pos="5400"/>
      </w:tabs>
      <w:autoSpaceDE w:val="0"/>
      <w:autoSpaceDN w:val="0"/>
      <w:adjustRightInd w:val="0"/>
      <w:jc w:val="center"/>
      <w:textAlignment w:val="baseline"/>
    </w:pPr>
    <w:r>
      <w:tab/>
    </w:r>
  </w:p>
  <w:p w14:paraId="5B1A8C6D" w14:textId="34148DE8" w:rsidR="003C1739" w:rsidRPr="00EF35DB" w:rsidRDefault="003C1739" w:rsidP="00EF35DB">
    <w:pPr>
      <w:pStyle w:val="Footer"/>
      <w:tabs>
        <w:tab w:val="clear" w:pos="4680"/>
        <w:tab w:val="clear" w:pos="9360"/>
        <w:tab w:val="left" w:pos="319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8DAA" w14:textId="77777777" w:rsidR="00194223" w:rsidRDefault="00194223" w:rsidP="00EF35DB">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tab/>
    </w: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31C5810F" w14:textId="77777777" w:rsidR="00194223" w:rsidRPr="00E95805" w:rsidRDefault="005C02EE" w:rsidP="00EF35DB">
    <w:pPr>
      <w:pStyle w:val="Footer"/>
      <w:jc w:val="center"/>
    </w:pPr>
    <w:hyperlink r:id="rId1" w:history="1">
      <w:r w:rsidR="00194223" w:rsidRPr="00386AF8">
        <w:rPr>
          <w:rStyle w:val="Hyperlink"/>
          <w:rFonts w:ascii="Arial" w:hAnsi="Arial" w:cs="Arial"/>
          <w:iCs/>
          <w:sz w:val="18"/>
          <w:szCs w:val="18"/>
        </w:rPr>
        <w:t>PharmFactsMA@Conduent.com</w:t>
      </w:r>
    </w:hyperlink>
    <w:r w:rsidR="00194223">
      <w:rPr>
        <w:rFonts w:ascii="Arial" w:hAnsi="Arial" w:cs="Arial"/>
        <w:iCs/>
        <w:sz w:val="18"/>
        <w:szCs w:val="18"/>
      </w:rPr>
      <w:t>.</w:t>
    </w:r>
  </w:p>
  <w:p w14:paraId="00F4EF2D" w14:textId="77777777" w:rsidR="00194223" w:rsidRPr="00EF35DB" w:rsidRDefault="00194223" w:rsidP="00EF35DB">
    <w:pPr>
      <w:pStyle w:val="Footer"/>
      <w:tabs>
        <w:tab w:val="clear" w:pos="4680"/>
        <w:tab w:val="clear" w:pos="9360"/>
        <w:tab w:val="left" w:pos="31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E3D4" w14:textId="77777777" w:rsidR="009E55A1" w:rsidRDefault="009E55A1" w:rsidP="00492602">
      <w:r>
        <w:separator/>
      </w:r>
    </w:p>
  </w:footnote>
  <w:footnote w:type="continuationSeparator" w:id="0">
    <w:p w14:paraId="607B16A6" w14:textId="77777777" w:rsidR="009E55A1" w:rsidRDefault="009E55A1"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3" w14:textId="77777777" w:rsidR="00492602" w:rsidRDefault="00492602" w:rsidP="00492602">
    <w:pPr>
      <w:pStyle w:val="Header"/>
    </w:pPr>
  </w:p>
  <w:p w14:paraId="5B1A8C64"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B48C" w14:textId="0420F8B4" w:rsidR="001B0428" w:rsidRDefault="001B0428" w:rsidP="001B0428">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Pr="001B0428">
      <w:rPr>
        <w:color w:val="auto"/>
        <w:sz w:val="18"/>
        <w:szCs w:val="18"/>
      </w:rPr>
      <w:t>210</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3</w:t>
    </w:r>
  </w:p>
  <w:p w14:paraId="0399225C" w14:textId="113C6EB4" w:rsidR="008059DB" w:rsidRPr="001B0428" w:rsidRDefault="008059DB" w:rsidP="001B0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87B7C"/>
    <w:multiLevelType w:val="hybridMultilevel"/>
    <w:tmpl w:val="A87296DA"/>
    <w:lvl w:ilvl="0" w:tplc="A0F66F76">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068"/>
    <w:multiLevelType w:val="hybridMultilevel"/>
    <w:tmpl w:val="DAD47B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F7073"/>
    <w:multiLevelType w:val="hybridMultilevel"/>
    <w:tmpl w:val="5D304CF8"/>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8" w15:restartNumberingAfterBreak="0">
    <w:nsid w:val="1D556A08"/>
    <w:multiLevelType w:val="hybridMultilevel"/>
    <w:tmpl w:val="E670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91120"/>
    <w:multiLevelType w:val="hybridMultilevel"/>
    <w:tmpl w:val="5BF67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751622">
    <w:abstractNumId w:val="15"/>
  </w:num>
  <w:num w:numId="2" w16cid:durableId="1375084466">
    <w:abstractNumId w:val="20"/>
  </w:num>
  <w:num w:numId="3" w16cid:durableId="1524976611">
    <w:abstractNumId w:val="24"/>
  </w:num>
  <w:num w:numId="4" w16cid:durableId="1918856207">
    <w:abstractNumId w:val="11"/>
  </w:num>
  <w:num w:numId="5" w16cid:durableId="269821706">
    <w:abstractNumId w:val="14"/>
  </w:num>
  <w:num w:numId="6" w16cid:durableId="353768814">
    <w:abstractNumId w:val="19"/>
  </w:num>
  <w:num w:numId="7" w16cid:durableId="1949777637">
    <w:abstractNumId w:val="25"/>
  </w:num>
  <w:num w:numId="8" w16cid:durableId="200703854">
    <w:abstractNumId w:val="5"/>
  </w:num>
  <w:num w:numId="9" w16cid:durableId="798691108">
    <w:abstractNumId w:val="0"/>
  </w:num>
  <w:num w:numId="10" w16cid:durableId="1122386159">
    <w:abstractNumId w:val="22"/>
  </w:num>
  <w:num w:numId="11" w16cid:durableId="58696736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29265">
    <w:abstractNumId w:val="7"/>
  </w:num>
  <w:num w:numId="13" w16cid:durableId="862934027">
    <w:abstractNumId w:val="24"/>
  </w:num>
  <w:num w:numId="14" w16cid:durableId="116825565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403460">
    <w:abstractNumId w:val="19"/>
  </w:num>
  <w:num w:numId="16" w16cid:durableId="227612488">
    <w:abstractNumId w:val="21"/>
  </w:num>
  <w:num w:numId="17" w16cid:durableId="1881818377">
    <w:abstractNumId w:val="4"/>
  </w:num>
  <w:num w:numId="18" w16cid:durableId="1924290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888971">
    <w:abstractNumId w:val="10"/>
  </w:num>
  <w:num w:numId="20" w16cid:durableId="636420547">
    <w:abstractNumId w:val="6"/>
  </w:num>
  <w:num w:numId="21" w16cid:durableId="1095247939">
    <w:abstractNumId w:val="13"/>
  </w:num>
  <w:num w:numId="22" w16cid:durableId="945426484">
    <w:abstractNumId w:val="26"/>
  </w:num>
  <w:num w:numId="23" w16cid:durableId="1455362739">
    <w:abstractNumId w:val="27"/>
  </w:num>
  <w:num w:numId="24" w16cid:durableId="1552761903">
    <w:abstractNumId w:val="18"/>
  </w:num>
  <w:num w:numId="25" w16cid:durableId="1875993684">
    <w:abstractNumId w:val="23"/>
  </w:num>
  <w:num w:numId="26" w16cid:durableId="1973435462">
    <w:abstractNumId w:val="8"/>
  </w:num>
  <w:num w:numId="27" w16cid:durableId="326832017">
    <w:abstractNumId w:val="1"/>
  </w:num>
  <w:num w:numId="28" w16cid:durableId="218169630">
    <w:abstractNumId w:val="12"/>
  </w:num>
  <w:num w:numId="29" w16cid:durableId="842628140">
    <w:abstractNumId w:val="2"/>
  </w:num>
  <w:num w:numId="30" w16cid:durableId="2094885950">
    <w:abstractNumId w:val="9"/>
  </w:num>
  <w:num w:numId="31" w16cid:durableId="1634675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40748"/>
    <w:rsid w:val="00054839"/>
    <w:rsid w:val="0006259E"/>
    <w:rsid w:val="00063DDE"/>
    <w:rsid w:val="000713D3"/>
    <w:rsid w:val="000735C4"/>
    <w:rsid w:val="00074014"/>
    <w:rsid w:val="00081E8E"/>
    <w:rsid w:val="000938B5"/>
    <w:rsid w:val="000A440A"/>
    <w:rsid w:val="000A6318"/>
    <w:rsid w:val="000D1502"/>
    <w:rsid w:val="000F5C22"/>
    <w:rsid w:val="00123D58"/>
    <w:rsid w:val="00137D3D"/>
    <w:rsid w:val="00140D08"/>
    <w:rsid w:val="00147437"/>
    <w:rsid w:val="00157A49"/>
    <w:rsid w:val="00171445"/>
    <w:rsid w:val="001721D8"/>
    <w:rsid w:val="0018357E"/>
    <w:rsid w:val="001864A9"/>
    <w:rsid w:val="00194223"/>
    <w:rsid w:val="001A125B"/>
    <w:rsid w:val="001B0428"/>
    <w:rsid w:val="001C1481"/>
    <w:rsid w:val="001E779F"/>
    <w:rsid w:val="0021214A"/>
    <w:rsid w:val="00212622"/>
    <w:rsid w:val="002275AE"/>
    <w:rsid w:val="00230996"/>
    <w:rsid w:val="002509E9"/>
    <w:rsid w:val="00265457"/>
    <w:rsid w:val="002727AB"/>
    <w:rsid w:val="00276F3A"/>
    <w:rsid w:val="00286CBE"/>
    <w:rsid w:val="00291397"/>
    <w:rsid w:val="00294FE3"/>
    <w:rsid w:val="002B136A"/>
    <w:rsid w:val="002C7C67"/>
    <w:rsid w:val="002D390F"/>
    <w:rsid w:val="002D3BB5"/>
    <w:rsid w:val="002D3C44"/>
    <w:rsid w:val="002D738C"/>
    <w:rsid w:val="002E2F9E"/>
    <w:rsid w:val="002F4E7B"/>
    <w:rsid w:val="00300B9D"/>
    <w:rsid w:val="003152DA"/>
    <w:rsid w:val="0033053B"/>
    <w:rsid w:val="00334D14"/>
    <w:rsid w:val="00360067"/>
    <w:rsid w:val="0036343A"/>
    <w:rsid w:val="0037373E"/>
    <w:rsid w:val="00375713"/>
    <w:rsid w:val="00382054"/>
    <w:rsid w:val="00387C1F"/>
    <w:rsid w:val="003911FC"/>
    <w:rsid w:val="003B6839"/>
    <w:rsid w:val="003C1739"/>
    <w:rsid w:val="003D2B74"/>
    <w:rsid w:val="003F533B"/>
    <w:rsid w:val="0041065E"/>
    <w:rsid w:val="00424531"/>
    <w:rsid w:val="00447A5F"/>
    <w:rsid w:val="00453E30"/>
    <w:rsid w:val="00453F3E"/>
    <w:rsid w:val="00456B5A"/>
    <w:rsid w:val="004664D3"/>
    <w:rsid w:val="00466B48"/>
    <w:rsid w:val="00477916"/>
    <w:rsid w:val="004910B8"/>
    <w:rsid w:val="00492602"/>
    <w:rsid w:val="004A3BAA"/>
    <w:rsid w:val="004A7395"/>
    <w:rsid w:val="004C18F4"/>
    <w:rsid w:val="004D1BC7"/>
    <w:rsid w:val="004D4131"/>
    <w:rsid w:val="004D79B2"/>
    <w:rsid w:val="004F5612"/>
    <w:rsid w:val="005052D9"/>
    <w:rsid w:val="00516394"/>
    <w:rsid w:val="0052118E"/>
    <w:rsid w:val="0052695D"/>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02EE"/>
    <w:rsid w:val="005C7622"/>
    <w:rsid w:val="005D723D"/>
    <w:rsid w:val="00607CFA"/>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E755C"/>
    <w:rsid w:val="006F35F9"/>
    <w:rsid w:val="007319D7"/>
    <w:rsid w:val="00731FAF"/>
    <w:rsid w:val="007400F4"/>
    <w:rsid w:val="007426BF"/>
    <w:rsid w:val="00760FDF"/>
    <w:rsid w:val="007757E7"/>
    <w:rsid w:val="00781D3B"/>
    <w:rsid w:val="007A41F5"/>
    <w:rsid w:val="007A78CA"/>
    <w:rsid w:val="007B2F2D"/>
    <w:rsid w:val="007B4429"/>
    <w:rsid w:val="007B7425"/>
    <w:rsid w:val="007E4380"/>
    <w:rsid w:val="007E56D6"/>
    <w:rsid w:val="007F5417"/>
    <w:rsid w:val="00804116"/>
    <w:rsid w:val="008059DB"/>
    <w:rsid w:val="00812480"/>
    <w:rsid w:val="00821937"/>
    <w:rsid w:val="008340D0"/>
    <w:rsid w:val="008403CA"/>
    <w:rsid w:val="0085395A"/>
    <w:rsid w:val="00853F8E"/>
    <w:rsid w:val="0086142C"/>
    <w:rsid w:val="00872E7F"/>
    <w:rsid w:val="00880FA9"/>
    <w:rsid w:val="008930F1"/>
    <w:rsid w:val="00893F45"/>
    <w:rsid w:val="008C5414"/>
    <w:rsid w:val="008F0130"/>
    <w:rsid w:val="008F2E4C"/>
    <w:rsid w:val="00905C46"/>
    <w:rsid w:val="00906EEC"/>
    <w:rsid w:val="009166DF"/>
    <w:rsid w:val="009204C7"/>
    <w:rsid w:val="00922030"/>
    <w:rsid w:val="0093532E"/>
    <w:rsid w:val="00941258"/>
    <w:rsid w:val="00942245"/>
    <w:rsid w:val="00945279"/>
    <w:rsid w:val="00956812"/>
    <w:rsid w:val="00963957"/>
    <w:rsid w:val="009725E5"/>
    <w:rsid w:val="00974CFD"/>
    <w:rsid w:val="00980CD9"/>
    <w:rsid w:val="00981567"/>
    <w:rsid w:val="009C3981"/>
    <w:rsid w:val="009C3CFF"/>
    <w:rsid w:val="009D1341"/>
    <w:rsid w:val="009D6D73"/>
    <w:rsid w:val="009D79C6"/>
    <w:rsid w:val="009E55A1"/>
    <w:rsid w:val="009F0440"/>
    <w:rsid w:val="009F0526"/>
    <w:rsid w:val="00A01DE3"/>
    <w:rsid w:val="00A11371"/>
    <w:rsid w:val="00A120E1"/>
    <w:rsid w:val="00A31FAA"/>
    <w:rsid w:val="00A343A9"/>
    <w:rsid w:val="00A44092"/>
    <w:rsid w:val="00A5239C"/>
    <w:rsid w:val="00A650DC"/>
    <w:rsid w:val="00A6764A"/>
    <w:rsid w:val="00A77C73"/>
    <w:rsid w:val="00A84255"/>
    <w:rsid w:val="00A93734"/>
    <w:rsid w:val="00AC1AC7"/>
    <w:rsid w:val="00AD18B8"/>
    <w:rsid w:val="00AD33D5"/>
    <w:rsid w:val="00AD7B53"/>
    <w:rsid w:val="00AE21FC"/>
    <w:rsid w:val="00AE696C"/>
    <w:rsid w:val="00AE7072"/>
    <w:rsid w:val="00B01BAA"/>
    <w:rsid w:val="00B07BD7"/>
    <w:rsid w:val="00B13AA5"/>
    <w:rsid w:val="00B3099B"/>
    <w:rsid w:val="00B40A71"/>
    <w:rsid w:val="00B41B0C"/>
    <w:rsid w:val="00B503C7"/>
    <w:rsid w:val="00B54AB5"/>
    <w:rsid w:val="00B645C9"/>
    <w:rsid w:val="00B81CE7"/>
    <w:rsid w:val="00B92C96"/>
    <w:rsid w:val="00B94D4E"/>
    <w:rsid w:val="00BA68F0"/>
    <w:rsid w:val="00BD08CA"/>
    <w:rsid w:val="00BE1214"/>
    <w:rsid w:val="00BE3015"/>
    <w:rsid w:val="00C15672"/>
    <w:rsid w:val="00C31421"/>
    <w:rsid w:val="00C33753"/>
    <w:rsid w:val="00C35B94"/>
    <w:rsid w:val="00C405E8"/>
    <w:rsid w:val="00C520A1"/>
    <w:rsid w:val="00C82FA4"/>
    <w:rsid w:val="00CA0669"/>
    <w:rsid w:val="00CA1E7C"/>
    <w:rsid w:val="00CB0030"/>
    <w:rsid w:val="00CB63D2"/>
    <w:rsid w:val="00CB7521"/>
    <w:rsid w:val="00CC57AC"/>
    <w:rsid w:val="00CC776C"/>
    <w:rsid w:val="00CD6D68"/>
    <w:rsid w:val="00CE3864"/>
    <w:rsid w:val="00CF383E"/>
    <w:rsid w:val="00D0584B"/>
    <w:rsid w:val="00D2467C"/>
    <w:rsid w:val="00D2695E"/>
    <w:rsid w:val="00D335C5"/>
    <w:rsid w:val="00D521FA"/>
    <w:rsid w:val="00D55E94"/>
    <w:rsid w:val="00D5685A"/>
    <w:rsid w:val="00D81121"/>
    <w:rsid w:val="00D83FDF"/>
    <w:rsid w:val="00DB5DBC"/>
    <w:rsid w:val="00DB6A12"/>
    <w:rsid w:val="00DC307A"/>
    <w:rsid w:val="00DD44E8"/>
    <w:rsid w:val="00E02354"/>
    <w:rsid w:val="00E10EA0"/>
    <w:rsid w:val="00E24139"/>
    <w:rsid w:val="00E34C02"/>
    <w:rsid w:val="00E3616D"/>
    <w:rsid w:val="00E44D32"/>
    <w:rsid w:val="00E50862"/>
    <w:rsid w:val="00E60ABB"/>
    <w:rsid w:val="00E62D91"/>
    <w:rsid w:val="00E67611"/>
    <w:rsid w:val="00E67713"/>
    <w:rsid w:val="00E72DFF"/>
    <w:rsid w:val="00E92E47"/>
    <w:rsid w:val="00E9576D"/>
    <w:rsid w:val="00E95805"/>
    <w:rsid w:val="00EC08AC"/>
    <w:rsid w:val="00EC1948"/>
    <w:rsid w:val="00ED4639"/>
    <w:rsid w:val="00ED555C"/>
    <w:rsid w:val="00EE54D2"/>
    <w:rsid w:val="00EF35DB"/>
    <w:rsid w:val="00EF7C8A"/>
    <w:rsid w:val="00F16F89"/>
    <w:rsid w:val="00F25E7F"/>
    <w:rsid w:val="00F307D6"/>
    <w:rsid w:val="00F45E31"/>
    <w:rsid w:val="00F512EE"/>
    <w:rsid w:val="00F643E6"/>
    <w:rsid w:val="00F76D69"/>
    <w:rsid w:val="00F80E73"/>
    <w:rsid w:val="00F9012C"/>
    <w:rsid w:val="00F9097E"/>
    <w:rsid w:val="00F93C6C"/>
    <w:rsid w:val="00FA5147"/>
    <w:rsid w:val="00FB0C11"/>
    <w:rsid w:val="00FB4ADD"/>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16F89"/>
    <w:pPr>
      <w:keepNext/>
      <w:jc w:val="center"/>
      <w:outlineLvl w:val="0"/>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CommentReference">
    <w:name w:val="annotation reference"/>
    <w:rsid w:val="00F16F89"/>
    <w:rPr>
      <w:sz w:val="16"/>
      <w:szCs w:val="16"/>
    </w:rPr>
  </w:style>
  <w:style w:type="paragraph" w:styleId="CommentText">
    <w:name w:val="annotation text"/>
    <w:basedOn w:val="Normal"/>
    <w:link w:val="CommentTextChar"/>
    <w:uiPriority w:val="99"/>
    <w:rsid w:val="00F16F89"/>
    <w:rPr>
      <w:rFonts w:ascii="Arial" w:hAnsi="Arial"/>
      <w:sz w:val="20"/>
      <w:szCs w:val="20"/>
    </w:rPr>
  </w:style>
  <w:style w:type="character" w:customStyle="1" w:styleId="CommentTextChar">
    <w:name w:val="Comment Text Char"/>
    <w:basedOn w:val="DefaultParagraphFont"/>
    <w:link w:val="CommentText"/>
    <w:uiPriority w:val="99"/>
    <w:rsid w:val="00F16F89"/>
    <w:rPr>
      <w:rFonts w:ascii="Arial" w:hAnsi="Arial"/>
    </w:rPr>
  </w:style>
  <w:style w:type="character" w:customStyle="1" w:styleId="Heading1Char">
    <w:name w:val="Heading 1 Char"/>
    <w:basedOn w:val="DefaultParagraphFont"/>
    <w:link w:val="Heading1"/>
    <w:rsid w:val="00F16F89"/>
    <w:rPr>
      <w:rFonts w:ascii="Tahoma" w:hAnsi="Tahoma" w:cs="Tahoma"/>
      <w:b/>
      <w:bCs/>
      <w:sz w:val="32"/>
      <w:szCs w:val="24"/>
    </w:rPr>
  </w:style>
  <w:style w:type="paragraph" w:styleId="CommentSubject">
    <w:name w:val="annotation subject"/>
    <w:basedOn w:val="CommentText"/>
    <w:next w:val="CommentText"/>
    <w:link w:val="CommentSubjectChar"/>
    <w:semiHidden/>
    <w:unhideWhenUsed/>
    <w:rsid w:val="00294FE3"/>
    <w:rPr>
      <w:rFonts w:ascii="Times New Roman" w:hAnsi="Times New Roman"/>
      <w:b/>
      <w:bCs/>
    </w:rPr>
  </w:style>
  <w:style w:type="character" w:customStyle="1" w:styleId="CommentSubjectChar">
    <w:name w:val="Comment Subject Char"/>
    <w:basedOn w:val="CommentTextChar"/>
    <w:link w:val="CommentSubject"/>
    <w:semiHidden/>
    <w:rsid w:val="00294FE3"/>
    <w:rPr>
      <w:rFonts w:ascii="Arial" w:hAnsi="Arial"/>
      <w:b/>
      <w:bCs/>
    </w:rPr>
  </w:style>
  <w:style w:type="paragraph" w:styleId="Revision">
    <w:name w:val="Revision"/>
    <w:hidden/>
    <w:uiPriority w:val="99"/>
    <w:semiHidden/>
    <w:rsid w:val="00294FE3"/>
    <w:rPr>
      <w:sz w:val="24"/>
      <w:szCs w:val="24"/>
    </w:rPr>
  </w:style>
  <w:style w:type="character" w:styleId="FollowedHyperlink">
    <w:name w:val="FollowedHyperlink"/>
    <w:basedOn w:val="DefaultParagraphFont"/>
    <w:semiHidden/>
    <w:unhideWhenUsed/>
    <w:rsid w:val="00466B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ops-billing-guide-10/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2023-09-26T17:48:00Z</dcterms:created>
  <dcterms:modified xsi:type="dcterms:W3CDTF">2023-09-26T18:09:00Z</dcterms:modified>
</cp:coreProperties>
</file>