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6F39" w14:textId="20EB650E" w:rsidR="00D159F0" w:rsidRPr="003C3F28" w:rsidRDefault="00C559C9" w:rsidP="00D159F0">
      <w:pPr>
        <w:pStyle w:val="Noparagraphstyle"/>
        <w:tabs>
          <w:tab w:val="left" w:pos="360"/>
        </w:tabs>
        <w:rPr>
          <w:rFonts w:ascii="Arial Narrow" w:hAnsi="Arial Narrow"/>
          <w:b/>
          <w:color w:val="auto"/>
          <w:sz w:val="20"/>
          <w:szCs w:val="20"/>
        </w:rPr>
      </w:pPr>
      <w:r w:rsidRPr="003C3F28">
        <w:rPr>
          <w:rFonts w:ascii="Arial Narrow" w:hAnsi="Arial Narrow"/>
          <w:b/>
          <w:color w:val="auto"/>
          <w:sz w:val="20"/>
          <w:szCs w:val="20"/>
        </w:rPr>
        <w:t xml:space="preserve">Number </w:t>
      </w:r>
      <w:r w:rsidR="00D159F0" w:rsidRPr="003C3F28">
        <w:rPr>
          <w:rFonts w:ascii="Arial Narrow" w:hAnsi="Arial Narrow"/>
          <w:b/>
          <w:color w:val="auto"/>
          <w:sz w:val="20"/>
          <w:szCs w:val="20"/>
        </w:rPr>
        <w:t>2</w:t>
      </w:r>
      <w:r w:rsidR="00986E44">
        <w:rPr>
          <w:rFonts w:ascii="Arial Narrow" w:hAnsi="Arial Narrow"/>
          <w:b/>
          <w:color w:val="auto"/>
          <w:sz w:val="20"/>
          <w:szCs w:val="20"/>
        </w:rPr>
        <w:t>12</w:t>
      </w:r>
      <w:r w:rsidR="00D159F0" w:rsidRPr="003C3F28">
        <w:rPr>
          <w:rFonts w:ascii="Arial Narrow" w:hAnsi="Arial Narrow"/>
          <w:b/>
          <w:color w:val="auto"/>
          <w:sz w:val="20"/>
          <w:szCs w:val="20"/>
        </w:rPr>
        <w:t xml:space="preserve">, </w:t>
      </w:r>
      <w:r w:rsidR="00127022">
        <w:rPr>
          <w:rFonts w:ascii="Arial Narrow" w:hAnsi="Arial Narrow"/>
          <w:b/>
          <w:color w:val="auto"/>
          <w:sz w:val="20"/>
          <w:szCs w:val="20"/>
        </w:rPr>
        <w:t>October</w:t>
      </w:r>
      <w:r w:rsidR="00D159F0" w:rsidRPr="003C3F28">
        <w:rPr>
          <w:rFonts w:ascii="Arial Narrow" w:hAnsi="Arial Narrow"/>
          <w:b/>
          <w:color w:val="auto"/>
          <w:sz w:val="20"/>
          <w:szCs w:val="20"/>
        </w:rPr>
        <w:t xml:space="preserve"> </w:t>
      </w:r>
      <w:r w:rsidR="003874F7">
        <w:rPr>
          <w:rFonts w:ascii="Arial Narrow" w:hAnsi="Arial Narrow"/>
          <w:b/>
          <w:color w:val="auto"/>
          <w:sz w:val="20"/>
          <w:szCs w:val="20"/>
        </w:rPr>
        <w:t>3</w:t>
      </w:r>
      <w:r w:rsidR="00D159F0" w:rsidRPr="003C3F28">
        <w:rPr>
          <w:rFonts w:ascii="Arial Narrow" w:hAnsi="Arial Narrow"/>
          <w:b/>
          <w:color w:val="auto"/>
          <w:sz w:val="20"/>
          <w:szCs w:val="20"/>
        </w:rPr>
        <w:t>, 2023</w:t>
      </w:r>
    </w:p>
    <w:p w14:paraId="539B08B0" w14:textId="36DB3498" w:rsidR="006F35F9" w:rsidRDefault="00351497"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127D6B6F" wp14:editId="128FF873">
            <wp:extent cx="6773333" cy="1733287"/>
            <wp:effectExtent l="0" t="0" r="0" b="0"/>
            <wp:docPr id="1111024955" name="Picture 1" descr="Pharmacy Facts&#10;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24955" name="Picture 1" descr="Pharmacy Facts&#10;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90723" cy="1737737"/>
                    </a:xfrm>
                    <a:prstGeom prst="rect">
                      <a:avLst/>
                    </a:prstGeom>
                  </pic:spPr>
                </pic:pic>
              </a:graphicData>
            </a:graphic>
          </wp:inline>
        </w:drawing>
      </w:r>
    </w:p>
    <w:p w14:paraId="7C8CF7A6" w14:textId="58816A51" w:rsidR="00986E44" w:rsidRPr="005D3A76" w:rsidRDefault="00986E44" w:rsidP="00986E44">
      <w:pPr>
        <w:pStyle w:val="Heading2"/>
        <w:spacing w:before="240" w:after="240"/>
        <w:rPr>
          <w:rFonts w:ascii="Arial Black" w:hAnsi="Arial Black" w:cs="Arial"/>
          <w:b/>
          <w:bCs/>
          <w:color w:val="auto"/>
          <w:sz w:val="24"/>
          <w:szCs w:val="24"/>
        </w:rPr>
      </w:pPr>
      <w:r w:rsidRPr="005D3A76">
        <w:rPr>
          <w:rFonts w:ascii="Arial Black" w:hAnsi="Arial Black" w:cs="Arial"/>
          <w:b/>
          <w:bCs/>
          <w:color w:val="auto"/>
          <w:sz w:val="24"/>
          <w:szCs w:val="24"/>
        </w:rPr>
        <w:t>Coverage of Over-the-Counter Diagnostic Antigen Tests for SARS-CoV-2</w:t>
      </w:r>
    </w:p>
    <w:p w14:paraId="470590DE" w14:textId="77777777" w:rsidR="00986E44" w:rsidRPr="005D3A76" w:rsidRDefault="00986E44" w:rsidP="00986E44">
      <w:pPr>
        <w:rPr>
          <w:rFonts w:ascii="Arial" w:hAnsi="Arial" w:cs="Arial"/>
          <w:sz w:val="22"/>
          <w:szCs w:val="22"/>
        </w:rPr>
      </w:pPr>
      <w:r w:rsidRPr="005D3A76">
        <w:rPr>
          <w:rFonts w:ascii="Arial" w:hAnsi="Arial" w:cs="Arial"/>
          <w:sz w:val="22"/>
          <w:szCs w:val="22"/>
        </w:rPr>
        <w:t xml:space="preserve">MassHealth announced in </w:t>
      </w:r>
      <w:hyperlink r:id="rId12" w:history="1">
        <w:r w:rsidRPr="005D3A76">
          <w:rPr>
            <w:rStyle w:val="Hyperlink"/>
            <w:rFonts w:ascii="Arial" w:hAnsi="Arial" w:cs="Arial"/>
            <w:sz w:val="22"/>
            <w:szCs w:val="22"/>
          </w:rPr>
          <w:t>Pharmacy Facts #177</w:t>
        </w:r>
      </w:hyperlink>
      <w:r w:rsidRPr="005D3A76">
        <w:rPr>
          <w:rFonts w:ascii="Arial" w:hAnsi="Arial" w:cs="Arial"/>
          <w:sz w:val="22"/>
          <w:szCs w:val="22"/>
        </w:rPr>
        <w:t xml:space="preserve"> its coverage of COVID-19 at-home antigen self-test kits. Prior authorization (PA) is required for &gt; 2 tests per 28 days, as described in </w:t>
      </w:r>
      <w:hyperlink r:id="rId13" w:history="1">
        <w:r w:rsidRPr="005D3A76">
          <w:rPr>
            <w:rStyle w:val="Hyperlink"/>
            <w:rFonts w:ascii="Arial" w:hAnsi="Arial" w:cs="Arial"/>
            <w:sz w:val="22"/>
            <w:szCs w:val="22"/>
          </w:rPr>
          <w:t>Pharmacy Facts 206</w:t>
        </w:r>
      </w:hyperlink>
      <w:r w:rsidRPr="005D3A76">
        <w:rPr>
          <w:rFonts w:ascii="Arial" w:hAnsi="Arial" w:cs="Arial"/>
          <w:sz w:val="22"/>
          <w:szCs w:val="22"/>
        </w:rPr>
        <w:t xml:space="preserve">.  </w:t>
      </w:r>
    </w:p>
    <w:p w14:paraId="3B936E57" w14:textId="77777777" w:rsidR="00986E44" w:rsidRPr="005D3A76" w:rsidRDefault="00986E44" w:rsidP="00986E44">
      <w:pPr>
        <w:rPr>
          <w:rFonts w:ascii="Arial" w:hAnsi="Arial" w:cs="Arial"/>
          <w:sz w:val="22"/>
          <w:szCs w:val="22"/>
        </w:rPr>
      </w:pPr>
    </w:p>
    <w:p w14:paraId="78DEC23C" w14:textId="3EC50AE3" w:rsidR="00986E44" w:rsidRPr="005D3A76" w:rsidRDefault="00986E44" w:rsidP="00986E44">
      <w:pPr>
        <w:rPr>
          <w:rFonts w:ascii="Arial" w:hAnsi="Arial" w:cs="Arial"/>
          <w:sz w:val="22"/>
          <w:szCs w:val="22"/>
        </w:rPr>
      </w:pPr>
      <w:r w:rsidRPr="005D3A76">
        <w:rPr>
          <w:rFonts w:ascii="Arial" w:hAnsi="Arial" w:cs="Arial"/>
          <w:sz w:val="22"/>
          <w:szCs w:val="22"/>
        </w:rPr>
        <w:t>MassHealth reminds pharmacy providers that the Massachusetts Department of Public Health has issued a statewide standing order that allows licensed pharmacists to dispense at-home antigen self-test kits to any individual, and to treat that standing order as a prescription for any such test kit. Accordingly, an individual prescription is not required for any such test kit.</w:t>
      </w:r>
      <w:r w:rsidR="00555D69">
        <w:rPr>
          <w:rFonts w:ascii="Arial" w:hAnsi="Arial" w:cs="Arial"/>
          <w:sz w:val="22"/>
          <w:szCs w:val="22"/>
        </w:rPr>
        <w:t xml:space="preserve"> </w:t>
      </w:r>
      <w:r w:rsidRPr="005D3A76">
        <w:rPr>
          <w:rFonts w:ascii="Arial" w:hAnsi="Arial" w:cs="Arial"/>
          <w:sz w:val="22"/>
          <w:szCs w:val="22"/>
        </w:rPr>
        <w:t xml:space="preserve">That standing order can be found here: </w:t>
      </w:r>
    </w:p>
    <w:p w14:paraId="14CE6BA4" w14:textId="77777777" w:rsidR="00986E44" w:rsidRPr="005D3A76" w:rsidRDefault="00555D69" w:rsidP="00986E44">
      <w:pPr>
        <w:rPr>
          <w:rFonts w:ascii="Arial" w:hAnsi="Arial" w:cs="Arial"/>
          <w:sz w:val="22"/>
          <w:szCs w:val="22"/>
        </w:rPr>
      </w:pPr>
      <w:hyperlink r:id="rId14" w:history="1">
        <w:r w:rsidR="00986E44" w:rsidRPr="005D3A76">
          <w:rPr>
            <w:rStyle w:val="Hyperlink"/>
            <w:rFonts w:ascii="Arial" w:hAnsi="Arial" w:cs="Arial"/>
            <w:sz w:val="22"/>
            <w:szCs w:val="22"/>
          </w:rPr>
          <w:t>https://www.mass.gov/doc/covid-19-otc-diagnostic-test-standing-order-pdf/download</w:t>
        </w:r>
      </w:hyperlink>
      <w:r w:rsidR="00986E44" w:rsidRPr="005D3A76">
        <w:rPr>
          <w:rStyle w:val="Hyperlink"/>
          <w:rFonts w:ascii="Arial" w:hAnsi="Arial" w:cs="Arial"/>
          <w:color w:val="auto"/>
          <w:sz w:val="22"/>
          <w:szCs w:val="22"/>
          <w:u w:val="none"/>
        </w:rPr>
        <w:t>.</w:t>
      </w:r>
    </w:p>
    <w:p w14:paraId="4E041F29" w14:textId="77D887A7" w:rsidR="00986E44" w:rsidRPr="005D3A76" w:rsidRDefault="00986E44" w:rsidP="00986E44">
      <w:pPr>
        <w:pStyle w:val="Heading2"/>
        <w:spacing w:before="240" w:after="240"/>
        <w:rPr>
          <w:rFonts w:ascii="Arial Black" w:hAnsi="Arial Black" w:cs="Arial"/>
          <w:b/>
          <w:bCs/>
          <w:color w:val="auto"/>
          <w:sz w:val="24"/>
          <w:szCs w:val="24"/>
        </w:rPr>
      </w:pPr>
      <w:r w:rsidRPr="005D3A76">
        <w:rPr>
          <w:rFonts w:ascii="Arial Black" w:hAnsi="Arial Black" w:cs="Arial"/>
          <w:b/>
          <w:bCs/>
          <w:color w:val="auto"/>
          <w:sz w:val="24"/>
          <w:szCs w:val="24"/>
        </w:rPr>
        <w:t xml:space="preserve">Coverage for Medically Necessary Enteral Nutrition Liquid Products through Pharmacy Providers </w:t>
      </w:r>
    </w:p>
    <w:p w14:paraId="0F2C44A9" w14:textId="77777777" w:rsidR="00986E44" w:rsidRPr="005D3A76" w:rsidRDefault="00986E44" w:rsidP="00986E44">
      <w:pPr>
        <w:pStyle w:val="Heading2"/>
        <w:spacing w:before="240" w:after="240"/>
        <w:rPr>
          <w:rFonts w:ascii="Arial" w:hAnsi="Arial" w:cs="Arial"/>
          <w:color w:val="auto"/>
          <w:sz w:val="22"/>
          <w:szCs w:val="22"/>
        </w:rPr>
      </w:pPr>
      <w:r w:rsidRPr="005D3A76">
        <w:rPr>
          <w:rFonts w:ascii="Arial" w:hAnsi="Arial" w:cs="Arial"/>
          <w:color w:val="auto"/>
          <w:sz w:val="22"/>
          <w:szCs w:val="22"/>
        </w:rPr>
        <w:t xml:space="preserve">MassHealth already covers medically necessary formula and thickening agents through both pharmacy and durable medical equipment (DME) providers. See </w:t>
      </w:r>
      <w:hyperlink r:id="rId15" w:history="1">
        <w:r w:rsidRPr="005D3A76">
          <w:rPr>
            <w:rStyle w:val="Hyperlink"/>
            <w:rFonts w:ascii="Arial" w:hAnsi="Arial" w:cs="Arial"/>
            <w:sz w:val="22"/>
            <w:szCs w:val="22"/>
          </w:rPr>
          <w:t>All Provider Bulletin 373</w:t>
        </w:r>
      </w:hyperlink>
      <w:r w:rsidRPr="005D3A76">
        <w:rPr>
          <w:rFonts w:ascii="Arial" w:hAnsi="Arial" w:cs="Arial"/>
          <w:color w:val="auto"/>
          <w:sz w:val="22"/>
          <w:szCs w:val="22"/>
        </w:rPr>
        <w:t>. There have been recent shortages reported for enteral nutritional liquid products available through DME providers. Accordingly, MassHealth is adding coverage of medically necessary enteral nutritional liquid products through the Pharmacy Online Processing System (POPS), as well.</w:t>
      </w:r>
    </w:p>
    <w:p w14:paraId="748CBBD9" w14:textId="77777777" w:rsidR="004C6EB8" w:rsidRDefault="00986E44" w:rsidP="004C6EB8">
      <w:pPr>
        <w:pStyle w:val="Default"/>
        <w:rPr>
          <w:rFonts w:ascii="Arial" w:hAnsi="Arial" w:cs="Arial"/>
          <w:sz w:val="22"/>
          <w:szCs w:val="22"/>
        </w:rPr>
      </w:pPr>
      <w:r w:rsidRPr="005D3A76">
        <w:rPr>
          <w:rFonts w:ascii="Arial" w:hAnsi="Arial" w:cs="Arial"/>
          <w:sz w:val="22"/>
          <w:szCs w:val="22"/>
        </w:rPr>
        <w:t>To address shortages, effective September 22, 2023, MassHealth pays pharmacies to process and dispense medically necessary enteral nutrition liquid products through POPS. MassHealth will update the MassHealth Non-</w:t>
      </w:r>
    </w:p>
    <w:p w14:paraId="45418A23" w14:textId="560F7A07" w:rsidR="00986E44" w:rsidRPr="005D3A76" w:rsidRDefault="00986E44" w:rsidP="004C6EB8">
      <w:pPr>
        <w:pStyle w:val="Default"/>
        <w:rPr>
          <w:rFonts w:ascii="Arial" w:hAnsi="Arial" w:cs="Arial"/>
          <w:color w:val="FF0000"/>
          <w:sz w:val="22"/>
          <w:szCs w:val="22"/>
        </w:rPr>
      </w:pPr>
      <w:r w:rsidRPr="005D3A76">
        <w:rPr>
          <w:rFonts w:ascii="Arial" w:hAnsi="Arial" w:cs="Arial"/>
          <w:sz w:val="22"/>
          <w:szCs w:val="22"/>
        </w:rPr>
        <w:t xml:space="preserve">Drug Product List to include medically necessary enteral nutrition liquid products on December 4, 2023. In each case, a valid prescription is required. MassHealth anticipates ending coverage of enteral nutritional products through pharmacy providers by early 2024. MassHealth will provide further written guidance once it ends coverage of enteral nutritional liquid products through pharmacy providers.  </w:t>
      </w:r>
    </w:p>
    <w:p w14:paraId="7E5D36CE" w14:textId="77777777" w:rsidR="00986E44" w:rsidRPr="005D3A76" w:rsidRDefault="00986E44" w:rsidP="00986E44">
      <w:pPr>
        <w:shd w:val="clear" w:color="auto" w:fill="FFFFFF"/>
        <w:spacing w:line="275" w:lineRule="atLeast"/>
        <w:rPr>
          <w:rFonts w:ascii="Arial" w:hAnsi="Arial" w:cs="Arial"/>
          <w:sz w:val="22"/>
          <w:szCs w:val="22"/>
        </w:rPr>
      </w:pPr>
    </w:p>
    <w:p w14:paraId="590C71B9" w14:textId="77777777" w:rsidR="00986E44" w:rsidRPr="005D3A76" w:rsidRDefault="00986E44" w:rsidP="00986E44">
      <w:pPr>
        <w:rPr>
          <w:rFonts w:ascii="Arial" w:hAnsi="Arial" w:cs="Arial"/>
          <w:sz w:val="22"/>
          <w:szCs w:val="22"/>
        </w:rPr>
      </w:pPr>
      <w:r w:rsidRPr="005D3A76">
        <w:rPr>
          <w:rFonts w:ascii="Arial" w:hAnsi="Arial" w:cs="Arial"/>
          <w:sz w:val="22"/>
          <w:szCs w:val="22"/>
        </w:rPr>
        <w:t xml:space="preserve">Please note that while enteral nutritional liquid products require a prescription, </w:t>
      </w:r>
      <w:r w:rsidRPr="005D3A76">
        <w:rPr>
          <w:rFonts w:ascii="Arial" w:hAnsi="Arial" w:cs="Arial"/>
          <w:b/>
          <w:bCs/>
          <w:sz w:val="22"/>
          <w:szCs w:val="22"/>
        </w:rPr>
        <w:t>MassHealth strongly encourages prescribers to write down any appropriate substitute products on the prescriptions for formula, in addition to the preferred product.</w:t>
      </w:r>
      <w:r w:rsidRPr="005D3A76">
        <w:rPr>
          <w:rFonts w:ascii="Arial" w:hAnsi="Arial" w:cs="Arial"/>
          <w:sz w:val="22"/>
          <w:szCs w:val="22"/>
        </w:rPr>
        <w:t xml:space="preserve"> This will enable the pharmacy provider to dispense the substitute formula in the event the preferred product is unavailable, without the need for a new or modified prescription.  </w:t>
      </w:r>
    </w:p>
    <w:p w14:paraId="4D73ADD5" w14:textId="77777777" w:rsidR="00986E44" w:rsidRPr="005D3A76" w:rsidRDefault="00986E44" w:rsidP="00986E44">
      <w:pPr>
        <w:rPr>
          <w:rFonts w:ascii="Arial" w:hAnsi="Arial" w:cs="Arial"/>
          <w:sz w:val="22"/>
          <w:szCs w:val="22"/>
        </w:rPr>
      </w:pPr>
    </w:p>
    <w:p w14:paraId="69E0A63C" w14:textId="77777777" w:rsidR="00986E44" w:rsidRPr="005D3A76" w:rsidRDefault="00986E44" w:rsidP="00986E44">
      <w:pPr>
        <w:rPr>
          <w:rFonts w:ascii="Arial" w:hAnsi="Arial" w:cs="Arial"/>
          <w:sz w:val="22"/>
          <w:szCs w:val="22"/>
        </w:rPr>
      </w:pPr>
      <w:r w:rsidRPr="005D3A76">
        <w:rPr>
          <w:rFonts w:ascii="Arial" w:hAnsi="Arial" w:cs="Arial"/>
          <w:sz w:val="22"/>
          <w:szCs w:val="22"/>
        </w:rPr>
        <w:t>If a preferred product is unavailable and no substitute products are identified on the prescription, MassHealth is encouraging pharmacists to communicate with prescribers to obtain authorization to substitute a clinically equivalent product. MassHealth considers the following to be clinically appropriate.</w:t>
      </w:r>
    </w:p>
    <w:p w14:paraId="6A562E2D" w14:textId="77777777" w:rsidR="00986E44" w:rsidRPr="005D3A76" w:rsidRDefault="00986E44" w:rsidP="00986E44">
      <w:pPr>
        <w:rPr>
          <w:rFonts w:ascii="Arial" w:hAnsi="Arial" w:cs="Arial"/>
          <w:sz w:val="22"/>
          <w:szCs w:val="22"/>
        </w:rPr>
      </w:pPr>
    </w:p>
    <w:p w14:paraId="4C399864" w14:textId="3A3AE3E6" w:rsidR="00986E44" w:rsidRPr="004C6EB8" w:rsidRDefault="00986E44" w:rsidP="005B1732">
      <w:pPr>
        <w:pStyle w:val="ListParagraph"/>
        <w:numPr>
          <w:ilvl w:val="0"/>
          <w:numId w:val="29"/>
        </w:numPr>
        <w:contextualSpacing/>
        <w:rPr>
          <w:rFonts w:ascii="Arial" w:hAnsi="Arial" w:cs="Arial"/>
          <w:sz w:val="22"/>
          <w:szCs w:val="22"/>
        </w:rPr>
      </w:pPr>
      <w:r w:rsidRPr="004C6EB8">
        <w:rPr>
          <w:rFonts w:ascii="Arial" w:hAnsi="Arial" w:cs="Arial"/>
          <w:sz w:val="22"/>
          <w:szCs w:val="22"/>
        </w:rPr>
        <w:t xml:space="preserve">Ensure Original (B4150) may be substituted with a clinically equivalent product within </w:t>
      </w:r>
      <w:r w:rsidR="00F6793A">
        <w:rPr>
          <w:rFonts w:ascii="Arial" w:hAnsi="Arial" w:cs="Arial"/>
          <w:sz w:val="22"/>
          <w:szCs w:val="22"/>
        </w:rPr>
        <w:t>Healthcare Common Procedure Coding System (</w:t>
      </w:r>
      <w:r w:rsidRPr="004C6EB8">
        <w:rPr>
          <w:rFonts w:ascii="Arial" w:hAnsi="Arial" w:cs="Arial"/>
          <w:sz w:val="22"/>
          <w:szCs w:val="22"/>
        </w:rPr>
        <w:t>HCPC</w:t>
      </w:r>
      <w:r w:rsidR="00F6793A">
        <w:rPr>
          <w:rFonts w:ascii="Arial" w:hAnsi="Arial" w:cs="Arial"/>
          <w:sz w:val="22"/>
          <w:szCs w:val="22"/>
        </w:rPr>
        <w:t>S)</w:t>
      </w:r>
      <w:r w:rsidRPr="004C6EB8">
        <w:rPr>
          <w:rFonts w:ascii="Arial" w:hAnsi="Arial" w:cs="Arial"/>
          <w:sz w:val="22"/>
          <w:szCs w:val="22"/>
        </w:rPr>
        <w:t xml:space="preserve"> code B4150 that is no more costly, including, but not limited to, Boost Original (B4150), if the Abbott product is out of stock.</w:t>
      </w:r>
    </w:p>
    <w:p w14:paraId="589806E6" w14:textId="7C0875EC" w:rsidR="00986E44" w:rsidRDefault="00986E44" w:rsidP="004C6EB8">
      <w:pPr>
        <w:pStyle w:val="ListParagraph"/>
        <w:numPr>
          <w:ilvl w:val="0"/>
          <w:numId w:val="29"/>
        </w:numPr>
        <w:contextualSpacing/>
        <w:rPr>
          <w:rFonts w:ascii="Arial" w:hAnsi="Arial" w:cs="Arial"/>
          <w:sz w:val="22"/>
          <w:szCs w:val="22"/>
        </w:rPr>
      </w:pPr>
      <w:r w:rsidRPr="005D3A76">
        <w:rPr>
          <w:rFonts w:ascii="Arial" w:hAnsi="Arial" w:cs="Arial"/>
          <w:sz w:val="22"/>
          <w:szCs w:val="22"/>
        </w:rPr>
        <w:t xml:space="preserve">Ensure Plus (B4152) may be substituted with a clinically equivalent product within </w:t>
      </w:r>
      <w:r w:rsidR="007E281B">
        <w:rPr>
          <w:rFonts w:ascii="Arial" w:hAnsi="Arial" w:cs="Arial"/>
          <w:sz w:val="22"/>
          <w:szCs w:val="22"/>
        </w:rPr>
        <w:t>HCPCS</w:t>
      </w:r>
      <w:r w:rsidRPr="005D3A76">
        <w:rPr>
          <w:rFonts w:ascii="Arial" w:hAnsi="Arial" w:cs="Arial"/>
          <w:sz w:val="22"/>
          <w:szCs w:val="22"/>
        </w:rPr>
        <w:t xml:space="preserve"> code B4152 that is no more costly, including, but not limited to, Boost Plus (B4152), if the Abbott product is out of stock.</w:t>
      </w:r>
    </w:p>
    <w:p w14:paraId="796BCD41" w14:textId="77777777" w:rsidR="004C6EB8" w:rsidRDefault="004C6EB8" w:rsidP="00127022">
      <w:pPr>
        <w:rPr>
          <w:rFonts w:ascii="Arial" w:hAnsi="Arial" w:cs="Arial"/>
          <w:sz w:val="22"/>
          <w:szCs w:val="22"/>
        </w:rPr>
      </w:pPr>
    </w:p>
    <w:p w14:paraId="612E3ED9" w14:textId="6BA0C72F" w:rsidR="00D159F0" w:rsidRDefault="00986E44" w:rsidP="00F6793A">
      <w:pPr>
        <w:spacing w:before="240" w:after="240"/>
        <w:rPr>
          <w:rFonts w:ascii="Arial" w:hAnsi="Arial" w:cs="Arial"/>
          <w:sz w:val="22"/>
          <w:szCs w:val="21"/>
        </w:rPr>
      </w:pPr>
      <w:r w:rsidRPr="00127022">
        <w:rPr>
          <w:rFonts w:ascii="Arial" w:hAnsi="Arial" w:cs="Arial"/>
          <w:sz w:val="22"/>
          <w:szCs w:val="22"/>
        </w:rPr>
        <w:t xml:space="preserve">Pharmacies are encouraged to remind prescribing providers to list appropriate substitute products during initial and subsequent communications. </w:t>
      </w:r>
    </w:p>
    <w:p w14:paraId="1EF215A4" w14:textId="77777777" w:rsidR="00555D69" w:rsidRDefault="00555D69" w:rsidP="00186292">
      <w:pPr>
        <w:pStyle w:val="Default"/>
        <w:rPr>
          <w:rFonts w:eastAsiaTheme="majorEastAsia" w:cs="Arial"/>
          <w:b/>
          <w:bCs/>
          <w:color w:val="auto"/>
        </w:rPr>
      </w:pPr>
    </w:p>
    <w:p w14:paraId="17825A4A" w14:textId="4834EB0D" w:rsidR="00186292" w:rsidRDefault="00B91818" w:rsidP="00555D69">
      <w:pPr>
        <w:pStyle w:val="Default"/>
        <w:spacing w:after="120"/>
        <w:rPr>
          <w:rFonts w:eastAsiaTheme="majorEastAsia" w:cs="Arial"/>
          <w:b/>
          <w:bCs/>
          <w:color w:val="auto"/>
        </w:rPr>
      </w:pPr>
      <w:r w:rsidRPr="00186292">
        <w:rPr>
          <w:rFonts w:eastAsiaTheme="majorEastAsia" w:cs="Arial"/>
          <w:b/>
          <w:bCs/>
          <w:color w:val="auto"/>
        </w:rPr>
        <w:t>Payment for Enteral Nutrition Liquid Products Dispensed by Pharmacy Providers</w:t>
      </w:r>
      <w:r w:rsidR="00555D69">
        <w:rPr>
          <w:rFonts w:eastAsiaTheme="majorEastAsia" w:cs="Arial"/>
          <w:b/>
          <w:bCs/>
          <w:color w:val="auto"/>
        </w:rPr>
        <w:t xml:space="preserve"> </w:t>
      </w:r>
    </w:p>
    <w:p w14:paraId="6ADEBF44" w14:textId="0610F74E" w:rsidR="00186292" w:rsidRDefault="00555D69" w:rsidP="00186292">
      <w:pPr>
        <w:pStyle w:val="Default"/>
        <w:rPr>
          <w:rFonts w:ascii="Arial" w:hAnsi="Arial" w:cs="Arial"/>
          <w:sz w:val="22"/>
          <w:szCs w:val="22"/>
        </w:rPr>
        <w:sectPr w:rsidR="00186292" w:rsidSect="00186292">
          <w:headerReference w:type="default" r:id="rId16"/>
          <w:footerReference w:type="default" r:id="rId17"/>
          <w:type w:val="continuous"/>
          <w:pgSz w:w="12240" w:h="15840" w:code="1"/>
          <w:pgMar w:top="360" w:right="907" w:bottom="720" w:left="907" w:header="720" w:footer="576" w:gutter="0"/>
          <w:cols w:num="2" w:sep="1" w:space="720"/>
          <w:docGrid w:linePitch="360"/>
        </w:sectPr>
      </w:pPr>
      <w:r w:rsidRPr="00186292">
        <w:rPr>
          <w:rFonts w:ascii="Arial" w:hAnsi="Arial" w:cs="Arial"/>
          <w:sz w:val="22"/>
          <w:szCs w:val="22"/>
        </w:rPr>
        <w:lastRenderedPageBreak/>
        <w:t>Pharmacies will be paid for medically necessary enteral nutrition liquid products at the lowest of the Wholesale Acquisition Cost, the usual fee for</w:t>
      </w:r>
      <w:r w:rsidRPr="00186292">
        <w:rPr>
          <w:rFonts w:ascii="Arial" w:hAnsi="Arial" w:cs="Arial"/>
          <w:sz w:val="22"/>
          <w:szCs w:val="22"/>
        </w:rPr>
        <w:t xml:space="preserve"> </w:t>
      </w:r>
      <w:r w:rsidR="00186292" w:rsidRPr="00186292">
        <w:rPr>
          <w:rFonts w:ascii="Arial" w:hAnsi="Arial" w:cs="Arial"/>
          <w:sz w:val="22"/>
          <w:szCs w:val="22"/>
        </w:rPr>
        <w:t>patients other than publicly aided individuals</w:t>
      </w:r>
      <w:r w:rsidR="002D533A">
        <w:rPr>
          <w:rFonts w:ascii="Arial" w:hAnsi="Arial" w:cs="Arial"/>
          <w:sz w:val="22"/>
          <w:szCs w:val="22"/>
        </w:rPr>
        <w:t>,</w:t>
      </w:r>
      <w:r w:rsidR="00186292" w:rsidRPr="00186292">
        <w:rPr>
          <w:rFonts w:ascii="Arial" w:hAnsi="Arial" w:cs="Arial"/>
          <w:sz w:val="22"/>
          <w:szCs w:val="22"/>
        </w:rPr>
        <w:t xml:space="preserve"> or the actual charges submitted.  </w:t>
      </w:r>
    </w:p>
    <w:p w14:paraId="6E6F5FE0" w14:textId="77777777" w:rsidR="00186292" w:rsidRDefault="00186292" w:rsidP="00186292">
      <w:pPr>
        <w:pStyle w:val="Default"/>
        <w:rPr>
          <w:rFonts w:ascii="Arial" w:hAnsi="Arial" w:cs="Arial"/>
          <w:sz w:val="22"/>
          <w:szCs w:val="22"/>
        </w:rPr>
      </w:pPr>
    </w:p>
    <w:p w14:paraId="2D021EBC" w14:textId="77777777" w:rsidR="00186292" w:rsidRPr="00186292" w:rsidRDefault="00186292" w:rsidP="00186292">
      <w:pPr>
        <w:pStyle w:val="Default"/>
        <w:rPr>
          <w:rFonts w:ascii="Arial" w:hAnsi="Arial" w:cs="Arial"/>
          <w:sz w:val="22"/>
          <w:szCs w:val="22"/>
        </w:rPr>
      </w:pPr>
    </w:p>
    <w:p w14:paraId="328346A1" w14:textId="77777777" w:rsidR="00D66801" w:rsidRPr="00186292" w:rsidRDefault="00D66801" w:rsidP="00186292">
      <w:pPr>
        <w:pStyle w:val="Default"/>
        <w:rPr>
          <w:rFonts w:ascii="Arial" w:hAnsi="Arial" w:cs="Arial"/>
          <w:sz w:val="22"/>
          <w:szCs w:val="22"/>
        </w:rPr>
        <w:sectPr w:rsidR="00D66801" w:rsidRPr="00186292" w:rsidSect="00137D3D">
          <w:type w:val="continuous"/>
          <w:pgSz w:w="12240" w:h="15840" w:code="1"/>
          <w:pgMar w:top="360" w:right="907" w:bottom="720" w:left="907" w:header="720" w:footer="576" w:gutter="0"/>
          <w:cols w:num="2" w:sep="1" w:space="720"/>
          <w:docGrid w:linePitch="360"/>
        </w:sectPr>
      </w:pPr>
    </w:p>
    <w:p w14:paraId="562F4515" w14:textId="77777777" w:rsidR="00AB67EA" w:rsidRPr="00186292" w:rsidRDefault="00AB67EA" w:rsidP="00186292">
      <w:pPr>
        <w:pStyle w:val="Default"/>
        <w:rPr>
          <w:rFonts w:ascii="Arial" w:hAnsi="Arial" w:cs="Arial"/>
          <w:sz w:val="22"/>
          <w:szCs w:val="22"/>
        </w:rPr>
      </w:pPr>
    </w:p>
    <w:sectPr w:rsidR="00AB67EA" w:rsidRPr="00186292"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0BE8" w14:textId="77777777" w:rsidR="00513367" w:rsidRDefault="00513367" w:rsidP="00492602">
      <w:r>
        <w:separator/>
      </w:r>
    </w:p>
  </w:endnote>
  <w:endnote w:type="continuationSeparator" w:id="0">
    <w:p w14:paraId="549C408A" w14:textId="77777777" w:rsidR="00513367" w:rsidRDefault="0051336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AE28" w14:textId="77777777" w:rsidR="0075369B" w:rsidRDefault="0075369B" w:rsidP="0075369B">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00B01A83" w14:textId="77777777" w:rsidR="0075369B" w:rsidRPr="00E95805" w:rsidRDefault="00555D69" w:rsidP="0075369B">
    <w:pPr>
      <w:pStyle w:val="Footer"/>
      <w:jc w:val="center"/>
    </w:pPr>
    <w:hyperlink r:id="rId1" w:history="1">
      <w:r w:rsidR="0075369B" w:rsidRPr="00386AF8">
        <w:rPr>
          <w:rStyle w:val="Hyperlink"/>
          <w:rFonts w:ascii="Arial" w:hAnsi="Arial" w:cs="Arial"/>
          <w:iCs/>
          <w:sz w:val="18"/>
          <w:szCs w:val="18"/>
        </w:rPr>
        <w:t>PharmFactsMA@Conduent.com</w:t>
      </w:r>
    </w:hyperlink>
    <w:r w:rsidR="0075369B">
      <w:rPr>
        <w:rFonts w:ascii="Arial" w:hAnsi="Arial" w:cs="Arial"/>
        <w:iCs/>
        <w:sz w:val="18"/>
        <w:szCs w:val="18"/>
      </w:rPr>
      <w:t>.</w:t>
    </w:r>
  </w:p>
  <w:p w14:paraId="080F3C14" w14:textId="6E5201C1" w:rsidR="00637A67" w:rsidRPr="0075369B" w:rsidRDefault="00637A67" w:rsidP="0075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C7A3" w14:textId="77777777" w:rsidR="00513367" w:rsidRDefault="00513367" w:rsidP="00492602">
      <w:r>
        <w:separator/>
      </w:r>
    </w:p>
  </w:footnote>
  <w:footnote w:type="continuationSeparator" w:id="0">
    <w:p w14:paraId="7BF369D6" w14:textId="77777777" w:rsidR="00513367" w:rsidRDefault="0051336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EDF9" w14:textId="3902D5FF"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w:t>
    </w:r>
    <w:r w:rsidRPr="003C3F28">
      <w:rPr>
        <w:color w:val="auto"/>
        <w:sz w:val="18"/>
        <w:szCs w:val="18"/>
      </w:rPr>
      <w:t xml:space="preserve">Number </w:t>
    </w:r>
    <w:r w:rsidR="003C3F28" w:rsidRPr="003C3F28">
      <w:rPr>
        <w:color w:val="auto"/>
        <w:sz w:val="18"/>
        <w:szCs w:val="18"/>
      </w:rPr>
      <w:t>2</w:t>
    </w:r>
    <w:r w:rsidR="00B91818">
      <w:rPr>
        <w:color w:val="auto"/>
        <w:sz w:val="18"/>
        <w:szCs w:val="18"/>
      </w:rPr>
      <w:t>12</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2B69"/>
    <w:multiLevelType w:val="hybridMultilevel"/>
    <w:tmpl w:val="315A9C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51E33"/>
    <w:multiLevelType w:val="hybridMultilevel"/>
    <w:tmpl w:val="6D6E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F0C92"/>
    <w:multiLevelType w:val="hybridMultilevel"/>
    <w:tmpl w:val="1D9A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5A391F"/>
    <w:multiLevelType w:val="hybridMultilevel"/>
    <w:tmpl w:val="4F7C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7643">
    <w:abstractNumId w:val="12"/>
  </w:num>
  <w:num w:numId="2" w16cid:durableId="1345934205">
    <w:abstractNumId w:val="17"/>
  </w:num>
  <w:num w:numId="3" w16cid:durableId="1172835935">
    <w:abstractNumId w:val="21"/>
  </w:num>
  <w:num w:numId="4" w16cid:durableId="113788977">
    <w:abstractNumId w:val="8"/>
  </w:num>
  <w:num w:numId="5" w16cid:durableId="452556578">
    <w:abstractNumId w:val="11"/>
  </w:num>
  <w:num w:numId="6" w16cid:durableId="77026176">
    <w:abstractNumId w:val="16"/>
  </w:num>
  <w:num w:numId="7" w16cid:durableId="1886914535">
    <w:abstractNumId w:val="22"/>
  </w:num>
  <w:num w:numId="8" w16cid:durableId="1013776">
    <w:abstractNumId w:val="3"/>
  </w:num>
  <w:num w:numId="9" w16cid:durableId="1276328744">
    <w:abstractNumId w:val="0"/>
  </w:num>
  <w:num w:numId="10" w16cid:durableId="657222506">
    <w:abstractNumId w:val="19"/>
  </w:num>
  <w:num w:numId="11" w16cid:durableId="1815545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5855646">
    <w:abstractNumId w:val="6"/>
  </w:num>
  <w:num w:numId="13" w16cid:durableId="214440180">
    <w:abstractNumId w:val="21"/>
  </w:num>
  <w:num w:numId="14" w16cid:durableId="58157299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55228">
    <w:abstractNumId w:val="16"/>
  </w:num>
  <w:num w:numId="16" w16cid:durableId="1345399337">
    <w:abstractNumId w:val="18"/>
  </w:num>
  <w:num w:numId="17" w16cid:durableId="237638518">
    <w:abstractNumId w:val="2"/>
  </w:num>
  <w:num w:numId="18" w16cid:durableId="1760711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469097">
    <w:abstractNumId w:val="7"/>
  </w:num>
  <w:num w:numId="20" w16cid:durableId="522480146">
    <w:abstractNumId w:val="5"/>
  </w:num>
  <w:num w:numId="21" w16cid:durableId="1514492180">
    <w:abstractNumId w:val="10"/>
  </w:num>
  <w:num w:numId="22" w16cid:durableId="214393739">
    <w:abstractNumId w:val="23"/>
  </w:num>
  <w:num w:numId="23" w16cid:durableId="1846362606">
    <w:abstractNumId w:val="24"/>
  </w:num>
  <w:num w:numId="24" w16cid:durableId="295110671">
    <w:abstractNumId w:val="15"/>
  </w:num>
  <w:num w:numId="25" w16cid:durableId="1929651590">
    <w:abstractNumId w:val="20"/>
  </w:num>
  <w:num w:numId="26" w16cid:durableId="1578594143">
    <w:abstractNumId w:val="25"/>
  </w:num>
  <w:num w:numId="27" w16cid:durableId="805202065">
    <w:abstractNumId w:val="1"/>
  </w:num>
  <w:num w:numId="28" w16cid:durableId="1581519195">
    <w:abstractNumId w:val="4"/>
  </w:num>
  <w:num w:numId="29" w16cid:durableId="958142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713D3"/>
    <w:rsid w:val="00074014"/>
    <w:rsid w:val="00081E8E"/>
    <w:rsid w:val="000A6318"/>
    <w:rsid w:val="000D1502"/>
    <w:rsid w:val="000F3782"/>
    <w:rsid w:val="00123D58"/>
    <w:rsid w:val="0012682D"/>
    <w:rsid w:val="00127022"/>
    <w:rsid w:val="001378CB"/>
    <w:rsid w:val="00137D3D"/>
    <w:rsid w:val="00140D08"/>
    <w:rsid w:val="001457A2"/>
    <w:rsid w:val="00147437"/>
    <w:rsid w:val="00157A49"/>
    <w:rsid w:val="00171445"/>
    <w:rsid w:val="001721D8"/>
    <w:rsid w:val="0018357E"/>
    <w:rsid w:val="00186292"/>
    <w:rsid w:val="001864A9"/>
    <w:rsid w:val="00197D93"/>
    <w:rsid w:val="001A125B"/>
    <w:rsid w:val="001C1481"/>
    <w:rsid w:val="001E779F"/>
    <w:rsid w:val="0021214A"/>
    <w:rsid w:val="00212477"/>
    <w:rsid w:val="00212622"/>
    <w:rsid w:val="00220CE7"/>
    <w:rsid w:val="002275AE"/>
    <w:rsid w:val="002509E9"/>
    <w:rsid w:val="00274F3E"/>
    <w:rsid w:val="00276F3A"/>
    <w:rsid w:val="00286CBE"/>
    <w:rsid w:val="00291397"/>
    <w:rsid w:val="002C7C67"/>
    <w:rsid w:val="002D390F"/>
    <w:rsid w:val="002D533A"/>
    <w:rsid w:val="002D738C"/>
    <w:rsid w:val="002E2F9E"/>
    <w:rsid w:val="002F09E8"/>
    <w:rsid w:val="003152DA"/>
    <w:rsid w:val="00323CA9"/>
    <w:rsid w:val="003240F1"/>
    <w:rsid w:val="0033053B"/>
    <w:rsid w:val="00351497"/>
    <w:rsid w:val="00360067"/>
    <w:rsid w:val="00361733"/>
    <w:rsid w:val="0036343A"/>
    <w:rsid w:val="00372195"/>
    <w:rsid w:val="0037373E"/>
    <w:rsid w:val="00375713"/>
    <w:rsid w:val="00382054"/>
    <w:rsid w:val="003874F7"/>
    <w:rsid w:val="003911FC"/>
    <w:rsid w:val="003B6839"/>
    <w:rsid w:val="003C3F28"/>
    <w:rsid w:val="003C45A1"/>
    <w:rsid w:val="003D3B27"/>
    <w:rsid w:val="003F533B"/>
    <w:rsid w:val="00447A5F"/>
    <w:rsid w:val="00456B5A"/>
    <w:rsid w:val="00457528"/>
    <w:rsid w:val="004664D3"/>
    <w:rsid w:val="00492602"/>
    <w:rsid w:val="0049423D"/>
    <w:rsid w:val="00494D38"/>
    <w:rsid w:val="004A3BAA"/>
    <w:rsid w:val="004A7395"/>
    <w:rsid w:val="004C1DAD"/>
    <w:rsid w:val="004C6EB8"/>
    <w:rsid w:val="004D1BC7"/>
    <w:rsid w:val="004D20D7"/>
    <w:rsid w:val="004D79B2"/>
    <w:rsid w:val="004F5506"/>
    <w:rsid w:val="004F5612"/>
    <w:rsid w:val="005052D9"/>
    <w:rsid w:val="00513367"/>
    <w:rsid w:val="00516394"/>
    <w:rsid w:val="0052118E"/>
    <w:rsid w:val="00527F95"/>
    <w:rsid w:val="005314A6"/>
    <w:rsid w:val="0054641E"/>
    <w:rsid w:val="005502E1"/>
    <w:rsid w:val="00555D69"/>
    <w:rsid w:val="0056481B"/>
    <w:rsid w:val="0057156C"/>
    <w:rsid w:val="00571898"/>
    <w:rsid w:val="00574ECE"/>
    <w:rsid w:val="00574F07"/>
    <w:rsid w:val="0057528C"/>
    <w:rsid w:val="00581E50"/>
    <w:rsid w:val="005835F0"/>
    <w:rsid w:val="005842A0"/>
    <w:rsid w:val="005958DD"/>
    <w:rsid w:val="005A57BA"/>
    <w:rsid w:val="005B15B3"/>
    <w:rsid w:val="005B1732"/>
    <w:rsid w:val="005D723D"/>
    <w:rsid w:val="005F2371"/>
    <w:rsid w:val="00623469"/>
    <w:rsid w:val="00634C49"/>
    <w:rsid w:val="00637A67"/>
    <w:rsid w:val="00644AAF"/>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5369B"/>
    <w:rsid w:val="00760FDF"/>
    <w:rsid w:val="007757E7"/>
    <w:rsid w:val="00781D3B"/>
    <w:rsid w:val="007A038A"/>
    <w:rsid w:val="007A41F5"/>
    <w:rsid w:val="007B2F2D"/>
    <w:rsid w:val="007B4429"/>
    <w:rsid w:val="007B7425"/>
    <w:rsid w:val="007E281B"/>
    <w:rsid w:val="007F5417"/>
    <w:rsid w:val="007F5E53"/>
    <w:rsid w:val="00804116"/>
    <w:rsid w:val="00812480"/>
    <w:rsid w:val="00816CE2"/>
    <w:rsid w:val="00821937"/>
    <w:rsid w:val="00832CB9"/>
    <w:rsid w:val="008340D0"/>
    <w:rsid w:val="008403CA"/>
    <w:rsid w:val="008474A5"/>
    <w:rsid w:val="0085395A"/>
    <w:rsid w:val="00853F8E"/>
    <w:rsid w:val="0086142C"/>
    <w:rsid w:val="00870F52"/>
    <w:rsid w:val="00872E7F"/>
    <w:rsid w:val="00880FA9"/>
    <w:rsid w:val="008930F1"/>
    <w:rsid w:val="00893F45"/>
    <w:rsid w:val="008C2EAF"/>
    <w:rsid w:val="008C5414"/>
    <w:rsid w:val="008C66D8"/>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86E44"/>
    <w:rsid w:val="009C3981"/>
    <w:rsid w:val="009D1341"/>
    <w:rsid w:val="009D6D73"/>
    <w:rsid w:val="009D79C6"/>
    <w:rsid w:val="009E539D"/>
    <w:rsid w:val="009F0440"/>
    <w:rsid w:val="009F0526"/>
    <w:rsid w:val="00A01DE3"/>
    <w:rsid w:val="00A06542"/>
    <w:rsid w:val="00A11371"/>
    <w:rsid w:val="00A120E1"/>
    <w:rsid w:val="00A31FAA"/>
    <w:rsid w:val="00A343A9"/>
    <w:rsid w:val="00A5239C"/>
    <w:rsid w:val="00A571F6"/>
    <w:rsid w:val="00A650DC"/>
    <w:rsid w:val="00A6764A"/>
    <w:rsid w:val="00A73A55"/>
    <w:rsid w:val="00A82F72"/>
    <w:rsid w:val="00A84255"/>
    <w:rsid w:val="00AB67EA"/>
    <w:rsid w:val="00AC1AC7"/>
    <w:rsid w:val="00AD18B8"/>
    <w:rsid w:val="00AD33D5"/>
    <w:rsid w:val="00AE21FC"/>
    <w:rsid w:val="00B01BAA"/>
    <w:rsid w:val="00B07BD7"/>
    <w:rsid w:val="00B13AA5"/>
    <w:rsid w:val="00B3099B"/>
    <w:rsid w:val="00B40A71"/>
    <w:rsid w:val="00B46690"/>
    <w:rsid w:val="00B503C7"/>
    <w:rsid w:val="00B54AB5"/>
    <w:rsid w:val="00B645C9"/>
    <w:rsid w:val="00B86F04"/>
    <w:rsid w:val="00B91818"/>
    <w:rsid w:val="00B92C96"/>
    <w:rsid w:val="00B95156"/>
    <w:rsid w:val="00BA64D7"/>
    <w:rsid w:val="00BA68F0"/>
    <w:rsid w:val="00BB01E3"/>
    <w:rsid w:val="00BD08CA"/>
    <w:rsid w:val="00BF0DF4"/>
    <w:rsid w:val="00C00CF2"/>
    <w:rsid w:val="00C15672"/>
    <w:rsid w:val="00C21680"/>
    <w:rsid w:val="00C31421"/>
    <w:rsid w:val="00C33753"/>
    <w:rsid w:val="00C35B94"/>
    <w:rsid w:val="00C559C9"/>
    <w:rsid w:val="00C82FA4"/>
    <w:rsid w:val="00C92972"/>
    <w:rsid w:val="00C95413"/>
    <w:rsid w:val="00CA0669"/>
    <w:rsid w:val="00CA1E7C"/>
    <w:rsid w:val="00CB0030"/>
    <w:rsid w:val="00CB7521"/>
    <w:rsid w:val="00CC57AC"/>
    <w:rsid w:val="00CC776C"/>
    <w:rsid w:val="00CD6D68"/>
    <w:rsid w:val="00CF2057"/>
    <w:rsid w:val="00D0584B"/>
    <w:rsid w:val="00D159F0"/>
    <w:rsid w:val="00D2695E"/>
    <w:rsid w:val="00D450C8"/>
    <w:rsid w:val="00D521FA"/>
    <w:rsid w:val="00D66801"/>
    <w:rsid w:val="00D779F2"/>
    <w:rsid w:val="00D81121"/>
    <w:rsid w:val="00D939D0"/>
    <w:rsid w:val="00DA6A55"/>
    <w:rsid w:val="00DD6492"/>
    <w:rsid w:val="00DE78D7"/>
    <w:rsid w:val="00E06F7D"/>
    <w:rsid w:val="00E24139"/>
    <w:rsid w:val="00E3616D"/>
    <w:rsid w:val="00E50862"/>
    <w:rsid w:val="00E559D4"/>
    <w:rsid w:val="00E60ABB"/>
    <w:rsid w:val="00E62D91"/>
    <w:rsid w:val="00E67611"/>
    <w:rsid w:val="00E67713"/>
    <w:rsid w:val="00E72DFF"/>
    <w:rsid w:val="00E92E47"/>
    <w:rsid w:val="00E9576D"/>
    <w:rsid w:val="00EC08AC"/>
    <w:rsid w:val="00EC1948"/>
    <w:rsid w:val="00EC1D1D"/>
    <w:rsid w:val="00ED4639"/>
    <w:rsid w:val="00EE54D2"/>
    <w:rsid w:val="00EF7C8A"/>
    <w:rsid w:val="00F2514F"/>
    <w:rsid w:val="00F25E7F"/>
    <w:rsid w:val="00F274DE"/>
    <w:rsid w:val="00F6038A"/>
    <w:rsid w:val="00F643E6"/>
    <w:rsid w:val="00F6793A"/>
    <w:rsid w:val="00F76D69"/>
    <w:rsid w:val="00F80A77"/>
    <w:rsid w:val="00F9012C"/>
    <w:rsid w:val="00F9097E"/>
    <w:rsid w:val="00F93C6C"/>
    <w:rsid w:val="00FA5147"/>
    <w:rsid w:val="00FB0C11"/>
    <w:rsid w:val="00FB530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86E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9181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iPriority w:val="99"/>
    <w:unhideWhenUsed/>
    <w:qFormat/>
    <w:rsid w:val="0075369B"/>
    <w:rPr>
      <w:color w:val="0000FF" w:themeColor="hyperlink"/>
      <w:u w:val="single"/>
    </w:rPr>
  </w:style>
  <w:style w:type="character" w:styleId="CommentReference">
    <w:name w:val="annotation reference"/>
    <w:basedOn w:val="DefaultParagraphFont"/>
    <w:semiHidden/>
    <w:unhideWhenUsed/>
    <w:rsid w:val="00C95413"/>
    <w:rPr>
      <w:sz w:val="16"/>
      <w:szCs w:val="16"/>
    </w:rPr>
  </w:style>
  <w:style w:type="paragraph" w:styleId="CommentText">
    <w:name w:val="annotation text"/>
    <w:basedOn w:val="Normal"/>
    <w:link w:val="CommentTextChar"/>
    <w:semiHidden/>
    <w:unhideWhenUsed/>
    <w:rsid w:val="00C95413"/>
    <w:rPr>
      <w:sz w:val="20"/>
      <w:szCs w:val="20"/>
    </w:rPr>
  </w:style>
  <w:style w:type="character" w:customStyle="1" w:styleId="CommentTextChar">
    <w:name w:val="Comment Text Char"/>
    <w:basedOn w:val="DefaultParagraphFont"/>
    <w:link w:val="CommentText"/>
    <w:semiHidden/>
    <w:rsid w:val="00C95413"/>
  </w:style>
  <w:style w:type="paragraph" w:styleId="CommentSubject">
    <w:name w:val="annotation subject"/>
    <w:basedOn w:val="CommentText"/>
    <w:next w:val="CommentText"/>
    <w:link w:val="CommentSubjectChar"/>
    <w:semiHidden/>
    <w:unhideWhenUsed/>
    <w:rsid w:val="00C95413"/>
    <w:rPr>
      <w:b/>
      <w:bCs/>
    </w:rPr>
  </w:style>
  <w:style w:type="character" w:customStyle="1" w:styleId="CommentSubjectChar">
    <w:name w:val="Comment Subject Char"/>
    <w:basedOn w:val="CommentTextChar"/>
    <w:link w:val="CommentSubject"/>
    <w:semiHidden/>
    <w:rsid w:val="00C95413"/>
    <w:rPr>
      <w:b/>
      <w:bCs/>
    </w:rPr>
  </w:style>
  <w:style w:type="character" w:styleId="FollowedHyperlink">
    <w:name w:val="FollowedHyperlink"/>
    <w:basedOn w:val="DefaultParagraphFont"/>
    <w:semiHidden/>
    <w:unhideWhenUsed/>
    <w:rsid w:val="001457A2"/>
    <w:rPr>
      <w:color w:val="800080" w:themeColor="followedHyperlink"/>
      <w:u w:val="single"/>
    </w:rPr>
  </w:style>
  <w:style w:type="character" w:customStyle="1" w:styleId="Heading2Char">
    <w:name w:val="Heading 2 Char"/>
    <w:basedOn w:val="DefaultParagraphFont"/>
    <w:link w:val="Heading2"/>
    <w:semiHidden/>
    <w:rsid w:val="00986E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B918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pharmacy-facts-206-july-26-2023-0/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177-january-14-2022-0/downloa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mass.gov/doc/all-provider-bulletin-373-extension-of-flexibilities-for-prior-authorization-of-formula/download"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covid-19-otc-diagnostic-test-standing-order-pdf/downloa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2023-10-03T17:05:00Z</dcterms:created>
  <dcterms:modified xsi:type="dcterms:W3CDTF">2023-10-03T17:15:00Z</dcterms:modified>
</cp:coreProperties>
</file>