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DBD5" w14:textId="2E3916A1" w:rsidR="008F2307" w:rsidRPr="00C813E8" w:rsidRDefault="008F2307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C813E8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4F1682" w:rsidRPr="00C813E8">
        <w:rPr>
          <w:rFonts w:ascii="Arial Narrow" w:hAnsi="Arial Narrow"/>
          <w:b/>
          <w:color w:val="auto"/>
          <w:sz w:val="20"/>
          <w:szCs w:val="20"/>
        </w:rPr>
        <w:t>214</w:t>
      </w:r>
      <w:r w:rsidRPr="00C813E8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4F1682" w:rsidRPr="00C813E8">
        <w:rPr>
          <w:rFonts w:ascii="Arial Narrow" w:hAnsi="Arial Narrow"/>
          <w:b/>
          <w:color w:val="auto"/>
          <w:sz w:val="20"/>
          <w:szCs w:val="20"/>
        </w:rPr>
        <w:t xml:space="preserve">October </w:t>
      </w:r>
      <w:r w:rsidR="00C813E8" w:rsidRPr="00C813E8">
        <w:rPr>
          <w:rFonts w:ascii="Arial Narrow" w:hAnsi="Arial Narrow"/>
          <w:b/>
          <w:color w:val="auto"/>
          <w:sz w:val="20"/>
          <w:szCs w:val="20"/>
        </w:rPr>
        <w:t>26</w:t>
      </w:r>
      <w:r w:rsidR="004F1682" w:rsidRPr="00C813E8">
        <w:rPr>
          <w:rFonts w:ascii="Arial Narrow" w:hAnsi="Arial Narrow"/>
          <w:b/>
          <w:color w:val="auto"/>
          <w:sz w:val="20"/>
          <w:szCs w:val="20"/>
        </w:rPr>
        <w:t>, 2023</w:t>
      </w:r>
    </w:p>
    <w:p w14:paraId="56A843BC" w14:textId="4E7B52A4" w:rsidR="006F35F9" w:rsidRDefault="00381A1E" w:rsidP="002C3773">
      <w:pPr>
        <w:pStyle w:val="NormalWeb"/>
        <w:shd w:val="clear" w:color="auto" w:fill="FFFFFF"/>
        <w:spacing w:before="0" w:beforeAutospacing="0" w:after="225" w:afterAutospacing="0"/>
        <w:ind w:left="-144"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1E4D12" wp14:editId="09387919">
            <wp:extent cx="6807200" cy="1741954"/>
            <wp:effectExtent l="0" t="0" r="0" b="0"/>
            <wp:docPr id="745759799" name="Picture 1" descr="Pharmacy Facts&#10;Current information for pharmacists about the MassHealth Pharmacy Program&#10;www.mass.gov/masshealth-pharmacy-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59799" name="Picture 1" descr="Pharmacy Facts&#10;Current information for pharmacists about the MassHealth Pharmacy Program&#10;www.mass.gov/masshealth-pharmacy-fact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036" cy="175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C79E" w14:textId="6BDCE919" w:rsidR="004F1682" w:rsidRPr="004F1682" w:rsidRDefault="004F1682" w:rsidP="004F1682">
      <w:pPr>
        <w:pStyle w:val="BodyText1"/>
        <w:jc w:val="center"/>
        <w:rPr>
          <w:color w:val="auto"/>
          <w:sz w:val="24"/>
          <w:szCs w:val="24"/>
        </w:rPr>
        <w:sectPr w:rsidR="004F1682" w:rsidRPr="004F1682" w:rsidSect="004F1682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4F1682">
        <w:rPr>
          <w:rFonts w:ascii="Arial Black" w:hAnsi="Arial Black"/>
          <w:color w:val="auto"/>
          <w:sz w:val="24"/>
          <w:szCs w:val="24"/>
        </w:rPr>
        <w:t xml:space="preserve">Summary of MassHealth All Provider Bulletin </w:t>
      </w:r>
      <w:r w:rsidR="002A15C5">
        <w:rPr>
          <w:rFonts w:ascii="Arial Black" w:hAnsi="Arial Black"/>
          <w:color w:val="auto"/>
          <w:sz w:val="24"/>
          <w:szCs w:val="24"/>
        </w:rPr>
        <w:t>380</w:t>
      </w:r>
      <w:r w:rsidR="00594C24">
        <w:rPr>
          <w:rFonts w:ascii="Arial Black" w:hAnsi="Arial Black"/>
          <w:color w:val="auto"/>
          <w:sz w:val="24"/>
          <w:szCs w:val="24"/>
        </w:rPr>
        <w:t xml:space="preserve"> </w:t>
      </w:r>
      <w:r w:rsidR="000801B9">
        <w:rPr>
          <w:rFonts w:ascii="Arial Black" w:hAnsi="Arial Black"/>
          <w:color w:val="auto"/>
          <w:sz w:val="24"/>
          <w:szCs w:val="24"/>
        </w:rPr>
        <w:t>–</w:t>
      </w:r>
      <w:r w:rsidRPr="004F1682">
        <w:rPr>
          <w:rFonts w:ascii="Arial Black" w:hAnsi="Arial Black"/>
          <w:color w:val="auto"/>
          <w:sz w:val="24"/>
          <w:szCs w:val="24"/>
        </w:rPr>
        <w:t xml:space="preserve"> Updates to the Implementation of Prescriber Requirements for Pharmacies</w:t>
      </w:r>
    </w:p>
    <w:p w14:paraId="63325BC5" w14:textId="6F835D8C" w:rsidR="004F1682" w:rsidRPr="004F1682" w:rsidRDefault="004F1682" w:rsidP="004F1682">
      <w:pPr>
        <w:pStyle w:val="BodyText1"/>
        <w:jc w:val="center"/>
        <w:rPr>
          <w:rFonts w:ascii="Arial Black" w:hAnsi="Arial Black"/>
          <w:color w:val="auto"/>
          <w:sz w:val="22"/>
          <w:szCs w:val="22"/>
        </w:rPr>
      </w:pPr>
      <w:r w:rsidRPr="004F1682">
        <w:rPr>
          <w:rFonts w:ascii="Arial Black" w:hAnsi="Arial Black"/>
          <w:color w:val="auto"/>
          <w:sz w:val="22"/>
          <w:szCs w:val="22"/>
        </w:rPr>
        <w:t>Delayed Start Date for Enforcing Prescriber Requirements for Pharmacies</w:t>
      </w:r>
    </w:p>
    <w:p w14:paraId="7ABE39DE" w14:textId="77777777" w:rsid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B387AB7" w14:textId="662DAF8E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77BC8">
        <w:rPr>
          <w:rFonts w:ascii="Arial" w:hAnsi="Arial" w:cs="Arial"/>
          <w:sz w:val="22"/>
          <w:szCs w:val="22"/>
        </w:rPr>
        <w:t>All Provider Bulletin</w:t>
      </w:r>
      <w:r w:rsidR="00C77BC8" w:rsidRPr="00C77BC8">
        <w:rPr>
          <w:rFonts w:ascii="Arial" w:hAnsi="Arial" w:cs="Arial"/>
          <w:sz w:val="22"/>
          <w:szCs w:val="22"/>
        </w:rPr>
        <w:t>s</w:t>
      </w:r>
      <w:r w:rsidRPr="00C77BC8">
        <w:rPr>
          <w:rFonts w:ascii="Arial" w:hAnsi="Arial" w:cs="Arial"/>
          <w:sz w:val="22"/>
          <w:szCs w:val="22"/>
        </w:rPr>
        <w:t xml:space="preserve"> (APB) </w:t>
      </w:r>
      <w:hyperlink r:id="rId12" w:history="1">
        <w:r w:rsidRPr="00C77BC8">
          <w:rPr>
            <w:rStyle w:val="Hyperlink"/>
            <w:rFonts w:ascii="Arial" w:hAnsi="Arial" w:cs="Arial"/>
            <w:sz w:val="22"/>
            <w:szCs w:val="22"/>
          </w:rPr>
          <w:t>361</w:t>
        </w:r>
      </w:hyperlink>
      <w:r w:rsidRPr="004F1682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4F1682">
          <w:rPr>
            <w:rStyle w:val="Hyperlink"/>
            <w:rFonts w:ascii="Arial" w:hAnsi="Arial" w:cs="Arial"/>
            <w:sz w:val="22"/>
            <w:szCs w:val="22"/>
          </w:rPr>
          <w:t>376</w:t>
        </w:r>
      </w:hyperlink>
      <w:r w:rsidRPr="004F1682">
        <w:rPr>
          <w:rFonts w:ascii="Arial" w:hAnsi="Arial" w:cs="Arial"/>
          <w:sz w:val="22"/>
          <w:szCs w:val="22"/>
        </w:rPr>
        <w:t xml:space="preserve"> announced the start dates for enforcing the ordering, referring, and prescribing (ORP) requirements, including</w:t>
      </w:r>
      <w:r w:rsidR="00594C24">
        <w:rPr>
          <w:rFonts w:ascii="Arial" w:hAnsi="Arial" w:cs="Arial"/>
          <w:sz w:val="22"/>
          <w:szCs w:val="22"/>
        </w:rPr>
        <w:t xml:space="preserve"> those</w:t>
      </w:r>
      <w:r w:rsidRPr="004F1682">
        <w:rPr>
          <w:rFonts w:ascii="Arial" w:hAnsi="Arial" w:cs="Arial"/>
          <w:sz w:val="22"/>
          <w:szCs w:val="22"/>
        </w:rPr>
        <w:t xml:space="preserve"> for pharmacy claims. </w:t>
      </w:r>
      <w:r w:rsidRPr="004F1682">
        <w:rPr>
          <w:rFonts w:ascii="Arial" w:hAnsi="Arial" w:cs="Arial"/>
          <w:sz w:val="22"/>
          <w:szCs w:val="22"/>
        </w:rPr>
        <w:br/>
      </w:r>
      <w:r w:rsidRPr="004F1682">
        <w:rPr>
          <w:rFonts w:ascii="Arial" w:hAnsi="Arial" w:cs="Arial"/>
          <w:sz w:val="22"/>
          <w:szCs w:val="22"/>
        </w:rPr>
        <w:br/>
        <w:t>Due to necessary system updates, the start date to enforce the requirement that claims processed by the Pharmacy Online Processing System (POPS) must include a prescriber who is actively enrolled with MassHealth will be delayed. This requirement will begin to be enforced for dates of service on or after May 1, 2024.</w:t>
      </w:r>
    </w:p>
    <w:p w14:paraId="20C895A0" w14:textId="77777777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A20D81E" w14:textId="2FB9A8C6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F1682">
        <w:rPr>
          <w:rFonts w:ascii="Arial" w:hAnsi="Arial" w:cs="Arial"/>
          <w:sz w:val="22"/>
          <w:szCs w:val="22"/>
        </w:rPr>
        <w:t xml:space="preserve">Pharmacies should continue to review informational messages related to this requirement to avoid ORP-related denials when </w:t>
      </w:r>
      <w:r w:rsidR="000D2854">
        <w:rPr>
          <w:rFonts w:ascii="Arial" w:hAnsi="Arial" w:cs="Arial"/>
          <w:sz w:val="22"/>
          <w:szCs w:val="22"/>
        </w:rPr>
        <w:t xml:space="preserve">the </w:t>
      </w:r>
      <w:r w:rsidRPr="004F1682">
        <w:rPr>
          <w:rFonts w:ascii="Arial" w:hAnsi="Arial" w:cs="Arial"/>
          <w:sz w:val="22"/>
          <w:szCs w:val="22"/>
        </w:rPr>
        <w:t xml:space="preserve">enforcement </w:t>
      </w:r>
      <w:r w:rsidR="000D2854">
        <w:rPr>
          <w:rFonts w:ascii="Arial" w:hAnsi="Arial" w:cs="Arial"/>
          <w:sz w:val="22"/>
          <w:szCs w:val="22"/>
        </w:rPr>
        <w:t>takes effect</w:t>
      </w:r>
      <w:r w:rsidRPr="004F1682">
        <w:rPr>
          <w:rFonts w:ascii="Arial" w:hAnsi="Arial" w:cs="Arial"/>
          <w:sz w:val="22"/>
          <w:szCs w:val="22"/>
        </w:rPr>
        <w:t>.</w:t>
      </w:r>
    </w:p>
    <w:p w14:paraId="690FCB31" w14:textId="77777777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sz w:val="22"/>
          <w:szCs w:val="22"/>
          <w:u w:val="thick"/>
        </w:rPr>
      </w:pPr>
    </w:p>
    <w:p w14:paraId="1DF2FDE8" w14:textId="3E43E4DC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4F1682">
        <w:rPr>
          <w:rFonts w:ascii="Arial" w:hAnsi="Arial" w:cs="Arial"/>
          <w:bCs/>
          <w:iCs/>
          <w:sz w:val="22"/>
          <w:szCs w:val="22"/>
        </w:rPr>
        <w:t>ORP requirements arise under federal law, Section 6401(b) of the Affordable Care Act (ACA). If MassHealth requires a service to be ordered, referred, or prescribed, then ACA Section 6401(b) requires the ORP provider</w:t>
      </w:r>
      <w:r w:rsidR="00E54319">
        <w:rPr>
          <w:rFonts w:ascii="Arial" w:hAnsi="Arial" w:cs="Arial"/>
          <w:bCs/>
          <w:iCs/>
          <w:sz w:val="22"/>
          <w:szCs w:val="22"/>
        </w:rPr>
        <w:t xml:space="preserve"> to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be enrolled with MassHealth as a fully participating provider or as a </w:t>
      </w:r>
      <w:proofErr w:type="spellStart"/>
      <w:r w:rsidRPr="004F1682">
        <w:rPr>
          <w:rFonts w:ascii="Arial" w:hAnsi="Arial" w:cs="Arial"/>
          <w:bCs/>
          <w:iCs/>
          <w:sz w:val="22"/>
          <w:szCs w:val="22"/>
        </w:rPr>
        <w:t>nonbilling</w:t>
      </w:r>
      <w:proofErr w:type="spellEnd"/>
      <w:r w:rsidRPr="004F1682">
        <w:rPr>
          <w:rFonts w:ascii="Arial" w:hAnsi="Arial" w:cs="Arial"/>
          <w:bCs/>
          <w:iCs/>
          <w:sz w:val="22"/>
          <w:szCs w:val="22"/>
        </w:rPr>
        <w:t xml:space="preserve"> provider</w:t>
      </w:r>
      <w:r w:rsidR="000801B9">
        <w:rPr>
          <w:rFonts w:ascii="Arial" w:hAnsi="Arial" w:cs="Arial"/>
          <w:bCs/>
          <w:iCs/>
          <w:sz w:val="22"/>
          <w:szCs w:val="22"/>
        </w:rPr>
        <w:t xml:space="preserve">; </w:t>
      </w:r>
      <w:r w:rsidR="00E54319">
        <w:rPr>
          <w:rFonts w:ascii="Arial" w:hAnsi="Arial" w:cs="Arial"/>
          <w:bCs/>
          <w:iCs/>
          <w:sz w:val="22"/>
          <w:szCs w:val="22"/>
        </w:rPr>
        <w:t>to be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an authorized ORP provider type as described on page 2 of </w:t>
      </w:r>
      <w:hyperlink r:id="rId14" w:history="1">
        <w:r w:rsidRPr="004F1682">
          <w:rPr>
            <w:rStyle w:val="Hyperlink"/>
            <w:rFonts w:ascii="Arial" w:hAnsi="Arial" w:cs="Arial"/>
            <w:bCs/>
            <w:iCs/>
            <w:sz w:val="22"/>
            <w:szCs w:val="22"/>
          </w:rPr>
          <w:t>APB 286</w:t>
        </w:r>
      </w:hyperlink>
      <w:r w:rsidR="000801B9">
        <w:rPr>
          <w:rFonts w:ascii="Arial" w:hAnsi="Arial" w:cs="Arial"/>
          <w:bCs/>
          <w:iCs/>
          <w:sz w:val="22"/>
          <w:szCs w:val="22"/>
        </w:rPr>
        <w:t>;</w:t>
      </w:r>
      <w:r w:rsidR="000801B9" w:rsidRPr="004F168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E54319">
        <w:rPr>
          <w:rFonts w:ascii="Arial" w:hAnsi="Arial" w:cs="Arial"/>
          <w:bCs/>
          <w:iCs/>
          <w:sz w:val="22"/>
          <w:szCs w:val="22"/>
        </w:rPr>
        <w:t>to have their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</w:t>
      </w:r>
      <w:r w:rsidR="000801B9">
        <w:rPr>
          <w:rFonts w:ascii="Arial" w:hAnsi="Arial" w:cs="Arial"/>
          <w:bCs/>
          <w:iCs/>
          <w:sz w:val="22"/>
          <w:szCs w:val="22"/>
        </w:rPr>
        <w:t>National Provider Identifier (</w:t>
      </w:r>
      <w:r w:rsidRPr="004F1682">
        <w:rPr>
          <w:rFonts w:ascii="Arial" w:hAnsi="Arial" w:cs="Arial"/>
          <w:bCs/>
          <w:iCs/>
          <w:sz w:val="22"/>
          <w:szCs w:val="22"/>
        </w:rPr>
        <w:t>NPI</w:t>
      </w:r>
      <w:r w:rsidR="000801B9">
        <w:rPr>
          <w:rFonts w:ascii="Arial" w:hAnsi="Arial" w:cs="Arial"/>
          <w:bCs/>
          <w:iCs/>
          <w:sz w:val="22"/>
          <w:szCs w:val="22"/>
        </w:rPr>
        <w:t>)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on the claim. This means that (1) a prescriber of a drug or of medical equipment/supplies for a MassHealth </w:t>
      </w:r>
      <w:r w:rsidR="000801B9">
        <w:rPr>
          <w:rFonts w:ascii="Arial" w:hAnsi="Arial" w:cs="Arial"/>
          <w:bCs/>
          <w:iCs/>
          <w:sz w:val="22"/>
          <w:szCs w:val="22"/>
        </w:rPr>
        <w:t>f</w:t>
      </w:r>
      <w:r w:rsidR="000801B9" w:rsidRPr="004F1682">
        <w:rPr>
          <w:rFonts w:ascii="Arial" w:hAnsi="Arial" w:cs="Arial"/>
          <w:bCs/>
          <w:iCs/>
          <w:sz w:val="22"/>
          <w:szCs w:val="22"/>
        </w:rPr>
        <w:t>ee</w:t>
      </w:r>
      <w:r w:rsidR="000801B9">
        <w:rPr>
          <w:rFonts w:ascii="Arial" w:hAnsi="Arial" w:cs="Arial"/>
          <w:bCs/>
          <w:iCs/>
          <w:sz w:val="22"/>
          <w:szCs w:val="22"/>
        </w:rPr>
        <w:t>-</w:t>
      </w:r>
      <w:r w:rsidRPr="004F1682">
        <w:rPr>
          <w:rFonts w:ascii="Arial" w:hAnsi="Arial" w:cs="Arial"/>
          <w:bCs/>
          <w:iCs/>
          <w:sz w:val="22"/>
          <w:szCs w:val="22"/>
        </w:rPr>
        <w:t>for</w:t>
      </w:r>
      <w:r w:rsidR="000801B9">
        <w:rPr>
          <w:rFonts w:ascii="Arial" w:hAnsi="Arial" w:cs="Arial"/>
          <w:bCs/>
          <w:iCs/>
          <w:sz w:val="22"/>
          <w:szCs w:val="22"/>
        </w:rPr>
        <w:t>-s</w:t>
      </w:r>
      <w:r w:rsidRPr="004F1682">
        <w:rPr>
          <w:rFonts w:ascii="Arial" w:hAnsi="Arial" w:cs="Arial"/>
          <w:bCs/>
          <w:iCs/>
          <w:sz w:val="22"/>
          <w:szCs w:val="22"/>
        </w:rPr>
        <w:t>ervice, Primary Care Accountable Care Organization</w:t>
      </w:r>
      <w:r w:rsidR="00594C24">
        <w:rPr>
          <w:rFonts w:ascii="Arial" w:hAnsi="Arial" w:cs="Arial"/>
          <w:bCs/>
          <w:iCs/>
          <w:sz w:val="22"/>
          <w:szCs w:val="22"/>
        </w:rPr>
        <w:t>,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or Primary Care Clinician</w:t>
      </w:r>
      <w:r w:rsidR="008D096F">
        <w:rPr>
          <w:rFonts w:ascii="Arial" w:hAnsi="Arial" w:cs="Arial"/>
          <w:bCs/>
          <w:iCs/>
          <w:sz w:val="22"/>
          <w:szCs w:val="22"/>
        </w:rPr>
        <w:t xml:space="preserve"> Plan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member</w:t>
      </w:r>
      <w:r w:rsidR="008D096F">
        <w:rPr>
          <w:rFonts w:ascii="Arial" w:hAnsi="Arial" w:cs="Arial"/>
          <w:bCs/>
          <w:iCs/>
          <w:sz w:val="22"/>
          <w:szCs w:val="22"/>
        </w:rPr>
        <w:t>,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will be required to be enrolled as a MassHealth provider, and (2) the pharmacy provider must include the prescriber’s NPI on the claim. </w:t>
      </w:r>
    </w:p>
    <w:p w14:paraId="0E035E5D" w14:textId="77777777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3247C84A" w14:textId="7CF2ED58" w:rsidR="004F1682" w:rsidRPr="004F1682" w:rsidRDefault="004F1682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4F1682">
        <w:rPr>
          <w:rFonts w:ascii="Arial" w:hAnsi="Arial" w:cs="Arial"/>
          <w:bCs/>
          <w:iCs/>
          <w:sz w:val="22"/>
          <w:szCs w:val="22"/>
        </w:rPr>
        <w:t xml:space="preserve">Pharmacists eligible to prescribe are subject to the same ORP requirements for MassHealth claims. Pharmacists who are eligible to prescribe can participate in MassHealth </w:t>
      </w:r>
      <w:r w:rsidR="008D096F" w:rsidRPr="004F1682">
        <w:rPr>
          <w:rFonts w:ascii="Arial" w:hAnsi="Arial" w:cs="Arial"/>
          <w:bCs/>
          <w:iCs/>
          <w:sz w:val="22"/>
          <w:szCs w:val="22"/>
        </w:rPr>
        <w:t xml:space="preserve">only 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as nonbilling providers, and should visit the </w:t>
      </w:r>
      <w:hyperlink r:id="rId15" w:history="1">
        <w:r w:rsidRPr="004F1682">
          <w:rPr>
            <w:rStyle w:val="Hyperlink"/>
            <w:rFonts w:ascii="Arial" w:hAnsi="Arial" w:cs="Arial"/>
            <w:bCs/>
            <w:iCs/>
            <w:sz w:val="22"/>
            <w:szCs w:val="22"/>
          </w:rPr>
          <w:t>MassHealth website</w:t>
        </w:r>
      </w:hyperlink>
      <w:r w:rsidRPr="004F1682">
        <w:rPr>
          <w:rFonts w:ascii="Arial" w:hAnsi="Arial" w:cs="Arial"/>
          <w:bCs/>
          <w:iCs/>
          <w:sz w:val="22"/>
          <w:szCs w:val="22"/>
        </w:rPr>
        <w:t xml:space="preserve"> for more information on enrolling, or contact MassHealth Customer Service </w:t>
      </w:r>
      <w:r w:rsidR="008D096F">
        <w:rPr>
          <w:rFonts w:ascii="Arial" w:hAnsi="Arial" w:cs="Arial"/>
          <w:bCs/>
          <w:iCs/>
          <w:sz w:val="22"/>
          <w:szCs w:val="22"/>
        </w:rPr>
        <w:t>at</w:t>
      </w:r>
      <w:r w:rsidRPr="004F1682">
        <w:rPr>
          <w:rFonts w:ascii="Arial" w:hAnsi="Arial" w:cs="Arial"/>
          <w:bCs/>
          <w:iCs/>
          <w:sz w:val="22"/>
          <w:szCs w:val="22"/>
        </w:rPr>
        <w:t xml:space="preserve"> </w:t>
      </w:r>
      <w:r w:rsidR="00C510F9">
        <w:rPr>
          <w:rFonts w:ascii="Arial" w:hAnsi="Arial" w:cs="Arial"/>
          <w:bCs/>
          <w:iCs/>
          <w:sz w:val="22"/>
          <w:szCs w:val="22"/>
        </w:rPr>
        <w:t>(</w:t>
      </w:r>
      <w:r w:rsidRPr="004F1682">
        <w:rPr>
          <w:rFonts w:ascii="Arial" w:hAnsi="Arial" w:cs="Arial"/>
          <w:bCs/>
          <w:iCs/>
          <w:sz w:val="22"/>
          <w:szCs w:val="22"/>
        </w:rPr>
        <w:t>800</w:t>
      </w:r>
      <w:r w:rsidR="00C510F9">
        <w:rPr>
          <w:rFonts w:ascii="Arial" w:hAnsi="Arial" w:cs="Arial"/>
          <w:bCs/>
          <w:iCs/>
          <w:sz w:val="22"/>
          <w:szCs w:val="22"/>
        </w:rPr>
        <w:t>)</w:t>
      </w:r>
      <w:r w:rsidR="008D096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F1682">
        <w:rPr>
          <w:rFonts w:ascii="Arial" w:hAnsi="Arial" w:cs="Arial"/>
          <w:bCs/>
          <w:iCs/>
          <w:sz w:val="22"/>
          <w:szCs w:val="22"/>
        </w:rPr>
        <w:t>841-2900</w:t>
      </w:r>
      <w:r w:rsidR="00C510F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C510F9" w:rsidRPr="00C510F9">
        <w:rPr>
          <w:rFonts w:ascii="Arial" w:hAnsi="Arial" w:cs="Arial"/>
          <w:bCs/>
          <w:iCs/>
          <w:sz w:val="22"/>
          <w:szCs w:val="22"/>
        </w:rPr>
        <w:t>TDD/TTY: 711</w:t>
      </w:r>
      <w:r w:rsidRPr="004F1682">
        <w:rPr>
          <w:rFonts w:ascii="Arial" w:hAnsi="Arial" w:cs="Arial"/>
          <w:bCs/>
          <w:iCs/>
          <w:sz w:val="22"/>
          <w:szCs w:val="22"/>
        </w:rPr>
        <w:t>. Pharmacists must possess a valid NPI to enroll.</w:t>
      </w:r>
    </w:p>
    <w:p w14:paraId="1E0F61C7" w14:textId="39CA5C4B" w:rsidR="009D6AAA" w:rsidRPr="004F1682" w:rsidRDefault="00861844" w:rsidP="004F168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D7369">
        <w:rPr>
          <w:rFonts w:ascii="Arial" w:hAnsi="Arial" w:cs="Arial"/>
          <w:sz w:val="22"/>
          <w:szCs w:val="22"/>
        </w:rPr>
        <w:br/>
      </w:r>
      <w:r w:rsidR="008D096F">
        <w:rPr>
          <w:rFonts w:ascii="Arial" w:hAnsi="Arial" w:cs="Arial"/>
          <w:sz w:val="22"/>
          <w:szCs w:val="22"/>
        </w:rPr>
        <w:t xml:space="preserve"> </w:t>
      </w:r>
    </w:p>
    <w:sectPr w:rsidR="009D6AAA" w:rsidRPr="004F1682" w:rsidSect="004F1682"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047D" w14:textId="77777777" w:rsidR="00824ABA" w:rsidRDefault="00824ABA" w:rsidP="00492602">
      <w:r>
        <w:separator/>
      </w:r>
    </w:p>
  </w:endnote>
  <w:endnote w:type="continuationSeparator" w:id="0">
    <w:p w14:paraId="4844D45F" w14:textId="77777777" w:rsidR="00824ABA" w:rsidRDefault="00824ABA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000000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 w:rsidR="00A330FD"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CA92" w14:textId="77777777" w:rsidR="00824ABA" w:rsidRDefault="00824ABA" w:rsidP="00492602">
      <w:r>
        <w:separator/>
      </w:r>
    </w:p>
  </w:footnote>
  <w:footnote w:type="continuationSeparator" w:id="0">
    <w:p w14:paraId="28E6D253" w14:textId="77777777" w:rsidR="00824ABA" w:rsidRDefault="00824ABA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4"/>
  </w:num>
  <w:num w:numId="2" w16cid:durableId="177275884">
    <w:abstractNumId w:val="6"/>
  </w:num>
  <w:num w:numId="3" w16cid:durableId="1256865367">
    <w:abstractNumId w:val="7"/>
  </w:num>
  <w:num w:numId="4" w16cid:durableId="1261255442">
    <w:abstractNumId w:val="2"/>
  </w:num>
  <w:num w:numId="5" w16cid:durableId="2115860523">
    <w:abstractNumId w:val="3"/>
  </w:num>
  <w:num w:numId="6" w16cid:durableId="519122462">
    <w:abstractNumId w:val="5"/>
  </w:num>
  <w:num w:numId="7" w16cid:durableId="30572276">
    <w:abstractNumId w:val="8"/>
  </w:num>
  <w:num w:numId="8" w16cid:durableId="360130868">
    <w:abstractNumId w:val="1"/>
  </w:num>
  <w:num w:numId="9" w16cid:durableId="146003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65861"/>
    <w:rsid w:val="00074014"/>
    <w:rsid w:val="000801B9"/>
    <w:rsid w:val="00081E8E"/>
    <w:rsid w:val="000B340B"/>
    <w:rsid w:val="000D1502"/>
    <w:rsid w:val="000D2854"/>
    <w:rsid w:val="0010367D"/>
    <w:rsid w:val="00137D3D"/>
    <w:rsid w:val="00140D08"/>
    <w:rsid w:val="00147437"/>
    <w:rsid w:val="00157A49"/>
    <w:rsid w:val="001721D8"/>
    <w:rsid w:val="00183133"/>
    <w:rsid w:val="0018357E"/>
    <w:rsid w:val="001864A9"/>
    <w:rsid w:val="001A6453"/>
    <w:rsid w:val="001C1481"/>
    <w:rsid w:val="001C17CD"/>
    <w:rsid w:val="001E0E7A"/>
    <w:rsid w:val="001F701D"/>
    <w:rsid w:val="002509E9"/>
    <w:rsid w:val="00276F3A"/>
    <w:rsid w:val="00286CBE"/>
    <w:rsid w:val="00294D12"/>
    <w:rsid w:val="002A15C5"/>
    <w:rsid w:val="002C3773"/>
    <w:rsid w:val="002C54C4"/>
    <w:rsid w:val="002C7C67"/>
    <w:rsid w:val="002D390F"/>
    <w:rsid w:val="002D738C"/>
    <w:rsid w:val="003152DA"/>
    <w:rsid w:val="0033053B"/>
    <w:rsid w:val="00360067"/>
    <w:rsid w:val="0036343A"/>
    <w:rsid w:val="0037373E"/>
    <w:rsid w:val="00381A1E"/>
    <w:rsid w:val="00382054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95FB2"/>
    <w:rsid w:val="004A3BAA"/>
    <w:rsid w:val="004A7395"/>
    <w:rsid w:val="004C4924"/>
    <w:rsid w:val="004F1682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4C24"/>
    <w:rsid w:val="005958DD"/>
    <w:rsid w:val="005A57BA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86E"/>
    <w:rsid w:val="006D3B5F"/>
    <w:rsid w:val="006E0C20"/>
    <w:rsid w:val="006E22A3"/>
    <w:rsid w:val="006F35F9"/>
    <w:rsid w:val="007319D7"/>
    <w:rsid w:val="00731FAF"/>
    <w:rsid w:val="007326EC"/>
    <w:rsid w:val="007426BF"/>
    <w:rsid w:val="00760FDF"/>
    <w:rsid w:val="007749F4"/>
    <w:rsid w:val="007757E7"/>
    <w:rsid w:val="007A41F5"/>
    <w:rsid w:val="007B7425"/>
    <w:rsid w:val="007C290F"/>
    <w:rsid w:val="007F5417"/>
    <w:rsid w:val="00812480"/>
    <w:rsid w:val="00821937"/>
    <w:rsid w:val="00824ABA"/>
    <w:rsid w:val="008403CA"/>
    <w:rsid w:val="0085395A"/>
    <w:rsid w:val="00853F8E"/>
    <w:rsid w:val="00857809"/>
    <w:rsid w:val="00861844"/>
    <w:rsid w:val="00872E7F"/>
    <w:rsid w:val="00880FA9"/>
    <w:rsid w:val="008930F1"/>
    <w:rsid w:val="00893F45"/>
    <w:rsid w:val="008978FF"/>
    <w:rsid w:val="008C5414"/>
    <w:rsid w:val="008D096F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510F9"/>
    <w:rsid w:val="00C671DE"/>
    <w:rsid w:val="00C77BC8"/>
    <w:rsid w:val="00C813E8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DD5509"/>
    <w:rsid w:val="00E24139"/>
    <w:rsid w:val="00E54319"/>
    <w:rsid w:val="00E60ABB"/>
    <w:rsid w:val="00E67713"/>
    <w:rsid w:val="00E92E47"/>
    <w:rsid w:val="00E9576D"/>
    <w:rsid w:val="00EC08AC"/>
    <w:rsid w:val="00EC2856"/>
    <w:rsid w:val="00EF7C8A"/>
    <w:rsid w:val="00F03AE8"/>
    <w:rsid w:val="00F053E2"/>
    <w:rsid w:val="00F10CF9"/>
    <w:rsid w:val="00F25E7F"/>
    <w:rsid w:val="00F76D69"/>
    <w:rsid w:val="00F906CF"/>
    <w:rsid w:val="00F9387A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C2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94C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4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C2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4C2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D0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ss.gov/doc/all-provider-bulletin-376-updates-to-the-implementation-of-ordering-referring-and-prescribing-requirements-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361-start-dates-for-enforcing-ordering-referring-and-prescribing-requirements-0/downl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how-to/how-to-enroll-to-be-a-masshealth-orp-provider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doc/all-provider-bulletin-286-start-date-for-denials-for-claims-that-do-not-meet-ordering-0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2198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2023-10-26T15:25:00Z</dcterms:created>
  <dcterms:modified xsi:type="dcterms:W3CDTF">2023-10-26T15:25:00Z</dcterms:modified>
</cp:coreProperties>
</file>