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8BE7" w14:textId="74310D3A" w:rsidR="007E4380" w:rsidRPr="002F67A7" w:rsidRDefault="007E4380" w:rsidP="007E4380">
      <w:pPr>
        <w:pStyle w:val="Noparagraphstyle"/>
        <w:rPr>
          <w:rFonts w:ascii="Arial Narrow" w:hAnsi="Arial Narrow"/>
          <w:b/>
          <w:color w:val="000000" w:themeColor="text1"/>
          <w:sz w:val="20"/>
          <w:szCs w:val="20"/>
        </w:rPr>
      </w:pPr>
      <w:r w:rsidRPr="002F67A7">
        <w:rPr>
          <w:rFonts w:ascii="Arial Narrow" w:hAnsi="Arial Narrow"/>
          <w:b/>
          <w:color w:val="000000" w:themeColor="text1"/>
          <w:sz w:val="20"/>
          <w:szCs w:val="20"/>
        </w:rPr>
        <w:t xml:space="preserve">Number </w:t>
      </w:r>
      <w:r w:rsidR="0098044D">
        <w:rPr>
          <w:rFonts w:ascii="Arial Narrow" w:hAnsi="Arial Narrow"/>
          <w:b/>
          <w:color w:val="000000" w:themeColor="text1"/>
          <w:sz w:val="20"/>
          <w:szCs w:val="20"/>
        </w:rPr>
        <w:t>219</w:t>
      </w:r>
      <w:r w:rsidRPr="002F67A7">
        <w:rPr>
          <w:rFonts w:ascii="Arial Narrow" w:hAnsi="Arial Narrow"/>
          <w:b/>
          <w:color w:val="000000" w:themeColor="text1"/>
          <w:sz w:val="20"/>
          <w:szCs w:val="20"/>
        </w:rPr>
        <w:t xml:space="preserve">, </w:t>
      </w:r>
      <w:r w:rsidR="00FD4591">
        <w:rPr>
          <w:rFonts w:ascii="Arial Narrow" w:hAnsi="Arial Narrow"/>
          <w:b/>
          <w:color w:val="000000" w:themeColor="text1"/>
          <w:sz w:val="20"/>
          <w:szCs w:val="20"/>
        </w:rPr>
        <w:t>December</w:t>
      </w:r>
      <w:r w:rsidR="0093747E" w:rsidRPr="002F67A7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="0098044D">
        <w:rPr>
          <w:rFonts w:ascii="Arial Narrow" w:hAnsi="Arial Narrow"/>
          <w:b/>
          <w:color w:val="000000" w:themeColor="text1"/>
          <w:sz w:val="20"/>
          <w:szCs w:val="20"/>
        </w:rPr>
        <w:t>29</w:t>
      </w:r>
      <w:r w:rsidR="00EB0434">
        <w:rPr>
          <w:rFonts w:ascii="Arial Narrow" w:hAnsi="Arial Narrow"/>
          <w:b/>
          <w:color w:val="000000" w:themeColor="text1"/>
          <w:sz w:val="20"/>
          <w:szCs w:val="20"/>
        </w:rPr>
        <w:t>,</w:t>
      </w:r>
      <w:r w:rsidR="0093747E" w:rsidRPr="002F67A7">
        <w:rPr>
          <w:rFonts w:ascii="Arial Narrow" w:hAnsi="Arial Narrow"/>
          <w:b/>
          <w:color w:val="000000" w:themeColor="text1"/>
          <w:sz w:val="20"/>
          <w:szCs w:val="20"/>
        </w:rPr>
        <w:t xml:space="preserve"> 2023</w:t>
      </w:r>
    </w:p>
    <w:p w14:paraId="5B1A8BE8" w14:textId="22449C0E" w:rsidR="006F35F9" w:rsidRPr="00D83442" w:rsidRDefault="007A45F9" w:rsidP="00E44D32">
      <w:pPr>
        <w:tabs>
          <w:tab w:val="left" w:pos="10530"/>
        </w:tabs>
        <w:spacing w:after="240"/>
        <w:ind w:left="-144" w:right="720"/>
        <w:rPr>
          <w:rFonts w:ascii="Arial" w:hAnsi="Arial" w:cs="Arial"/>
          <w:color w:val="000000"/>
          <w:sz w:val="21"/>
          <w:szCs w:val="21"/>
        </w:rPr>
        <w:sectPr w:rsidR="006F35F9" w:rsidRPr="00D83442" w:rsidSect="00AC68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360" w:right="907" w:bottom="446" w:left="907" w:header="0" w:footer="288" w:gutter="0"/>
          <w:cols w:space="720"/>
          <w:titlePg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D239BDA" wp14:editId="12332420">
            <wp:extent cx="6620510" cy="1694079"/>
            <wp:effectExtent l="0" t="0" r="0" b="1905"/>
            <wp:docPr id="11213198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198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169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8D024" w14:textId="3B93CDBC" w:rsidR="000160F6" w:rsidRPr="009D3EE3" w:rsidRDefault="000160F6" w:rsidP="009D3EE3">
      <w:pPr>
        <w:pStyle w:val="Heading1"/>
      </w:pPr>
      <w:r w:rsidRPr="009D3EE3">
        <w:t>MassHealth</w:t>
      </w:r>
      <w:r>
        <w:t xml:space="preserve"> Pharmacy Regulation Changes</w:t>
      </w:r>
    </w:p>
    <w:p w14:paraId="35F6E5DE" w14:textId="72590AD0" w:rsidR="000160F6" w:rsidRDefault="000160F6" w:rsidP="008043CD">
      <w:pPr>
        <w:pStyle w:val="Default"/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This Pharmacy Facts describes revisions to the pharmacy regulations at </w:t>
      </w:r>
      <w:r w:rsidR="0085334F">
        <w:rPr>
          <w:rFonts w:ascii="Arial" w:hAnsi="Arial" w:cs="Arial"/>
          <w:color w:val="auto"/>
          <w:sz w:val="22"/>
          <w:szCs w:val="22"/>
        </w:rPr>
        <w:t>130 CMR 406.000</w:t>
      </w:r>
      <w:r w:rsidR="004277BA">
        <w:rPr>
          <w:rFonts w:ascii="Arial" w:hAnsi="Arial" w:cs="Arial"/>
          <w:color w:val="auto"/>
          <w:sz w:val="22"/>
          <w:szCs w:val="22"/>
        </w:rPr>
        <w:t xml:space="preserve">: </w:t>
      </w:r>
      <w:r w:rsidR="004277BA" w:rsidRPr="00EB0434">
        <w:rPr>
          <w:rFonts w:ascii="Arial" w:hAnsi="Arial" w:cs="Arial"/>
          <w:i/>
          <w:iCs/>
          <w:color w:val="auto"/>
          <w:sz w:val="22"/>
          <w:szCs w:val="22"/>
        </w:rPr>
        <w:t>Pharmacy Services</w:t>
      </w:r>
      <w:r w:rsidR="004277BA">
        <w:rPr>
          <w:rFonts w:ascii="Arial" w:hAnsi="Arial" w:cs="Arial"/>
          <w:color w:val="auto"/>
          <w:sz w:val="22"/>
          <w:szCs w:val="22"/>
        </w:rPr>
        <w:t>,</w:t>
      </w:r>
      <w:r w:rsidR="0085334F">
        <w:rPr>
          <w:rFonts w:ascii="Arial" w:hAnsi="Arial" w:cs="Arial"/>
          <w:color w:val="auto"/>
          <w:sz w:val="22"/>
          <w:szCs w:val="22"/>
        </w:rPr>
        <w:t xml:space="preserve"> effective January 1, 2024. These revisions </w:t>
      </w:r>
      <w:r w:rsidR="006E25FC">
        <w:rPr>
          <w:rFonts w:ascii="Arial" w:hAnsi="Arial" w:cs="Arial"/>
          <w:color w:val="auto"/>
          <w:sz w:val="22"/>
          <w:szCs w:val="22"/>
        </w:rPr>
        <w:t>provide coverage for drugs used for the treatment of obesity</w:t>
      </w:r>
      <w:r w:rsidR="00615922">
        <w:rPr>
          <w:rFonts w:ascii="Arial" w:hAnsi="Arial" w:cs="Arial"/>
          <w:color w:val="auto"/>
          <w:sz w:val="22"/>
          <w:szCs w:val="22"/>
        </w:rPr>
        <w:t xml:space="preserve">, </w:t>
      </w:r>
      <w:r w:rsidR="0085334F">
        <w:rPr>
          <w:rFonts w:ascii="Arial" w:hAnsi="Arial" w:cs="Arial"/>
          <w:color w:val="auto"/>
          <w:sz w:val="22"/>
          <w:szCs w:val="22"/>
        </w:rPr>
        <w:t>implement new policies</w:t>
      </w:r>
      <w:r w:rsidR="00E95527">
        <w:rPr>
          <w:rFonts w:ascii="Arial" w:hAnsi="Arial" w:cs="Arial"/>
          <w:color w:val="auto"/>
          <w:sz w:val="22"/>
          <w:szCs w:val="22"/>
        </w:rPr>
        <w:t xml:space="preserve"> to address </w:t>
      </w:r>
      <w:r w:rsidR="00FB655D">
        <w:rPr>
          <w:rFonts w:ascii="Arial" w:hAnsi="Arial" w:cs="Arial"/>
          <w:color w:val="auto"/>
          <w:sz w:val="22"/>
          <w:szCs w:val="22"/>
        </w:rPr>
        <w:t>step therapy protocol exceptions</w:t>
      </w:r>
      <w:r w:rsidR="00615922">
        <w:rPr>
          <w:rFonts w:ascii="Arial" w:hAnsi="Arial" w:cs="Arial"/>
          <w:color w:val="auto"/>
          <w:sz w:val="22"/>
          <w:szCs w:val="22"/>
        </w:rPr>
        <w:t>,</w:t>
      </w:r>
      <w:r w:rsidR="00074574">
        <w:rPr>
          <w:rFonts w:ascii="Arial" w:hAnsi="Arial" w:cs="Arial"/>
          <w:color w:val="auto"/>
          <w:sz w:val="22"/>
          <w:szCs w:val="22"/>
        </w:rPr>
        <w:t xml:space="preserve"> and </w:t>
      </w:r>
      <w:r w:rsidR="00BA14C5">
        <w:rPr>
          <w:rFonts w:ascii="Arial" w:hAnsi="Arial" w:cs="Arial"/>
          <w:color w:val="auto"/>
          <w:sz w:val="22"/>
          <w:szCs w:val="22"/>
        </w:rPr>
        <w:t>include language regarding state requirements around prospective drug review and counseling</w:t>
      </w:r>
      <w:r w:rsidR="00FB655D">
        <w:rPr>
          <w:rFonts w:ascii="Arial" w:hAnsi="Arial" w:cs="Arial"/>
          <w:color w:val="auto"/>
          <w:sz w:val="22"/>
          <w:szCs w:val="22"/>
        </w:rPr>
        <w:t xml:space="preserve">. Amendments </w:t>
      </w:r>
      <w:r w:rsidR="007610B4">
        <w:rPr>
          <w:rFonts w:ascii="Arial" w:hAnsi="Arial" w:cs="Arial"/>
          <w:color w:val="auto"/>
          <w:sz w:val="22"/>
          <w:szCs w:val="22"/>
        </w:rPr>
        <w:t>were made to clarify or update</w:t>
      </w:r>
      <w:r w:rsidR="004277BA">
        <w:rPr>
          <w:rFonts w:ascii="Arial" w:hAnsi="Arial" w:cs="Arial"/>
          <w:color w:val="auto"/>
          <w:sz w:val="22"/>
          <w:szCs w:val="22"/>
        </w:rPr>
        <w:t xml:space="preserve"> </w:t>
      </w:r>
      <w:r w:rsidR="007610B4">
        <w:rPr>
          <w:rFonts w:ascii="Arial" w:hAnsi="Arial" w:cs="Arial"/>
          <w:color w:val="auto"/>
          <w:sz w:val="22"/>
          <w:szCs w:val="22"/>
        </w:rPr>
        <w:t>existing policies</w:t>
      </w:r>
      <w:r w:rsidR="004277BA">
        <w:rPr>
          <w:rFonts w:ascii="Arial" w:hAnsi="Arial" w:cs="Arial"/>
          <w:color w:val="auto"/>
          <w:sz w:val="22"/>
          <w:szCs w:val="22"/>
        </w:rPr>
        <w:t xml:space="preserve">. This includes </w:t>
      </w:r>
      <w:r w:rsidR="003F1290">
        <w:rPr>
          <w:rFonts w:ascii="Arial" w:hAnsi="Arial" w:cs="Arial"/>
          <w:color w:val="auto"/>
          <w:sz w:val="22"/>
          <w:szCs w:val="22"/>
        </w:rPr>
        <w:t xml:space="preserve"> </w:t>
      </w:r>
      <w:r w:rsidR="00273035">
        <w:rPr>
          <w:rFonts w:ascii="Arial" w:hAnsi="Arial" w:cs="Arial"/>
          <w:color w:val="auto"/>
          <w:sz w:val="22"/>
          <w:szCs w:val="22"/>
        </w:rPr>
        <w:t xml:space="preserve">updating language about </w:t>
      </w:r>
      <w:r w:rsidR="004277BA">
        <w:rPr>
          <w:rFonts w:ascii="Arial" w:hAnsi="Arial" w:cs="Arial"/>
          <w:color w:val="auto"/>
          <w:sz w:val="22"/>
          <w:szCs w:val="22"/>
        </w:rPr>
        <w:t>f</w:t>
      </w:r>
      <w:r w:rsidR="00273035">
        <w:rPr>
          <w:rFonts w:ascii="Arial" w:hAnsi="Arial" w:cs="Arial"/>
          <w:color w:val="auto"/>
          <w:sz w:val="22"/>
          <w:szCs w:val="22"/>
        </w:rPr>
        <w:t xml:space="preserve">ertility </w:t>
      </w:r>
      <w:r w:rsidR="004277BA">
        <w:rPr>
          <w:rFonts w:ascii="Arial" w:hAnsi="Arial" w:cs="Arial"/>
          <w:color w:val="auto"/>
          <w:sz w:val="22"/>
          <w:szCs w:val="22"/>
        </w:rPr>
        <w:t>d</w:t>
      </w:r>
      <w:r w:rsidR="00273035">
        <w:rPr>
          <w:rFonts w:ascii="Arial" w:hAnsi="Arial" w:cs="Arial"/>
          <w:color w:val="auto"/>
          <w:sz w:val="22"/>
          <w:szCs w:val="22"/>
        </w:rPr>
        <w:t xml:space="preserve">rugs and </w:t>
      </w:r>
      <w:r w:rsidR="004277BA">
        <w:rPr>
          <w:rFonts w:ascii="Arial" w:hAnsi="Arial" w:cs="Arial"/>
          <w:color w:val="auto"/>
          <w:sz w:val="22"/>
          <w:szCs w:val="22"/>
        </w:rPr>
        <w:t>d</w:t>
      </w:r>
      <w:r w:rsidR="00273035">
        <w:rPr>
          <w:rFonts w:ascii="Arial" w:hAnsi="Arial" w:cs="Arial"/>
          <w:color w:val="auto"/>
          <w:sz w:val="22"/>
          <w:szCs w:val="22"/>
        </w:rPr>
        <w:t xml:space="preserve">rugs for </w:t>
      </w:r>
      <w:r w:rsidR="004277BA">
        <w:rPr>
          <w:rFonts w:ascii="Arial" w:hAnsi="Arial" w:cs="Arial"/>
          <w:color w:val="auto"/>
          <w:sz w:val="22"/>
          <w:szCs w:val="22"/>
        </w:rPr>
        <w:t>s</w:t>
      </w:r>
      <w:r w:rsidR="00273035">
        <w:rPr>
          <w:rFonts w:ascii="Arial" w:hAnsi="Arial" w:cs="Arial"/>
          <w:color w:val="auto"/>
          <w:sz w:val="22"/>
          <w:szCs w:val="22"/>
        </w:rPr>
        <w:t>exual dysfunction to make the language gender inclusive; clarify</w:t>
      </w:r>
      <w:r w:rsidR="004277BA">
        <w:rPr>
          <w:rFonts w:ascii="Arial" w:hAnsi="Arial" w:cs="Arial"/>
          <w:color w:val="auto"/>
          <w:sz w:val="22"/>
          <w:szCs w:val="22"/>
        </w:rPr>
        <w:t>ing that</w:t>
      </w:r>
      <w:r w:rsidR="00273035">
        <w:rPr>
          <w:rFonts w:ascii="Arial" w:hAnsi="Arial" w:cs="Arial"/>
          <w:color w:val="auto"/>
          <w:sz w:val="22"/>
          <w:szCs w:val="22"/>
        </w:rPr>
        <w:t xml:space="preserve"> drugs for cosmetic purposes will </w:t>
      </w:r>
      <w:r w:rsidR="00211504">
        <w:rPr>
          <w:rFonts w:ascii="Arial" w:hAnsi="Arial" w:cs="Arial"/>
          <w:color w:val="auto"/>
          <w:sz w:val="22"/>
          <w:szCs w:val="22"/>
        </w:rPr>
        <w:t xml:space="preserve">only </w:t>
      </w:r>
      <w:r w:rsidR="00273035">
        <w:rPr>
          <w:rFonts w:ascii="Arial" w:hAnsi="Arial" w:cs="Arial"/>
          <w:color w:val="auto"/>
          <w:sz w:val="22"/>
          <w:szCs w:val="22"/>
        </w:rPr>
        <w:t xml:space="preserve">be covered if medically necessary; </w:t>
      </w:r>
      <w:r w:rsidR="00AB0AF0">
        <w:rPr>
          <w:rFonts w:ascii="Arial" w:hAnsi="Arial" w:cs="Arial"/>
          <w:color w:val="auto"/>
          <w:sz w:val="22"/>
          <w:szCs w:val="22"/>
        </w:rPr>
        <w:t>clarify</w:t>
      </w:r>
      <w:r w:rsidR="004277BA">
        <w:rPr>
          <w:rFonts w:ascii="Arial" w:hAnsi="Arial" w:cs="Arial"/>
          <w:color w:val="auto"/>
          <w:sz w:val="22"/>
          <w:szCs w:val="22"/>
        </w:rPr>
        <w:t>ing</w:t>
      </w:r>
      <w:r w:rsidR="00AB0AF0">
        <w:rPr>
          <w:rFonts w:ascii="Arial" w:hAnsi="Arial" w:cs="Arial"/>
          <w:color w:val="auto"/>
          <w:sz w:val="22"/>
          <w:szCs w:val="22"/>
        </w:rPr>
        <w:t xml:space="preserve"> coverage of compounded drugs</w:t>
      </w:r>
      <w:r w:rsidR="007A7472">
        <w:rPr>
          <w:rFonts w:ascii="Arial" w:hAnsi="Arial" w:cs="Arial"/>
          <w:color w:val="auto"/>
          <w:sz w:val="22"/>
          <w:szCs w:val="22"/>
        </w:rPr>
        <w:t xml:space="preserve">; and adding back language regarding </w:t>
      </w:r>
      <w:r w:rsidR="006E25FC">
        <w:rPr>
          <w:rFonts w:ascii="Arial" w:hAnsi="Arial" w:cs="Arial"/>
          <w:color w:val="auto"/>
          <w:sz w:val="22"/>
          <w:szCs w:val="22"/>
        </w:rPr>
        <w:t xml:space="preserve">the payment </w:t>
      </w:r>
      <w:r w:rsidR="00074574">
        <w:rPr>
          <w:rFonts w:ascii="Arial" w:hAnsi="Arial" w:cs="Arial"/>
          <w:color w:val="auto"/>
          <w:sz w:val="22"/>
          <w:szCs w:val="22"/>
        </w:rPr>
        <w:t>rates for non-drug products.</w:t>
      </w:r>
      <w:r w:rsidR="00AB0AF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E01C2C5" w14:textId="5AADAE3D" w:rsidR="006E25FC" w:rsidRPr="00EB0434" w:rsidRDefault="006E25FC" w:rsidP="00EB0434">
      <w:pPr>
        <w:pStyle w:val="Heading1"/>
        <w:rPr>
          <w:b w:val="0"/>
        </w:rPr>
      </w:pPr>
      <w:r w:rsidRPr="00EB0434">
        <w:t xml:space="preserve">Drug Exclusion </w:t>
      </w:r>
      <w:r w:rsidR="004277BA">
        <w:t>C</w:t>
      </w:r>
      <w:r w:rsidRPr="00EB0434">
        <w:t>hanges</w:t>
      </w:r>
    </w:p>
    <w:p w14:paraId="4499B67D" w14:textId="7FD7ACEB" w:rsidR="006E25FC" w:rsidRDefault="006E25FC" w:rsidP="006E25FC">
      <w:pPr>
        <w:pStyle w:val="Default"/>
        <w:numPr>
          <w:ilvl w:val="0"/>
          <w:numId w:val="28"/>
        </w:numPr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130 CMR 406.413(B)</w:t>
      </w:r>
      <w:r w:rsidR="005448CB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which includes drug exclusions</w:t>
      </w:r>
      <w:r w:rsidR="005448CB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was updated to </w:t>
      </w:r>
      <w:r w:rsidRPr="000B5BE5">
        <w:rPr>
          <w:rFonts w:ascii="Arial" w:hAnsi="Arial" w:cs="Arial"/>
          <w:color w:val="auto"/>
          <w:sz w:val="22"/>
          <w:szCs w:val="22"/>
        </w:rPr>
        <w:t xml:space="preserve">allow coverage of medications </w:t>
      </w:r>
      <w:r w:rsidR="005448CB">
        <w:rPr>
          <w:rFonts w:ascii="Arial" w:hAnsi="Arial" w:cs="Arial"/>
          <w:color w:val="auto"/>
          <w:sz w:val="22"/>
          <w:szCs w:val="22"/>
        </w:rPr>
        <w:t xml:space="preserve">that </w:t>
      </w:r>
      <w:r w:rsidRPr="000B5BE5">
        <w:rPr>
          <w:rFonts w:ascii="Arial" w:hAnsi="Arial" w:cs="Arial"/>
          <w:color w:val="auto"/>
          <w:sz w:val="22"/>
          <w:szCs w:val="22"/>
        </w:rPr>
        <w:t xml:space="preserve">treat </w:t>
      </w:r>
      <w:proofErr w:type="gramStart"/>
      <w:r w:rsidRPr="000B5BE5">
        <w:rPr>
          <w:rFonts w:ascii="Arial" w:hAnsi="Arial" w:cs="Arial"/>
          <w:color w:val="auto"/>
          <w:sz w:val="22"/>
          <w:szCs w:val="22"/>
        </w:rPr>
        <w:t>obesity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7FAB8B8" w14:textId="1011B766" w:rsidR="006E25FC" w:rsidRDefault="006E25FC" w:rsidP="006E25FC">
      <w:pPr>
        <w:pStyle w:val="Default"/>
        <w:numPr>
          <w:ilvl w:val="0"/>
          <w:numId w:val="28"/>
        </w:numPr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130 CMR 406.413(B) was updated to allow the use of drugs for cosmetic </w:t>
      </w:r>
      <w:r w:rsidRPr="003767D1">
        <w:rPr>
          <w:rFonts w:ascii="Arial" w:hAnsi="Arial" w:cs="Arial"/>
          <w:color w:val="auto"/>
          <w:sz w:val="22"/>
          <w:szCs w:val="22"/>
        </w:rPr>
        <w:t xml:space="preserve">purposes </w:t>
      </w:r>
      <w:r w:rsidR="00211504">
        <w:rPr>
          <w:rFonts w:ascii="Arial" w:hAnsi="Arial" w:cs="Arial"/>
          <w:color w:val="auto"/>
          <w:sz w:val="22"/>
          <w:szCs w:val="22"/>
        </w:rPr>
        <w:t xml:space="preserve">only </w:t>
      </w:r>
      <w:r w:rsidRPr="003767D1">
        <w:rPr>
          <w:rFonts w:ascii="Arial" w:hAnsi="Arial" w:cs="Arial"/>
          <w:color w:val="auto"/>
          <w:sz w:val="22"/>
          <w:szCs w:val="22"/>
        </w:rPr>
        <w:t xml:space="preserve">when medically </w:t>
      </w:r>
      <w:proofErr w:type="gramStart"/>
      <w:r w:rsidRPr="003767D1">
        <w:rPr>
          <w:rFonts w:ascii="Arial" w:hAnsi="Arial" w:cs="Arial"/>
          <w:color w:val="auto"/>
          <w:sz w:val="22"/>
          <w:szCs w:val="22"/>
        </w:rPr>
        <w:t>necessary</w:t>
      </w:r>
      <w:proofErr w:type="gramEnd"/>
      <w:r w:rsidRPr="003767D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2D3090F" w14:textId="182A2B10" w:rsidR="006E25FC" w:rsidRPr="00D62EE4" w:rsidRDefault="006E25FC" w:rsidP="008043CD">
      <w:pPr>
        <w:pStyle w:val="Default"/>
        <w:numPr>
          <w:ilvl w:val="0"/>
          <w:numId w:val="28"/>
        </w:numPr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130 CMR 406.413(B) language in</w:t>
      </w:r>
      <w:r w:rsidRPr="003767D1">
        <w:rPr>
          <w:rFonts w:ascii="Arial" w:hAnsi="Arial" w:cs="Arial"/>
          <w:color w:val="auto"/>
          <w:sz w:val="22"/>
          <w:szCs w:val="22"/>
        </w:rPr>
        <w:t xml:space="preserve"> </w:t>
      </w:r>
      <w:r w:rsidR="005448CB">
        <w:rPr>
          <w:rFonts w:ascii="Arial" w:hAnsi="Arial" w:cs="Arial"/>
          <w:color w:val="auto"/>
          <w:sz w:val="22"/>
          <w:szCs w:val="22"/>
        </w:rPr>
        <w:t>f</w:t>
      </w:r>
      <w:r w:rsidRPr="003767D1">
        <w:rPr>
          <w:rFonts w:ascii="Arial" w:hAnsi="Arial" w:cs="Arial"/>
          <w:color w:val="auto"/>
          <w:sz w:val="22"/>
          <w:szCs w:val="22"/>
        </w:rPr>
        <w:t xml:space="preserve">ertility and </w:t>
      </w:r>
      <w:r w:rsidR="005448CB">
        <w:rPr>
          <w:rFonts w:ascii="Arial" w:hAnsi="Arial" w:cs="Arial"/>
          <w:color w:val="auto"/>
          <w:sz w:val="22"/>
          <w:szCs w:val="22"/>
        </w:rPr>
        <w:t>d</w:t>
      </w:r>
      <w:r w:rsidRPr="003767D1">
        <w:rPr>
          <w:rFonts w:ascii="Arial" w:hAnsi="Arial" w:cs="Arial"/>
          <w:color w:val="auto"/>
          <w:sz w:val="22"/>
          <w:szCs w:val="22"/>
        </w:rPr>
        <w:t xml:space="preserve">rugs for </w:t>
      </w:r>
      <w:r w:rsidR="005448CB">
        <w:rPr>
          <w:rFonts w:ascii="Arial" w:hAnsi="Arial" w:cs="Arial"/>
          <w:color w:val="auto"/>
          <w:sz w:val="22"/>
          <w:szCs w:val="22"/>
        </w:rPr>
        <w:t>s</w:t>
      </w:r>
      <w:r w:rsidRPr="003767D1">
        <w:rPr>
          <w:rFonts w:ascii="Arial" w:hAnsi="Arial" w:cs="Arial"/>
          <w:color w:val="auto"/>
          <w:sz w:val="22"/>
          <w:szCs w:val="22"/>
        </w:rPr>
        <w:t xml:space="preserve">exual </w:t>
      </w:r>
      <w:r w:rsidR="005448CB">
        <w:rPr>
          <w:rFonts w:ascii="Arial" w:hAnsi="Arial" w:cs="Arial"/>
          <w:color w:val="auto"/>
          <w:sz w:val="22"/>
          <w:szCs w:val="22"/>
        </w:rPr>
        <w:t>d</w:t>
      </w:r>
      <w:r w:rsidRPr="003767D1">
        <w:rPr>
          <w:rFonts w:ascii="Arial" w:hAnsi="Arial" w:cs="Arial"/>
          <w:color w:val="auto"/>
          <w:sz w:val="22"/>
          <w:szCs w:val="22"/>
        </w:rPr>
        <w:t>ysfunction</w:t>
      </w:r>
      <w:r>
        <w:rPr>
          <w:rFonts w:ascii="Arial" w:hAnsi="Arial" w:cs="Arial"/>
          <w:color w:val="auto"/>
          <w:sz w:val="22"/>
          <w:szCs w:val="22"/>
        </w:rPr>
        <w:t xml:space="preserve"> was updated</w:t>
      </w:r>
      <w:r w:rsidRPr="003767D1">
        <w:rPr>
          <w:rFonts w:ascii="Arial" w:hAnsi="Arial" w:cs="Arial"/>
          <w:color w:val="auto"/>
          <w:sz w:val="22"/>
          <w:szCs w:val="22"/>
        </w:rPr>
        <w:t xml:space="preserve"> to be gender </w:t>
      </w:r>
      <w:proofErr w:type="gramStart"/>
      <w:r w:rsidRPr="003767D1">
        <w:rPr>
          <w:rFonts w:ascii="Arial" w:hAnsi="Arial" w:cs="Arial"/>
          <w:color w:val="auto"/>
          <w:sz w:val="22"/>
          <w:szCs w:val="22"/>
        </w:rPr>
        <w:t>inclusive</w:t>
      </w:r>
      <w:proofErr w:type="gramEnd"/>
    </w:p>
    <w:p w14:paraId="0FCA85ED" w14:textId="394D6725" w:rsidR="00712401" w:rsidRPr="00EB0434" w:rsidRDefault="00C44B3E" w:rsidP="00EB0434">
      <w:pPr>
        <w:pStyle w:val="Heading1"/>
        <w:rPr>
          <w:b w:val="0"/>
        </w:rPr>
      </w:pPr>
      <w:r w:rsidRPr="00EB0434">
        <w:t>Step Therapy Exceptions</w:t>
      </w:r>
    </w:p>
    <w:p w14:paraId="448BD1D4" w14:textId="609738DA" w:rsidR="00712401" w:rsidRDefault="00D272DF" w:rsidP="00712401">
      <w:pPr>
        <w:pStyle w:val="Default"/>
        <w:numPr>
          <w:ilvl w:val="0"/>
          <w:numId w:val="29"/>
        </w:numPr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130 CMR 406.</w:t>
      </w:r>
      <w:r w:rsidR="00273DF9">
        <w:rPr>
          <w:rFonts w:ascii="Arial" w:hAnsi="Arial" w:cs="Arial"/>
          <w:color w:val="auto"/>
          <w:sz w:val="22"/>
          <w:szCs w:val="22"/>
        </w:rPr>
        <w:t>422(G) was added</w:t>
      </w:r>
      <w:r w:rsidR="006A027D">
        <w:rPr>
          <w:rFonts w:ascii="Arial" w:hAnsi="Arial" w:cs="Arial"/>
          <w:color w:val="auto"/>
          <w:sz w:val="22"/>
          <w:szCs w:val="22"/>
        </w:rPr>
        <w:t xml:space="preserve"> to</w:t>
      </w:r>
      <w:r w:rsidR="00273DF9">
        <w:rPr>
          <w:rFonts w:ascii="Arial" w:hAnsi="Arial" w:cs="Arial"/>
          <w:color w:val="auto"/>
          <w:sz w:val="22"/>
          <w:szCs w:val="22"/>
        </w:rPr>
        <w:t xml:space="preserve"> include language regarding step therapy protocols </w:t>
      </w:r>
      <w:r w:rsidR="00F01D27">
        <w:rPr>
          <w:rFonts w:ascii="Arial" w:hAnsi="Arial" w:cs="Arial"/>
          <w:color w:val="auto"/>
          <w:sz w:val="22"/>
          <w:szCs w:val="22"/>
        </w:rPr>
        <w:t xml:space="preserve">consistent with </w:t>
      </w:r>
      <w:r w:rsidR="00557765" w:rsidRPr="00557765">
        <w:rPr>
          <w:rFonts w:ascii="Arial" w:hAnsi="Arial" w:cs="Arial"/>
          <w:color w:val="auto"/>
          <w:sz w:val="22"/>
          <w:szCs w:val="22"/>
        </w:rPr>
        <w:t>M.G.L. c.118E, § 51A</w:t>
      </w:r>
      <w:r w:rsidR="006A027D">
        <w:rPr>
          <w:rFonts w:ascii="Arial" w:hAnsi="Arial" w:cs="Arial"/>
          <w:color w:val="auto"/>
          <w:sz w:val="22"/>
          <w:szCs w:val="22"/>
        </w:rPr>
        <w:t xml:space="preserve">. </w:t>
      </w:r>
      <w:r w:rsidR="00F4361A">
        <w:rPr>
          <w:rFonts w:ascii="Arial" w:hAnsi="Arial" w:cs="Arial"/>
          <w:color w:val="auto"/>
          <w:sz w:val="22"/>
          <w:szCs w:val="22"/>
        </w:rPr>
        <w:t>MassHealth will allow exceptions to step therapy</w:t>
      </w:r>
      <w:r w:rsidR="006E25FC">
        <w:rPr>
          <w:rFonts w:ascii="Arial" w:hAnsi="Arial" w:cs="Arial"/>
          <w:color w:val="auto"/>
          <w:sz w:val="22"/>
          <w:szCs w:val="22"/>
        </w:rPr>
        <w:t>. T</w:t>
      </w:r>
      <w:r w:rsidR="00123045">
        <w:rPr>
          <w:rFonts w:ascii="Arial" w:hAnsi="Arial" w:cs="Arial"/>
          <w:color w:val="auto"/>
          <w:sz w:val="22"/>
          <w:szCs w:val="22"/>
        </w:rPr>
        <w:t>h</w:t>
      </w:r>
      <w:r w:rsidR="00B77502">
        <w:rPr>
          <w:rFonts w:ascii="Arial" w:hAnsi="Arial" w:cs="Arial"/>
          <w:color w:val="auto"/>
          <w:sz w:val="22"/>
          <w:szCs w:val="22"/>
        </w:rPr>
        <w:t xml:space="preserve">e specific process for </w:t>
      </w:r>
      <w:r w:rsidR="00B77502">
        <w:rPr>
          <w:rFonts w:ascii="Arial" w:hAnsi="Arial" w:cs="Arial"/>
          <w:color w:val="auto"/>
          <w:sz w:val="22"/>
          <w:szCs w:val="22"/>
        </w:rPr>
        <w:t>seeking an exception to step therapy</w:t>
      </w:r>
      <w:r w:rsidR="00776F01">
        <w:rPr>
          <w:rFonts w:ascii="Arial" w:hAnsi="Arial" w:cs="Arial"/>
          <w:color w:val="auto"/>
          <w:sz w:val="22"/>
          <w:szCs w:val="22"/>
        </w:rPr>
        <w:t xml:space="preserve"> will be posted on the MassHealth Drug List</w:t>
      </w:r>
      <w:r w:rsidR="00CF2824">
        <w:rPr>
          <w:rFonts w:ascii="Arial" w:hAnsi="Arial" w:cs="Arial"/>
          <w:color w:val="auto"/>
          <w:sz w:val="22"/>
          <w:szCs w:val="22"/>
        </w:rPr>
        <w:t>, including necessary documentation to establish medical necessity</w:t>
      </w:r>
      <w:r w:rsidR="00776F01">
        <w:rPr>
          <w:rFonts w:ascii="Arial" w:hAnsi="Arial" w:cs="Arial"/>
          <w:color w:val="auto"/>
          <w:sz w:val="22"/>
          <w:szCs w:val="22"/>
        </w:rPr>
        <w:t xml:space="preserve">. </w:t>
      </w:r>
      <w:r w:rsidR="00DB443F">
        <w:rPr>
          <w:rFonts w:ascii="Arial" w:hAnsi="Arial" w:cs="Arial"/>
          <w:color w:val="auto"/>
          <w:sz w:val="22"/>
          <w:szCs w:val="22"/>
        </w:rPr>
        <w:t xml:space="preserve">MassHealth </w:t>
      </w:r>
      <w:r w:rsidR="00F4361A">
        <w:rPr>
          <w:rFonts w:ascii="Arial" w:hAnsi="Arial" w:cs="Arial"/>
          <w:color w:val="auto"/>
          <w:sz w:val="22"/>
          <w:szCs w:val="22"/>
        </w:rPr>
        <w:t xml:space="preserve">will grant or deny a request for an exception to step therapy or a request to appeal a denial of an exception not more than </w:t>
      </w:r>
      <w:r w:rsidR="004F2220">
        <w:rPr>
          <w:rFonts w:ascii="Arial" w:hAnsi="Arial" w:cs="Arial"/>
          <w:color w:val="auto"/>
          <w:sz w:val="22"/>
          <w:szCs w:val="22"/>
        </w:rPr>
        <w:t>three</w:t>
      </w:r>
      <w:r w:rsidR="00F4361A">
        <w:rPr>
          <w:rFonts w:ascii="Arial" w:hAnsi="Arial" w:cs="Arial"/>
          <w:color w:val="auto"/>
          <w:sz w:val="22"/>
          <w:szCs w:val="22"/>
        </w:rPr>
        <w:t xml:space="preserve"> business days after the receipt of all necessary information to establish the medical necessity of the prescribed treatment. </w:t>
      </w:r>
      <w:r w:rsidR="00F31D2A">
        <w:rPr>
          <w:rFonts w:ascii="Arial" w:hAnsi="Arial" w:cs="Arial"/>
          <w:color w:val="auto"/>
          <w:sz w:val="22"/>
          <w:szCs w:val="22"/>
        </w:rPr>
        <w:t>If additional delay would result in significant risk to the enrollee’s health or well-being</w:t>
      </w:r>
      <w:r w:rsidR="002E2ECD">
        <w:rPr>
          <w:rFonts w:ascii="Arial" w:hAnsi="Arial" w:cs="Arial"/>
          <w:color w:val="auto"/>
          <w:sz w:val="22"/>
          <w:szCs w:val="22"/>
        </w:rPr>
        <w:t xml:space="preserve">, then this </w:t>
      </w:r>
      <w:r w:rsidR="004F2220">
        <w:rPr>
          <w:rFonts w:ascii="Arial" w:hAnsi="Arial" w:cs="Arial"/>
          <w:color w:val="auto"/>
          <w:sz w:val="22"/>
          <w:szCs w:val="22"/>
        </w:rPr>
        <w:t>three</w:t>
      </w:r>
      <w:r w:rsidR="002E2ECD">
        <w:rPr>
          <w:rFonts w:ascii="Arial" w:hAnsi="Arial" w:cs="Arial"/>
          <w:color w:val="auto"/>
          <w:sz w:val="22"/>
          <w:szCs w:val="22"/>
        </w:rPr>
        <w:t xml:space="preserve">-business day period will be reduced to 24 hours after the receipt of all necessary information. </w:t>
      </w:r>
      <w:r w:rsidR="003315AF">
        <w:rPr>
          <w:rFonts w:ascii="Arial" w:hAnsi="Arial" w:cs="Arial"/>
          <w:color w:val="auto"/>
          <w:sz w:val="22"/>
          <w:szCs w:val="22"/>
        </w:rPr>
        <w:t>The appeal of a denial of a step therapy exception will occur through informal consultation with a clinical pharmacist with the MassHealth program or its uti</w:t>
      </w:r>
      <w:r w:rsidR="005E4D28">
        <w:rPr>
          <w:rFonts w:ascii="Arial" w:hAnsi="Arial" w:cs="Arial"/>
          <w:color w:val="auto"/>
          <w:sz w:val="22"/>
          <w:szCs w:val="22"/>
        </w:rPr>
        <w:t>lization review organization.</w:t>
      </w:r>
      <w:r w:rsidR="00A317F1">
        <w:rPr>
          <w:rFonts w:ascii="Arial" w:hAnsi="Arial" w:cs="Arial"/>
          <w:color w:val="auto"/>
          <w:sz w:val="22"/>
          <w:szCs w:val="22"/>
        </w:rPr>
        <w:t xml:space="preserve"> </w:t>
      </w:r>
      <w:r w:rsidR="00EA46FF">
        <w:rPr>
          <w:rFonts w:ascii="Arial" w:hAnsi="Arial" w:cs="Arial"/>
          <w:color w:val="auto"/>
          <w:sz w:val="22"/>
          <w:szCs w:val="22"/>
        </w:rPr>
        <w:t>MassHealth is not required to consider samples</w:t>
      </w:r>
      <w:r w:rsidR="001A3076">
        <w:rPr>
          <w:rFonts w:ascii="Arial" w:hAnsi="Arial" w:cs="Arial"/>
          <w:color w:val="auto"/>
          <w:sz w:val="22"/>
          <w:szCs w:val="22"/>
        </w:rPr>
        <w:t xml:space="preserve"> prescribed without a prescription provided to members </w:t>
      </w:r>
      <w:r w:rsidR="00B71920">
        <w:rPr>
          <w:rFonts w:ascii="Arial" w:hAnsi="Arial" w:cs="Arial"/>
          <w:color w:val="auto"/>
          <w:sz w:val="22"/>
          <w:szCs w:val="22"/>
        </w:rPr>
        <w:t>to be sufficient to establish stability.</w:t>
      </w:r>
    </w:p>
    <w:p w14:paraId="49659415" w14:textId="14B06EBC" w:rsidR="00C44B3E" w:rsidRPr="00EB0434" w:rsidRDefault="003767D1" w:rsidP="00EB0434">
      <w:pPr>
        <w:pStyle w:val="Heading1"/>
        <w:rPr>
          <w:b w:val="0"/>
        </w:rPr>
      </w:pPr>
      <w:r w:rsidRPr="00EB0434">
        <w:t>Prospective Drug Review</w:t>
      </w:r>
    </w:p>
    <w:p w14:paraId="4E13114B" w14:textId="1024E385" w:rsidR="0098044D" w:rsidRPr="00AC64A4" w:rsidRDefault="000507D9" w:rsidP="00EB0434">
      <w:pPr>
        <w:pStyle w:val="Default"/>
        <w:numPr>
          <w:ilvl w:val="0"/>
          <w:numId w:val="29"/>
        </w:numPr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130 CMR 406.446 was added to describe </w:t>
      </w:r>
      <w:r w:rsidR="00AD7A49">
        <w:rPr>
          <w:rFonts w:ascii="Arial" w:hAnsi="Arial" w:cs="Arial"/>
          <w:color w:val="auto"/>
          <w:sz w:val="22"/>
          <w:szCs w:val="22"/>
        </w:rPr>
        <w:t xml:space="preserve">prospective drug review and counseling consistent with the requirements in </w:t>
      </w:r>
      <w:r w:rsidR="001A36D7" w:rsidRPr="001A36D7">
        <w:rPr>
          <w:rFonts w:ascii="Arial" w:hAnsi="Arial" w:cs="Arial"/>
          <w:color w:val="auto"/>
          <w:sz w:val="22"/>
          <w:szCs w:val="22"/>
        </w:rPr>
        <w:t>M.G.L. c. 94C, § 21A and 247 CMR 9.07</w:t>
      </w:r>
      <w:r w:rsidR="001A36D7">
        <w:rPr>
          <w:rFonts w:ascii="Arial" w:hAnsi="Arial" w:cs="Arial"/>
          <w:color w:val="auto"/>
          <w:sz w:val="22"/>
          <w:szCs w:val="22"/>
        </w:rPr>
        <w:t xml:space="preserve">. Pharmacies must offer prospective drug review and counseling and only a </w:t>
      </w:r>
      <w:r w:rsidR="00D42D93">
        <w:rPr>
          <w:rFonts w:ascii="Arial" w:hAnsi="Arial" w:cs="Arial"/>
          <w:color w:val="auto"/>
          <w:sz w:val="22"/>
          <w:szCs w:val="22"/>
        </w:rPr>
        <w:t>member’s refusal of counseling must be documented, except as otherwise required under applicable state law.</w:t>
      </w:r>
    </w:p>
    <w:p w14:paraId="654E2CD5" w14:textId="77777777" w:rsidR="00EB0434" w:rsidRDefault="00EB0434" w:rsidP="00EB0434">
      <w:pPr>
        <w:pStyle w:val="Heading1"/>
      </w:pPr>
    </w:p>
    <w:p w14:paraId="35DAA2DA" w14:textId="77777777" w:rsidR="00EB0434" w:rsidRDefault="00EB0434" w:rsidP="00EB0434">
      <w:pPr>
        <w:pStyle w:val="Heading1"/>
      </w:pPr>
    </w:p>
    <w:p w14:paraId="3DCE9F61" w14:textId="031ACA97" w:rsidR="003767D1" w:rsidRPr="00EB0434" w:rsidRDefault="00A5289A" w:rsidP="00EB0434">
      <w:pPr>
        <w:pStyle w:val="Heading1"/>
        <w:rPr>
          <w:b w:val="0"/>
        </w:rPr>
      </w:pPr>
      <w:r w:rsidRPr="00EB0434">
        <w:lastRenderedPageBreak/>
        <w:t>Covered Drugs and Medical Supplies</w:t>
      </w:r>
    </w:p>
    <w:p w14:paraId="2B44BCD7" w14:textId="246CDD69" w:rsidR="00732F52" w:rsidRDefault="00A063CF" w:rsidP="008223A4">
      <w:pPr>
        <w:pStyle w:val="Default"/>
        <w:numPr>
          <w:ilvl w:val="0"/>
          <w:numId w:val="28"/>
        </w:numPr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130 CMR 406.412</w:t>
      </w:r>
      <w:r w:rsidR="001264C4">
        <w:rPr>
          <w:rFonts w:ascii="Arial" w:hAnsi="Arial" w:cs="Arial"/>
          <w:color w:val="auto"/>
          <w:sz w:val="22"/>
          <w:szCs w:val="22"/>
        </w:rPr>
        <w:t>(A)</w:t>
      </w:r>
      <w:r w:rsidR="004735E9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which discusses covered drugs and medical supplies</w:t>
      </w:r>
      <w:r w:rsidR="004735E9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was updated</w:t>
      </w:r>
      <w:r w:rsidR="001264C4">
        <w:rPr>
          <w:rFonts w:ascii="Arial" w:hAnsi="Arial" w:cs="Arial"/>
          <w:color w:val="auto"/>
          <w:sz w:val="22"/>
          <w:szCs w:val="22"/>
        </w:rPr>
        <w:t xml:space="preserve"> to include compounded drugs</w:t>
      </w:r>
      <w:r w:rsidR="00EC1698">
        <w:rPr>
          <w:rFonts w:ascii="Arial" w:hAnsi="Arial" w:cs="Arial"/>
          <w:color w:val="auto"/>
          <w:sz w:val="22"/>
          <w:szCs w:val="22"/>
        </w:rPr>
        <w:t xml:space="preserve"> specified in the MassHealth Drug List. Payment for compounds will be calculated in accordance with 101 CMR 331.00: </w:t>
      </w:r>
      <w:r w:rsidR="00EC1698" w:rsidRPr="00EC1698">
        <w:rPr>
          <w:rFonts w:ascii="Arial" w:hAnsi="Arial" w:cs="Arial"/>
          <w:i/>
          <w:iCs/>
          <w:color w:val="auto"/>
          <w:sz w:val="22"/>
          <w:szCs w:val="22"/>
        </w:rPr>
        <w:t>Prescribed Drugs</w:t>
      </w:r>
      <w:r w:rsidR="00EC1698">
        <w:rPr>
          <w:rFonts w:ascii="Arial" w:hAnsi="Arial" w:cs="Arial"/>
          <w:color w:val="auto"/>
          <w:sz w:val="22"/>
          <w:szCs w:val="22"/>
        </w:rPr>
        <w:t>.</w:t>
      </w:r>
    </w:p>
    <w:p w14:paraId="0647604E" w14:textId="16B9ADD4" w:rsidR="00D45678" w:rsidRPr="00EB0434" w:rsidRDefault="00D45678" w:rsidP="00EB0434">
      <w:pPr>
        <w:pStyle w:val="Heading1"/>
        <w:rPr>
          <w:b w:val="0"/>
        </w:rPr>
      </w:pPr>
      <w:r w:rsidRPr="00EB0434">
        <w:t>Non-drug Product Rates</w:t>
      </w:r>
    </w:p>
    <w:p w14:paraId="40E2FA24" w14:textId="7B45B63D" w:rsidR="00B6609F" w:rsidRPr="00E444A3" w:rsidRDefault="00EC1698" w:rsidP="00E444A3">
      <w:pPr>
        <w:pStyle w:val="Default"/>
        <w:numPr>
          <w:ilvl w:val="0"/>
          <w:numId w:val="28"/>
        </w:numPr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130 CMR 406.</w:t>
      </w:r>
      <w:r w:rsidR="00682C37">
        <w:rPr>
          <w:rFonts w:ascii="Arial" w:hAnsi="Arial" w:cs="Arial"/>
          <w:color w:val="auto"/>
          <w:sz w:val="22"/>
          <w:szCs w:val="22"/>
        </w:rPr>
        <w:t>412(B)</w:t>
      </w:r>
      <w:r w:rsidR="004735E9">
        <w:rPr>
          <w:rFonts w:ascii="Arial" w:hAnsi="Arial" w:cs="Arial"/>
          <w:color w:val="auto"/>
          <w:sz w:val="22"/>
          <w:szCs w:val="22"/>
        </w:rPr>
        <w:t>,</w:t>
      </w:r>
      <w:r w:rsidR="00682C37">
        <w:rPr>
          <w:rFonts w:ascii="Arial" w:hAnsi="Arial" w:cs="Arial"/>
          <w:color w:val="auto"/>
          <w:sz w:val="22"/>
          <w:szCs w:val="22"/>
        </w:rPr>
        <w:t xml:space="preserve"> w</w:t>
      </w:r>
      <w:r w:rsidR="001D47D2">
        <w:rPr>
          <w:rFonts w:ascii="Arial" w:hAnsi="Arial" w:cs="Arial"/>
          <w:color w:val="auto"/>
          <w:sz w:val="22"/>
          <w:szCs w:val="22"/>
        </w:rPr>
        <w:t xml:space="preserve">hich </w:t>
      </w:r>
      <w:r w:rsidR="000E6FDB">
        <w:rPr>
          <w:rFonts w:ascii="Arial" w:hAnsi="Arial" w:cs="Arial"/>
          <w:color w:val="auto"/>
          <w:sz w:val="22"/>
          <w:szCs w:val="22"/>
        </w:rPr>
        <w:t xml:space="preserve">describes </w:t>
      </w:r>
      <w:r w:rsidR="004504D4">
        <w:rPr>
          <w:rFonts w:ascii="Arial" w:hAnsi="Arial" w:cs="Arial"/>
          <w:color w:val="auto"/>
          <w:sz w:val="22"/>
          <w:szCs w:val="22"/>
        </w:rPr>
        <w:t xml:space="preserve">non-drug products paid through </w:t>
      </w:r>
      <w:r w:rsidR="00CD7553">
        <w:rPr>
          <w:rFonts w:ascii="Arial" w:hAnsi="Arial" w:cs="Arial"/>
          <w:color w:val="auto"/>
          <w:sz w:val="22"/>
          <w:szCs w:val="22"/>
        </w:rPr>
        <w:t xml:space="preserve">the </w:t>
      </w:r>
      <w:r w:rsidR="004504D4">
        <w:rPr>
          <w:rFonts w:ascii="Arial" w:hAnsi="Arial" w:cs="Arial"/>
          <w:color w:val="auto"/>
          <w:sz w:val="22"/>
          <w:szCs w:val="22"/>
        </w:rPr>
        <w:t xml:space="preserve">Pharmacy </w:t>
      </w:r>
      <w:r w:rsidR="00CD7553">
        <w:rPr>
          <w:rFonts w:ascii="Arial" w:hAnsi="Arial" w:cs="Arial"/>
          <w:color w:val="auto"/>
          <w:sz w:val="22"/>
          <w:szCs w:val="22"/>
        </w:rPr>
        <w:t xml:space="preserve">Online Processing System </w:t>
      </w:r>
      <w:r w:rsidR="004504D4">
        <w:rPr>
          <w:rFonts w:ascii="Arial" w:hAnsi="Arial" w:cs="Arial"/>
          <w:color w:val="auto"/>
          <w:sz w:val="22"/>
          <w:szCs w:val="22"/>
        </w:rPr>
        <w:t>(POPS)</w:t>
      </w:r>
      <w:r w:rsidR="004735E9">
        <w:rPr>
          <w:rFonts w:ascii="Arial" w:hAnsi="Arial" w:cs="Arial"/>
          <w:color w:val="auto"/>
          <w:sz w:val="22"/>
          <w:szCs w:val="22"/>
        </w:rPr>
        <w:t>,</w:t>
      </w:r>
      <w:r w:rsidR="00320839">
        <w:rPr>
          <w:rFonts w:ascii="Arial" w:hAnsi="Arial" w:cs="Arial"/>
          <w:color w:val="auto"/>
          <w:sz w:val="22"/>
          <w:szCs w:val="22"/>
        </w:rPr>
        <w:t xml:space="preserve"> </w:t>
      </w:r>
      <w:r w:rsidR="007B3C51">
        <w:rPr>
          <w:rFonts w:ascii="Arial" w:hAnsi="Arial" w:cs="Arial"/>
          <w:color w:val="auto"/>
          <w:sz w:val="22"/>
          <w:szCs w:val="22"/>
        </w:rPr>
        <w:t xml:space="preserve">was updated to </w:t>
      </w:r>
      <w:r w:rsidR="006E25FC">
        <w:rPr>
          <w:rFonts w:ascii="Arial" w:hAnsi="Arial" w:cs="Arial"/>
          <w:color w:val="auto"/>
          <w:sz w:val="22"/>
          <w:szCs w:val="22"/>
        </w:rPr>
        <w:t xml:space="preserve">specifically </w:t>
      </w:r>
      <w:r w:rsidR="007B3C51">
        <w:rPr>
          <w:rFonts w:ascii="Arial" w:hAnsi="Arial" w:cs="Arial"/>
          <w:color w:val="auto"/>
          <w:sz w:val="22"/>
          <w:szCs w:val="22"/>
        </w:rPr>
        <w:t xml:space="preserve">include </w:t>
      </w:r>
      <w:r w:rsidR="00436C9F">
        <w:rPr>
          <w:rFonts w:ascii="Arial" w:hAnsi="Arial" w:cs="Arial"/>
          <w:color w:val="auto"/>
          <w:sz w:val="22"/>
          <w:szCs w:val="22"/>
        </w:rPr>
        <w:t xml:space="preserve">rates published in 101 CMR 317.00: </w:t>
      </w:r>
      <w:r w:rsidR="00436C9F" w:rsidRPr="00436C9F">
        <w:rPr>
          <w:rFonts w:ascii="Arial" w:hAnsi="Arial" w:cs="Arial"/>
          <w:i/>
          <w:iCs/>
          <w:color w:val="auto"/>
          <w:sz w:val="22"/>
          <w:szCs w:val="22"/>
        </w:rPr>
        <w:t>Rates for Medicine Services</w:t>
      </w:r>
      <w:r w:rsidR="00E444A3">
        <w:rPr>
          <w:rFonts w:ascii="Arial" w:hAnsi="Arial" w:cs="Arial"/>
          <w:color w:val="auto"/>
          <w:sz w:val="22"/>
          <w:szCs w:val="22"/>
        </w:rPr>
        <w:t>.</w:t>
      </w:r>
    </w:p>
    <w:p w14:paraId="5EA30A52" w14:textId="5384BF38" w:rsidR="00B6609F" w:rsidRPr="00D83442" w:rsidRDefault="00B6609F" w:rsidP="00E444A3">
      <w:pPr>
        <w:pStyle w:val="Default"/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</w:p>
    <w:p w14:paraId="5B1A8C5A" w14:textId="442702A2" w:rsidR="0041065E" w:rsidRPr="00B71920" w:rsidRDefault="0041065E" w:rsidP="00EC1698">
      <w:pPr>
        <w:pStyle w:val="Default"/>
        <w:numPr>
          <w:ilvl w:val="0"/>
          <w:numId w:val="25"/>
        </w:numPr>
        <w:spacing w:after="120" w:line="276" w:lineRule="auto"/>
        <w:ind w:left="720"/>
        <w:contextualSpacing/>
        <w:rPr>
          <w:rFonts w:ascii="Arial" w:hAnsi="Arial" w:cs="Arial"/>
          <w:color w:val="auto"/>
          <w:sz w:val="22"/>
          <w:szCs w:val="22"/>
        </w:rPr>
        <w:sectPr w:rsidR="0041065E" w:rsidRPr="00B71920" w:rsidSect="003C1739">
          <w:headerReference w:type="default" r:id="rId15"/>
          <w:footerReference w:type="default" r:id="rId16"/>
          <w:type w:val="continuous"/>
          <w:pgSz w:w="12240" w:h="15840" w:code="1"/>
          <w:pgMar w:top="360" w:right="907" w:bottom="432" w:left="907" w:header="720" w:footer="576" w:gutter="0"/>
          <w:cols w:num="2" w:sep="1" w:space="720"/>
          <w:docGrid w:linePitch="360"/>
        </w:sectPr>
      </w:pPr>
    </w:p>
    <w:p w14:paraId="5B1A8C5B" w14:textId="77777777" w:rsidR="00A650DC" w:rsidRPr="00D83442" w:rsidRDefault="00A650DC" w:rsidP="001E559B">
      <w:pPr>
        <w:tabs>
          <w:tab w:val="left" w:pos="1606"/>
        </w:tabs>
      </w:pPr>
    </w:p>
    <w:sectPr w:rsidR="00A650DC" w:rsidRPr="00D83442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4658" w14:textId="77777777" w:rsidR="00B4357C" w:rsidRDefault="00B4357C" w:rsidP="00492602">
      <w:r>
        <w:separator/>
      </w:r>
    </w:p>
  </w:endnote>
  <w:endnote w:type="continuationSeparator" w:id="0">
    <w:p w14:paraId="628AB9B4" w14:textId="77777777" w:rsidR="00B4357C" w:rsidRDefault="00B4357C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9D97" w14:textId="77777777" w:rsidR="00EB0434" w:rsidRDefault="00EB0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8C66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8C68" w14:textId="511D82D5" w:rsidR="00637A67" w:rsidRDefault="00637A67">
    <w:pPr>
      <w:pStyle w:val="Footer"/>
    </w:pPr>
  </w:p>
  <w:p w14:paraId="5B1A8C69" w14:textId="77777777" w:rsidR="00637A67" w:rsidRDefault="00637A6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8C6C" w14:textId="6186637F" w:rsidR="00E95805" w:rsidRDefault="00E95805" w:rsidP="00E95805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 w:rsidR="000A440A">
      <w:rPr>
        <w:rFonts w:ascii="Arial" w:hAnsi="Arial" w:cs="Arial"/>
        <w:iCs/>
        <w:sz w:val="18"/>
        <w:szCs w:val="18"/>
      </w:rPr>
      <w:t>to</w:t>
    </w:r>
  </w:p>
  <w:p w14:paraId="5B1A8C6D" w14:textId="7BA3F6F2" w:rsidR="003C1739" w:rsidRPr="00E95805" w:rsidRDefault="00140DE7" w:rsidP="00E95805">
    <w:pPr>
      <w:pStyle w:val="Footer"/>
      <w:jc w:val="center"/>
    </w:pPr>
    <w:hyperlink r:id="rId1" w:history="1">
      <w:r w:rsidR="00E95805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AD7B53">
      <w:rPr>
        <w:rFonts w:ascii="Arial" w:hAnsi="Arial" w:cs="Arial"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A4F94" w14:textId="77777777" w:rsidR="00B4357C" w:rsidRDefault="00B4357C" w:rsidP="00492602">
      <w:r>
        <w:separator/>
      </w:r>
    </w:p>
  </w:footnote>
  <w:footnote w:type="continuationSeparator" w:id="0">
    <w:p w14:paraId="2A39BE0E" w14:textId="77777777" w:rsidR="00B4357C" w:rsidRDefault="00B4357C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2020B" w14:textId="77777777" w:rsidR="00EB0434" w:rsidRDefault="00EB0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7291" w14:textId="77777777" w:rsidR="0098044D" w:rsidRDefault="0098044D" w:rsidP="0098044D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Pr="008474A5">
      <w:rPr>
        <w:color w:val="FF0000"/>
        <w:sz w:val="18"/>
        <w:szCs w:val="18"/>
      </w:rPr>
      <w:t>[xxx]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color w:val="auto"/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>
      <w:rPr>
        <w:noProof/>
        <w:color w:val="auto"/>
        <w:sz w:val="18"/>
        <w:szCs w:val="18"/>
      </w:rPr>
      <w:t>2</w:t>
    </w:r>
  </w:p>
  <w:p w14:paraId="5B1A8C63" w14:textId="77777777" w:rsidR="00492602" w:rsidRDefault="00492602" w:rsidP="00492602">
    <w:pPr>
      <w:pStyle w:val="Header"/>
    </w:pPr>
  </w:p>
  <w:p w14:paraId="5B1A8C64" w14:textId="77777777" w:rsidR="00492602" w:rsidRDefault="00492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C04AC" w14:textId="77777777" w:rsidR="00EB0434" w:rsidRDefault="00EB043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02C3" w14:textId="01BD667C" w:rsidR="0098044D" w:rsidRDefault="0098044D" w:rsidP="0098044D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EB0434" w:rsidRPr="00EB0434">
      <w:rPr>
        <w:color w:val="auto"/>
        <w:sz w:val="18"/>
        <w:szCs w:val="18"/>
      </w:rPr>
      <w:t>219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color w:val="auto"/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D2A56"/>
    <w:multiLevelType w:val="hybridMultilevel"/>
    <w:tmpl w:val="DB2A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3CDF"/>
    <w:multiLevelType w:val="hybridMultilevel"/>
    <w:tmpl w:val="11A2D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0D22A7"/>
    <w:multiLevelType w:val="hybridMultilevel"/>
    <w:tmpl w:val="020860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BB5045"/>
    <w:multiLevelType w:val="hybridMultilevel"/>
    <w:tmpl w:val="5C9AF4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51622">
    <w:abstractNumId w:val="10"/>
  </w:num>
  <w:num w:numId="2" w16cid:durableId="1375084466">
    <w:abstractNumId w:val="17"/>
  </w:num>
  <w:num w:numId="3" w16cid:durableId="1524976611">
    <w:abstractNumId w:val="21"/>
  </w:num>
  <w:num w:numId="4" w16cid:durableId="1918856207">
    <w:abstractNumId w:val="7"/>
  </w:num>
  <w:num w:numId="5" w16cid:durableId="269821706">
    <w:abstractNumId w:val="9"/>
  </w:num>
  <w:num w:numId="6" w16cid:durableId="353768814">
    <w:abstractNumId w:val="15"/>
  </w:num>
  <w:num w:numId="7" w16cid:durableId="1949777637">
    <w:abstractNumId w:val="23"/>
  </w:num>
  <w:num w:numId="8" w16cid:durableId="200703854">
    <w:abstractNumId w:val="2"/>
  </w:num>
  <w:num w:numId="9" w16cid:durableId="798691108">
    <w:abstractNumId w:val="0"/>
  </w:num>
  <w:num w:numId="10" w16cid:durableId="1122386159">
    <w:abstractNumId w:val="19"/>
  </w:num>
  <w:num w:numId="11" w16cid:durableId="58696736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329265">
    <w:abstractNumId w:val="5"/>
  </w:num>
  <w:num w:numId="13" w16cid:durableId="862934027">
    <w:abstractNumId w:val="21"/>
  </w:num>
  <w:num w:numId="14" w16cid:durableId="116825565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2403460">
    <w:abstractNumId w:val="15"/>
  </w:num>
  <w:num w:numId="16" w16cid:durableId="227612488">
    <w:abstractNumId w:val="18"/>
  </w:num>
  <w:num w:numId="17" w16cid:durableId="1881818377">
    <w:abstractNumId w:val="1"/>
  </w:num>
  <w:num w:numId="18" w16cid:durableId="19242907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8888971">
    <w:abstractNumId w:val="6"/>
  </w:num>
  <w:num w:numId="20" w16cid:durableId="636420547">
    <w:abstractNumId w:val="3"/>
  </w:num>
  <w:num w:numId="21" w16cid:durableId="1095247939">
    <w:abstractNumId w:val="8"/>
  </w:num>
  <w:num w:numId="22" w16cid:durableId="945426484">
    <w:abstractNumId w:val="24"/>
  </w:num>
  <w:num w:numId="23" w16cid:durableId="1455362739">
    <w:abstractNumId w:val="25"/>
  </w:num>
  <w:num w:numId="24" w16cid:durableId="1552761903">
    <w:abstractNumId w:val="14"/>
  </w:num>
  <w:num w:numId="25" w16cid:durableId="1875993684">
    <w:abstractNumId w:val="20"/>
  </w:num>
  <w:num w:numId="26" w16cid:durableId="1675572253">
    <w:abstractNumId w:val="16"/>
  </w:num>
  <w:num w:numId="27" w16cid:durableId="1892646244">
    <w:abstractNumId w:val="22"/>
  </w:num>
  <w:num w:numId="28" w16cid:durableId="1809056137">
    <w:abstractNumId w:val="4"/>
  </w:num>
  <w:num w:numId="29" w16cid:durableId="11731107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160F6"/>
    <w:rsid w:val="0003148F"/>
    <w:rsid w:val="00036B8C"/>
    <w:rsid w:val="00036CBB"/>
    <w:rsid w:val="000507D9"/>
    <w:rsid w:val="00054839"/>
    <w:rsid w:val="000609FD"/>
    <w:rsid w:val="0006259E"/>
    <w:rsid w:val="00063DDE"/>
    <w:rsid w:val="000713D3"/>
    <w:rsid w:val="000735C4"/>
    <w:rsid w:val="00074014"/>
    <w:rsid w:val="00074574"/>
    <w:rsid w:val="000773EC"/>
    <w:rsid w:val="00081E8E"/>
    <w:rsid w:val="0008217D"/>
    <w:rsid w:val="00084FFE"/>
    <w:rsid w:val="000A440A"/>
    <w:rsid w:val="000A6318"/>
    <w:rsid w:val="000B0D51"/>
    <w:rsid w:val="000B5BE5"/>
    <w:rsid w:val="000C32DF"/>
    <w:rsid w:val="000D1502"/>
    <w:rsid w:val="000D1FAD"/>
    <w:rsid w:val="000E6FDB"/>
    <w:rsid w:val="000F5C22"/>
    <w:rsid w:val="00123045"/>
    <w:rsid w:val="00123D58"/>
    <w:rsid w:val="001264C4"/>
    <w:rsid w:val="0012726B"/>
    <w:rsid w:val="00134EB2"/>
    <w:rsid w:val="00137D3D"/>
    <w:rsid w:val="00140D08"/>
    <w:rsid w:val="00140DE7"/>
    <w:rsid w:val="00141CBC"/>
    <w:rsid w:val="00147437"/>
    <w:rsid w:val="00157A49"/>
    <w:rsid w:val="00171445"/>
    <w:rsid w:val="001721D8"/>
    <w:rsid w:val="0018357E"/>
    <w:rsid w:val="001864A9"/>
    <w:rsid w:val="00187935"/>
    <w:rsid w:val="001A125B"/>
    <w:rsid w:val="001A3076"/>
    <w:rsid w:val="001A34DC"/>
    <w:rsid w:val="001A36D7"/>
    <w:rsid w:val="001C1481"/>
    <w:rsid w:val="001C2937"/>
    <w:rsid w:val="001D47D2"/>
    <w:rsid w:val="001E559B"/>
    <w:rsid w:val="001E779F"/>
    <w:rsid w:val="002006A8"/>
    <w:rsid w:val="00211504"/>
    <w:rsid w:val="0021214A"/>
    <w:rsid w:val="00212622"/>
    <w:rsid w:val="00220D73"/>
    <w:rsid w:val="002275AE"/>
    <w:rsid w:val="00230996"/>
    <w:rsid w:val="002509E9"/>
    <w:rsid w:val="00250ADA"/>
    <w:rsid w:val="00265457"/>
    <w:rsid w:val="002727AB"/>
    <w:rsid w:val="00273035"/>
    <w:rsid w:val="00273DF9"/>
    <w:rsid w:val="00276F3A"/>
    <w:rsid w:val="00286CBE"/>
    <w:rsid w:val="00291397"/>
    <w:rsid w:val="00295697"/>
    <w:rsid w:val="00295D73"/>
    <w:rsid w:val="002C02EB"/>
    <w:rsid w:val="002C6491"/>
    <w:rsid w:val="002C7C67"/>
    <w:rsid w:val="002D390F"/>
    <w:rsid w:val="002D3BB5"/>
    <w:rsid w:val="002D3C44"/>
    <w:rsid w:val="002D5619"/>
    <w:rsid w:val="002D738C"/>
    <w:rsid w:val="002E2ECD"/>
    <w:rsid w:val="002E2F9E"/>
    <w:rsid w:val="002F4E7B"/>
    <w:rsid w:val="002F67A7"/>
    <w:rsid w:val="00306A15"/>
    <w:rsid w:val="00312DF1"/>
    <w:rsid w:val="003152DA"/>
    <w:rsid w:val="003167D5"/>
    <w:rsid w:val="00320839"/>
    <w:rsid w:val="003300F7"/>
    <w:rsid w:val="0033053B"/>
    <w:rsid w:val="003315AF"/>
    <w:rsid w:val="00334D14"/>
    <w:rsid w:val="0035386B"/>
    <w:rsid w:val="00360067"/>
    <w:rsid w:val="00362DF4"/>
    <w:rsid w:val="0036343A"/>
    <w:rsid w:val="0037373E"/>
    <w:rsid w:val="00375713"/>
    <w:rsid w:val="003767D1"/>
    <w:rsid w:val="00382054"/>
    <w:rsid w:val="00387C1F"/>
    <w:rsid w:val="003911FC"/>
    <w:rsid w:val="00391A8B"/>
    <w:rsid w:val="003A4FCC"/>
    <w:rsid w:val="003B6839"/>
    <w:rsid w:val="003C1739"/>
    <w:rsid w:val="003D2B74"/>
    <w:rsid w:val="003D5735"/>
    <w:rsid w:val="003F1290"/>
    <w:rsid w:val="003F533B"/>
    <w:rsid w:val="0041065E"/>
    <w:rsid w:val="004277BA"/>
    <w:rsid w:val="004369CA"/>
    <w:rsid w:val="00436C9F"/>
    <w:rsid w:val="00444324"/>
    <w:rsid w:val="00447A5F"/>
    <w:rsid w:val="004504D4"/>
    <w:rsid w:val="00453E30"/>
    <w:rsid w:val="00453F3E"/>
    <w:rsid w:val="004554D7"/>
    <w:rsid w:val="00456B5A"/>
    <w:rsid w:val="004664D3"/>
    <w:rsid w:val="004735E9"/>
    <w:rsid w:val="00477916"/>
    <w:rsid w:val="004910B8"/>
    <w:rsid w:val="00492602"/>
    <w:rsid w:val="0049358C"/>
    <w:rsid w:val="004A3BAA"/>
    <w:rsid w:val="004A420C"/>
    <w:rsid w:val="004A7124"/>
    <w:rsid w:val="004A7395"/>
    <w:rsid w:val="004C18F4"/>
    <w:rsid w:val="004D1BC7"/>
    <w:rsid w:val="004D79B2"/>
    <w:rsid w:val="004E69AE"/>
    <w:rsid w:val="004F1CA4"/>
    <w:rsid w:val="004F2220"/>
    <w:rsid w:val="004F5612"/>
    <w:rsid w:val="005052D9"/>
    <w:rsid w:val="005102B6"/>
    <w:rsid w:val="00516394"/>
    <w:rsid w:val="0052118E"/>
    <w:rsid w:val="00527F95"/>
    <w:rsid w:val="005314A6"/>
    <w:rsid w:val="005448CB"/>
    <w:rsid w:val="00544E13"/>
    <w:rsid w:val="005502E1"/>
    <w:rsid w:val="005557CA"/>
    <w:rsid w:val="00557765"/>
    <w:rsid w:val="0056481B"/>
    <w:rsid w:val="0057156C"/>
    <w:rsid w:val="00571898"/>
    <w:rsid w:val="00574ECE"/>
    <w:rsid w:val="00574F07"/>
    <w:rsid w:val="0057528C"/>
    <w:rsid w:val="00580F43"/>
    <w:rsid w:val="00581E50"/>
    <w:rsid w:val="005835F0"/>
    <w:rsid w:val="005842A0"/>
    <w:rsid w:val="00585413"/>
    <w:rsid w:val="005958DD"/>
    <w:rsid w:val="005A57BA"/>
    <w:rsid w:val="005B15B3"/>
    <w:rsid w:val="005C7622"/>
    <w:rsid w:val="005D723D"/>
    <w:rsid w:val="005E09FF"/>
    <w:rsid w:val="005E4D28"/>
    <w:rsid w:val="00603F9C"/>
    <w:rsid w:val="00607CFA"/>
    <w:rsid w:val="00615922"/>
    <w:rsid w:val="00623469"/>
    <w:rsid w:val="006258A8"/>
    <w:rsid w:val="00634C49"/>
    <w:rsid w:val="00637A67"/>
    <w:rsid w:val="00650095"/>
    <w:rsid w:val="00651CA7"/>
    <w:rsid w:val="006615EC"/>
    <w:rsid w:val="00673F96"/>
    <w:rsid w:val="00674418"/>
    <w:rsid w:val="00674428"/>
    <w:rsid w:val="00682C37"/>
    <w:rsid w:val="00683872"/>
    <w:rsid w:val="00686C26"/>
    <w:rsid w:val="00690023"/>
    <w:rsid w:val="00696F48"/>
    <w:rsid w:val="0069772F"/>
    <w:rsid w:val="006A027D"/>
    <w:rsid w:val="006A6E30"/>
    <w:rsid w:val="006D3B5F"/>
    <w:rsid w:val="006E0C20"/>
    <w:rsid w:val="006E22A3"/>
    <w:rsid w:val="006E25FC"/>
    <w:rsid w:val="006E6AFF"/>
    <w:rsid w:val="006E755C"/>
    <w:rsid w:val="006F2E65"/>
    <w:rsid w:val="006F35F9"/>
    <w:rsid w:val="00712401"/>
    <w:rsid w:val="00727869"/>
    <w:rsid w:val="0073000A"/>
    <w:rsid w:val="007319D7"/>
    <w:rsid w:val="00731FAF"/>
    <w:rsid w:val="00732F52"/>
    <w:rsid w:val="0073303C"/>
    <w:rsid w:val="00735008"/>
    <w:rsid w:val="007400F4"/>
    <w:rsid w:val="007426BF"/>
    <w:rsid w:val="00760FDF"/>
    <w:rsid w:val="007610B4"/>
    <w:rsid w:val="007712CD"/>
    <w:rsid w:val="007757E7"/>
    <w:rsid w:val="00776F01"/>
    <w:rsid w:val="00781D3B"/>
    <w:rsid w:val="007912C1"/>
    <w:rsid w:val="007A275C"/>
    <w:rsid w:val="007A41F5"/>
    <w:rsid w:val="007A45F9"/>
    <w:rsid w:val="007A5753"/>
    <w:rsid w:val="007A7472"/>
    <w:rsid w:val="007B2F2D"/>
    <w:rsid w:val="007B3C51"/>
    <w:rsid w:val="007B4429"/>
    <w:rsid w:val="007B7425"/>
    <w:rsid w:val="007D7A93"/>
    <w:rsid w:val="007E4380"/>
    <w:rsid w:val="007F5417"/>
    <w:rsid w:val="0080399F"/>
    <w:rsid w:val="00804116"/>
    <w:rsid w:val="008043CD"/>
    <w:rsid w:val="00804FB0"/>
    <w:rsid w:val="00812480"/>
    <w:rsid w:val="00817A3D"/>
    <w:rsid w:val="00821937"/>
    <w:rsid w:val="008223A4"/>
    <w:rsid w:val="008340D0"/>
    <w:rsid w:val="008403CA"/>
    <w:rsid w:val="0085334F"/>
    <w:rsid w:val="0085395A"/>
    <w:rsid w:val="00853F8E"/>
    <w:rsid w:val="00856C6E"/>
    <w:rsid w:val="0086142C"/>
    <w:rsid w:val="00872E7F"/>
    <w:rsid w:val="00877649"/>
    <w:rsid w:val="00880FA9"/>
    <w:rsid w:val="008847FD"/>
    <w:rsid w:val="008930F1"/>
    <w:rsid w:val="00893F45"/>
    <w:rsid w:val="008B7FB4"/>
    <w:rsid w:val="008C33B7"/>
    <w:rsid w:val="008C5414"/>
    <w:rsid w:val="008F0130"/>
    <w:rsid w:val="008F2E4C"/>
    <w:rsid w:val="00905C46"/>
    <w:rsid w:val="00906EEC"/>
    <w:rsid w:val="009166DF"/>
    <w:rsid w:val="009204C7"/>
    <w:rsid w:val="00922030"/>
    <w:rsid w:val="00932C20"/>
    <w:rsid w:val="0093532E"/>
    <w:rsid w:val="0093747E"/>
    <w:rsid w:val="00941258"/>
    <w:rsid w:val="00942245"/>
    <w:rsid w:val="00945279"/>
    <w:rsid w:val="00956812"/>
    <w:rsid w:val="00963957"/>
    <w:rsid w:val="00966130"/>
    <w:rsid w:val="009725E5"/>
    <w:rsid w:val="00974CFD"/>
    <w:rsid w:val="0098044D"/>
    <w:rsid w:val="00980CD9"/>
    <w:rsid w:val="00981510"/>
    <w:rsid w:val="00981567"/>
    <w:rsid w:val="009935AF"/>
    <w:rsid w:val="00997F1C"/>
    <w:rsid w:val="009C3981"/>
    <w:rsid w:val="009C3CFF"/>
    <w:rsid w:val="009D1341"/>
    <w:rsid w:val="009D3EE3"/>
    <w:rsid w:val="009D55E3"/>
    <w:rsid w:val="009D6D73"/>
    <w:rsid w:val="009D79C6"/>
    <w:rsid w:val="009E55A1"/>
    <w:rsid w:val="009F0390"/>
    <w:rsid w:val="009F0440"/>
    <w:rsid w:val="009F0526"/>
    <w:rsid w:val="00A01DE3"/>
    <w:rsid w:val="00A063CF"/>
    <w:rsid w:val="00A11371"/>
    <w:rsid w:val="00A120E1"/>
    <w:rsid w:val="00A1278E"/>
    <w:rsid w:val="00A146C8"/>
    <w:rsid w:val="00A317F1"/>
    <w:rsid w:val="00A31FAA"/>
    <w:rsid w:val="00A343A9"/>
    <w:rsid w:val="00A40610"/>
    <w:rsid w:val="00A44092"/>
    <w:rsid w:val="00A5239C"/>
    <w:rsid w:val="00A5289A"/>
    <w:rsid w:val="00A650DC"/>
    <w:rsid w:val="00A6764A"/>
    <w:rsid w:val="00A77C73"/>
    <w:rsid w:val="00A84255"/>
    <w:rsid w:val="00A93734"/>
    <w:rsid w:val="00AB0AF0"/>
    <w:rsid w:val="00AC1AC7"/>
    <w:rsid w:val="00AC64A4"/>
    <w:rsid w:val="00AC6879"/>
    <w:rsid w:val="00AD18B8"/>
    <w:rsid w:val="00AD33D5"/>
    <w:rsid w:val="00AD7A49"/>
    <w:rsid w:val="00AD7B53"/>
    <w:rsid w:val="00AE21FC"/>
    <w:rsid w:val="00AE7072"/>
    <w:rsid w:val="00B01BAA"/>
    <w:rsid w:val="00B04405"/>
    <w:rsid w:val="00B07BD7"/>
    <w:rsid w:val="00B13AA5"/>
    <w:rsid w:val="00B3099B"/>
    <w:rsid w:val="00B40A71"/>
    <w:rsid w:val="00B41B0C"/>
    <w:rsid w:val="00B4357C"/>
    <w:rsid w:val="00B503C7"/>
    <w:rsid w:val="00B54AB5"/>
    <w:rsid w:val="00B645C9"/>
    <w:rsid w:val="00B6609F"/>
    <w:rsid w:val="00B71920"/>
    <w:rsid w:val="00B752A2"/>
    <w:rsid w:val="00B77502"/>
    <w:rsid w:val="00B845CF"/>
    <w:rsid w:val="00B85CF5"/>
    <w:rsid w:val="00B92C96"/>
    <w:rsid w:val="00B94D4E"/>
    <w:rsid w:val="00BA14C5"/>
    <w:rsid w:val="00BA68F0"/>
    <w:rsid w:val="00BA69FA"/>
    <w:rsid w:val="00BB1AA7"/>
    <w:rsid w:val="00BB6400"/>
    <w:rsid w:val="00BD08CA"/>
    <w:rsid w:val="00BE1214"/>
    <w:rsid w:val="00BE3015"/>
    <w:rsid w:val="00BF0FB8"/>
    <w:rsid w:val="00BF2233"/>
    <w:rsid w:val="00C11C20"/>
    <w:rsid w:val="00C15672"/>
    <w:rsid w:val="00C31421"/>
    <w:rsid w:val="00C33753"/>
    <w:rsid w:val="00C35B94"/>
    <w:rsid w:val="00C44B3E"/>
    <w:rsid w:val="00C6159C"/>
    <w:rsid w:val="00C82FA4"/>
    <w:rsid w:val="00CA0669"/>
    <w:rsid w:val="00CA1E7C"/>
    <w:rsid w:val="00CB0030"/>
    <w:rsid w:val="00CB7521"/>
    <w:rsid w:val="00CC57AC"/>
    <w:rsid w:val="00CC776C"/>
    <w:rsid w:val="00CD6D68"/>
    <w:rsid w:val="00CD7433"/>
    <w:rsid w:val="00CD7553"/>
    <w:rsid w:val="00CE3864"/>
    <w:rsid w:val="00CF2824"/>
    <w:rsid w:val="00CF383E"/>
    <w:rsid w:val="00D0584B"/>
    <w:rsid w:val="00D1779D"/>
    <w:rsid w:val="00D2467C"/>
    <w:rsid w:val="00D2695E"/>
    <w:rsid w:val="00D272DF"/>
    <w:rsid w:val="00D335C5"/>
    <w:rsid w:val="00D42D93"/>
    <w:rsid w:val="00D45678"/>
    <w:rsid w:val="00D521FA"/>
    <w:rsid w:val="00D5685A"/>
    <w:rsid w:val="00D62EE4"/>
    <w:rsid w:val="00D81121"/>
    <w:rsid w:val="00D83442"/>
    <w:rsid w:val="00D83FDF"/>
    <w:rsid w:val="00DA7FFA"/>
    <w:rsid w:val="00DB443F"/>
    <w:rsid w:val="00DB5DBC"/>
    <w:rsid w:val="00DB6A12"/>
    <w:rsid w:val="00DD44E8"/>
    <w:rsid w:val="00DF1FDE"/>
    <w:rsid w:val="00E01965"/>
    <w:rsid w:val="00E02354"/>
    <w:rsid w:val="00E10EA0"/>
    <w:rsid w:val="00E11828"/>
    <w:rsid w:val="00E15D6B"/>
    <w:rsid w:val="00E24139"/>
    <w:rsid w:val="00E34C02"/>
    <w:rsid w:val="00E3616D"/>
    <w:rsid w:val="00E444A3"/>
    <w:rsid w:val="00E44D32"/>
    <w:rsid w:val="00E50862"/>
    <w:rsid w:val="00E60ABB"/>
    <w:rsid w:val="00E62D91"/>
    <w:rsid w:val="00E67611"/>
    <w:rsid w:val="00E67713"/>
    <w:rsid w:val="00E72DFF"/>
    <w:rsid w:val="00E72E25"/>
    <w:rsid w:val="00E92E47"/>
    <w:rsid w:val="00E95527"/>
    <w:rsid w:val="00E9576D"/>
    <w:rsid w:val="00E95805"/>
    <w:rsid w:val="00EA1F21"/>
    <w:rsid w:val="00EA46FF"/>
    <w:rsid w:val="00EB0434"/>
    <w:rsid w:val="00EB4CF4"/>
    <w:rsid w:val="00EC08AC"/>
    <w:rsid w:val="00EC1698"/>
    <w:rsid w:val="00EC1948"/>
    <w:rsid w:val="00EC30C6"/>
    <w:rsid w:val="00ED4639"/>
    <w:rsid w:val="00EE54D2"/>
    <w:rsid w:val="00EF7C8A"/>
    <w:rsid w:val="00F01D27"/>
    <w:rsid w:val="00F2365D"/>
    <w:rsid w:val="00F25E7F"/>
    <w:rsid w:val="00F307D6"/>
    <w:rsid w:val="00F31D2A"/>
    <w:rsid w:val="00F35971"/>
    <w:rsid w:val="00F4361A"/>
    <w:rsid w:val="00F45C4F"/>
    <w:rsid w:val="00F45E31"/>
    <w:rsid w:val="00F512EE"/>
    <w:rsid w:val="00F643E6"/>
    <w:rsid w:val="00F76D69"/>
    <w:rsid w:val="00F80E73"/>
    <w:rsid w:val="00F9012C"/>
    <w:rsid w:val="00F9097E"/>
    <w:rsid w:val="00F93C6C"/>
    <w:rsid w:val="00FA5147"/>
    <w:rsid w:val="00FB0C11"/>
    <w:rsid w:val="00FB2BD7"/>
    <w:rsid w:val="00FB655D"/>
    <w:rsid w:val="00FD4341"/>
    <w:rsid w:val="00FD4591"/>
    <w:rsid w:val="00FD4894"/>
    <w:rsid w:val="00FE20EA"/>
    <w:rsid w:val="00FE6B9E"/>
    <w:rsid w:val="00FE7E1F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A8BE7"/>
  <w15:docId w15:val="{1BCD0CD7-BB85-4ED7-993A-1CAE4075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3EE3"/>
    <w:pPr>
      <w:spacing w:after="120"/>
      <w:outlineLvl w:val="0"/>
    </w:pPr>
    <w:rPr>
      <w:rFonts w:ascii="Arial Black" w:hAnsi="Arial Black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E958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D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B0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0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0D5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0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0D51"/>
    <w:rPr>
      <w:b/>
      <w:bCs/>
    </w:rPr>
  </w:style>
  <w:style w:type="paragraph" w:styleId="Revision">
    <w:name w:val="Revision"/>
    <w:hidden/>
    <w:uiPriority w:val="99"/>
    <w:semiHidden/>
    <w:rsid w:val="00BB640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9D55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D55E3"/>
  </w:style>
  <w:style w:type="character" w:styleId="FootnoteReference">
    <w:name w:val="footnote reference"/>
    <w:basedOn w:val="DefaultParagraphFont"/>
    <w:semiHidden/>
    <w:unhideWhenUsed/>
    <w:rsid w:val="009D55E3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4A712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D3EE3"/>
    <w:rPr>
      <w:rFonts w:ascii="Arial Black" w:hAnsi="Arial Black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9803654-88DA-448B-9334-41A16F6E8C45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7B61-0D99-42F9-AC6A-3BA90F93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Kovach, Karen E (EHS)</dc:creator>
  <cp:lastModifiedBy>DeLeo, Dan (EHS)</cp:lastModifiedBy>
  <cp:revision>5</cp:revision>
  <dcterms:created xsi:type="dcterms:W3CDTF">2023-12-29T15:17:00Z</dcterms:created>
  <dcterms:modified xsi:type="dcterms:W3CDTF">2023-12-29T17:02:00Z</dcterms:modified>
</cp:coreProperties>
</file>