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5.999985pt;margin-top:18.000031pt;width:549.6pt;height:117pt;mso-position-horizontal-relative:page;mso-position-vertical-relative:page;z-index:-3520" coordorigin="720,360" coordsize="10992,2340">
            <v:shape style="position:absolute;left:720;top:360;width:10992;height:234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84;top:1332;width:1461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22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September 1, 2006</w:t>
                    </w:r>
                  </w:p>
                </w:txbxContent>
              </v:textbox>
              <w10:wrap type="none"/>
            </v:shape>
            <v:shape style="position:absolute;left:4790;top:2494;width:2500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 Narrow"/>
                        <w:sz w:val="18"/>
                      </w:rPr>
                    </w:pPr>
                    <w:hyperlink r:id="rId6">
                      <w:r>
                        <w:rPr>
                          <w:rFonts w:ascii="Arial Narrow"/>
                          <w:sz w:val="18"/>
                        </w:rPr>
                        <w:t>www.mass.gov/masshealth/pharmacy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6"/>
        <w:gridCol w:w="5393"/>
        <w:gridCol w:w="187"/>
      </w:tblGrid>
      <w:tr>
        <w:trPr>
          <w:trHeight w:val="300" w:hRule="atLeast"/>
        </w:trPr>
        <w:tc>
          <w:tcPr>
            <w:tcW w:w="108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00" w:val="left" w:leader="none"/>
              </w:tabs>
              <w:spacing w:line="240" w:lineRule="auto" w:before="13" w:after="0"/>
              <w:ind w:left="2399" w:right="0" w:hanging="149"/>
              <w:jc w:val="left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>Editor: Vic Vangel </w:t>
            </w:r>
            <w:r>
              <w:rPr>
                <w:rFonts w:ascii="Arial Black" w:hAnsi="Arial Black"/>
                <w:b/>
                <w:sz w:val="18"/>
              </w:rPr>
              <w:t>• </w:t>
            </w:r>
            <w:r>
              <w:rPr>
                <w:rFonts w:ascii="Arial Narrow" w:hAnsi="Arial Narrow"/>
                <w:sz w:val="18"/>
              </w:rPr>
              <w:t>Contributors: Chris Burke, Gary Gilmore, Paul Jeffrey, James Monahan</w:t>
            </w:r>
            <w:r>
              <w:rPr>
                <w:rFonts w:ascii="Arial Narrow" w:hAnsi="Arial Narrow"/>
                <w:spacing w:val="-1"/>
                <w:sz w:val="18"/>
              </w:rPr>
              <w:t> </w:t>
            </w:r>
            <w:r>
              <w:rPr>
                <w:rFonts w:ascii="Arial Black" w:hAnsi="Arial Black"/>
                <w:b/>
                <w:sz w:val="18"/>
              </w:rPr>
              <w:t>•</w:t>
            </w:r>
          </w:p>
        </w:tc>
        <w:tc>
          <w:tcPr>
            <w:tcW w:w="18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940" w:hRule="atLeast"/>
        </w:trPr>
        <w:tc>
          <w:tcPr>
            <w:tcW w:w="5436" w:type="dxa"/>
            <w:tcBorders>
              <w:top w:val="single" w:sz="8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7" w:right="1197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Medicare Part D Prescription Drug Coverage Update</w:t>
            </w:r>
          </w:p>
          <w:p>
            <w:pPr>
              <w:pStyle w:val="TableParagraph"/>
              <w:spacing w:line="290" w:lineRule="auto" w:before="51"/>
              <w:ind w:left="107" w:right="587"/>
              <w:rPr>
                <w:sz w:val="21"/>
              </w:rPr>
            </w:pPr>
            <w:r>
              <w:rPr>
                <w:sz w:val="21"/>
              </w:rPr>
              <w:t>The Massachusetts legislature made a number of changes to the assistance available to MassHealth dually eligible members, effective July 1, 2006.</w:t>
            </w:r>
          </w:p>
          <w:p>
            <w:pPr>
              <w:pStyle w:val="TableParagraph"/>
              <w:spacing w:line="290" w:lineRule="auto" w:before="41"/>
              <w:ind w:left="107" w:right="105"/>
              <w:rPr>
                <w:sz w:val="21"/>
              </w:rPr>
            </w:pPr>
            <w:r>
              <w:rPr>
                <w:sz w:val="21"/>
              </w:rPr>
              <w:t>The legislation extended the availability of the one-time 30-day supply of medication through December 31, 2006. The override for a one-time 72-hour supply of medication will continue until further notice. The one- time overrides are no longer limited to instances involving drug coverage by a known Medicare Part D plan. Pharmacists may now use standard NCPDP </w:t>
            </w:r>
            <w:r>
              <w:rPr>
                <w:b/>
                <w:sz w:val="21"/>
              </w:rPr>
              <w:t>other payer reject codes </w:t>
            </w:r>
            <w:r>
              <w:rPr>
                <w:sz w:val="21"/>
              </w:rPr>
              <w:t>(NCPDP field 472-6E) to override a denied claim when a Part D plan does not pay a claim for a Part D drug. Pharmacists must attempt to bill the MassHealth member’s Part D plan, if the member is enrolled in one, or the Wellpoint/Anthem point-of-sale contingency plan, if not enrolled in a Part D plan. After these attempts, pharmacies may submit the claim to MassHealth for an override.</w:t>
            </w:r>
          </w:p>
          <w:p>
            <w:pPr>
              <w:pStyle w:val="TableParagraph"/>
              <w:spacing w:line="290" w:lineRule="auto" w:before="40"/>
              <w:ind w:left="107" w:right="115"/>
              <w:rPr>
                <w:sz w:val="21"/>
              </w:rPr>
            </w:pPr>
            <w:r>
              <w:rPr>
                <w:sz w:val="21"/>
              </w:rPr>
              <w:t>The legislation also expanded Part D copayment assistance for MassHealth members. You can still use the process described in Pharmacy Facts No. 17 to reduce a dually eligible member’s copayment from $2 and $5 levels (as determined by the Part D plan) to the standard MassHealth copayment levels of $1 and $3. This process can also be used to reduce the copayment to $0 for members under 18, members who reside in long-term-care facilities, and pregnant women who are assessed a copayment by a Part D plan. This process also may be used to reduce copayments when the Part D plan refuses to reduce an incorrectly high copayment. </w:t>
            </w:r>
            <w:r>
              <w:rPr>
                <w:b/>
                <w:sz w:val="21"/>
              </w:rPr>
              <w:t>The maximum copayment that a Part D plan is permitted to charge a dually eligible member is $5. </w:t>
            </w:r>
            <w:r>
              <w:rPr>
                <w:sz w:val="21"/>
              </w:rPr>
              <w:t>In the event that the Part D plan assesses a copayment in excess of $5 for a dually eligible member, contact the plan. If the plan refuses to correct the copayment amount, MassHealth will supplement the copayment to standard MassHealth levels.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2"/>
              <w:ind w:left="102" w:right="536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MassHealth Drug List Update Additions Effective 9/15/2006</w:t>
            </w:r>
          </w:p>
          <w:p>
            <w:pPr>
              <w:pStyle w:val="TableParagraph"/>
              <w:spacing w:line="290" w:lineRule="auto" w:before="51"/>
              <w:ind w:left="102" w:right="234"/>
              <w:rPr>
                <w:sz w:val="21"/>
              </w:rPr>
            </w:pPr>
            <w:r>
              <w:rPr>
                <w:sz w:val="21"/>
              </w:rPr>
              <w:t>The following newly marketed drugs have been added to the MassHealth Drug List.</w:t>
            </w:r>
          </w:p>
          <w:p>
            <w:pPr>
              <w:pStyle w:val="TableParagraph"/>
              <w:ind w:left="894" w:right="399" w:hanging="442"/>
              <w:rPr>
                <w:b/>
                <w:sz w:val="21"/>
              </w:rPr>
            </w:pPr>
            <w:r>
              <w:rPr>
                <w:sz w:val="21"/>
              </w:rPr>
              <w:t>Abilify Discmelt (apriprazole, orally disintegrating tablet)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before="9"/>
              <w:ind w:left="477" w:right="1151"/>
              <w:jc w:val="both"/>
              <w:rPr>
                <w:sz w:val="21"/>
              </w:rPr>
            </w:pPr>
            <w:r>
              <w:rPr>
                <w:sz w:val="21"/>
              </w:rPr>
              <w:t>Alcet (oxycodone/acetaminophen) – </w:t>
            </w:r>
            <w:r>
              <w:rPr>
                <w:b/>
                <w:sz w:val="21"/>
              </w:rPr>
              <w:t>PA </w:t>
            </w:r>
            <w:r>
              <w:rPr>
                <w:sz w:val="21"/>
              </w:rPr>
              <w:t>Atripla (efavirenz/emtricitabine/tenofovir) Azilect (rasagiline)</w:t>
            </w:r>
          </w:p>
          <w:p>
            <w:pPr>
              <w:pStyle w:val="TableParagraph"/>
              <w:spacing w:line="241" w:lineRule="exact" w:before="1"/>
              <w:rPr>
                <w:b/>
                <w:sz w:val="21"/>
              </w:rPr>
            </w:pPr>
            <w:r>
              <w:rPr>
                <w:sz w:val="21"/>
              </w:rPr>
              <w:t>Cardura XL (doxazosin extended release)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sz w:val="21"/>
              </w:rPr>
              <w:t>Cesamet (nabilone)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line="224" w:lineRule="exact"/>
              <w:rPr>
                <w:b/>
                <w:sz w:val="21"/>
              </w:rPr>
            </w:pPr>
            <w:r>
              <w:rPr>
                <w:sz w:val="21"/>
              </w:rPr>
              <w:t>Chantix (varenicline) – </w:t>
            </w:r>
            <w:r>
              <w:rPr>
                <w:b/>
                <w:sz w:val="21"/>
              </w:rPr>
              <w:t>PA &gt; 24 weeks</w:t>
            </w:r>
          </w:p>
          <w:p>
            <w:pPr>
              <w:pStyle w:val="TableParagraph"/>
              <w:spacing w:line="259" w:lineRule="exact"/>
              <w:rPr>
                <w:sz w:val="14"/>
              </w:rPr>
            </w:pPr>
            <w:r>
              <w:rPr>
                <w:sz w:val="21"/>
              </w:rPr>
              <w:t>Dacogen (decitabine) </w:t>
            </w:r>
            <w:r>
              <w:rPr>
                <w:position w:val="10"/>
                <w:sz w:val="14"/>
              </w:rPr>
              <w:t>H</w:t>
            </w:r>
          </w:p>
          <w:p>
            <w:pPr>
              <w:pStyle w:val="TableParagraph"/>
              <w:spacing w:before="1"/>
              <w:ind w:left="477"/>
              <w:rPr>
                <w:sz w:val="21"/>
              </w:rPr>
            </w:pPr>
            <w:r>
              <w:rPr>
                <w:sz w:val="21"/>
              </w:rPr>
              <w:t>Daytrana (methylphenidate transdermal system) –</w:t>
            </w:r>
          </w:p>
          <w:p>
            <w:pPr>
              <w:pStyle w:val="TableParagraph"/>
              <w:spacing w:line="241" w:lineRule="exact"/>
              <w:ind w:left="895"/>
              <w:rPr>
                <w:b/>
                <w:sz w:val="21"/>
              </w:rPr>
            </w:pP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line="241" w:lineRule="exact"/>
              <w:ind w:left="477"/>
              <w:rPr>
                <w:b/>
                <w:sz w:val="21"/>
              </w:rPr>
            </w:pPr>
            <w:r>
              <w:rPr>
                <w:sz w:val="21"/>
              </w:rPr>
              <w:t>Deplin (L-methylfolate)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sz w:val="21"/>
              </w:rPr>
              <w:t>EMSAM (selegiline transdermal system)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before="1"/>
              <w:ind w:right="1919"/>
              <w:rPr>
                <w:sz w:val="21"/>
              </w:rPr>
            </w:pPr>
            <w:r>
              <w:rPr>
                <w:sz w:val="21"/>
              </w:rPr>
              <w:t>Enjuvia (estrogens, conjugated) Eraxis (anidulafungin)</w:t>
            </w:r>
          </w:p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sz w:val="21"/>
              </w:rPr>
              <w:t>Exubera (regular insulin, inhalation)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sz w:val="21"/>
              </w:rPr>
              <w:t>Increlex (mecasermin)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line="241" w:lineRule="exact" w:before="1"/>
              <w:rPr>
                <w:b/>
                <w:sz w:val="21"/>
              </w:rPr>
            </w:pPr>
            <w:r>
              <w:rPr>
                <w:sz w:val="21"/>
              </w:rPr>
              <w:t>Iplex (mecasermin)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sz w:val="21"/>
              </w:rPr>
              <w:t>Keflex (cephalexin) 750 mg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Lucentis (ranibizumab) ^</w:t>
            </w:r>
          </w:p>
          <w:p>
            <w:pPr>
              <w:pStyle w:val="TableParagraph"/>
              <w:spacing w:line="223" w:lineRule="auto" w:before="16"/>
              <w:ind w:right="1078"/>
              <w:rPr>
                <w:sz w:val="14"/>
              </w:rPr>
            </w:pPr>
            <w:r>
              <w:rPr>
                <w:sz w:val="21"/>
              </w:rPr>
              <w:t>Lynox (oxycodone/acetaminophen) – </w:t>
            </w:r>
            <w:r>
              <w:rPr>
                <w:b/>
                <w:sz w:val="21"/>
              </w:rPr>
              <w:t>PA </w:t>
            </w:r>
            <w:r>
              <w:rPr>
                <w:sz w:val="21"/>
              </w:rPr>
              <w:t>Myozyme (alglucosidase) – </w:t>
            </w:r>
            <w:r>
              <w:rPr>
                <w:b/>
                <w:sz w:val="21"/>
              </w:rPr>
              <w:t>PA </w:t>
            </w:r>
            <w:r>
              <w:rPr>
                <w:sz w:val="21"/>
              </w:rPr>
              <w:t>NeoProfen (ibuprofen lysine) </w:t>
            </w:r>
            <w:r>
              <w:rPr>
                <w:position w:val="10"/>
                <w:sz w:val="14"/>
              </w:rPr>
              <w:t>H</w:t>
            </w:r>
          </w:p>
          <w:p>
            <w:pPr>
              <w:pStyle w:val="TableParagraph"/>
              <w:spacing w:line="241" w:lineRule="exact"/>
              <w:ind w:left="477"/>
              <w:rPr>
                <w:b/>
                <w:sz w:val="21"/>
              </w:rPr>
            </w:pPr>
            <w:r>
              <w:rPr>
                <w:sz w:val="21"/>
              </w:rPr>
              <w:t>Opana (oxymorphone)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sz w:val="21"/>
              </w:rPr>
              <w:t>Opana ER (oxymorphone extended release)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ind w:right="2376" w:hanging="1"/>
              <w:rPr>
                <w:b/>
                <w:sz w:val="21"/>
              </w:rPr>
            </w:pPr>
            <w:r>
              <w:rPr>
                <w:sz w:val="21"/>
              </w:rPr>
              <w:t>Oracea (doxycycline) – </w:t>
            </w:r>
            <w:r>
              <w:rPr>
                <w:b/>
                <w:sz w:val="21"/>
              </w:rPr>
              <w:t>PA </w:t>
            </w:r>
            <w:r>
              <w:rPr>
                <w:sz w:val="21"/>
              </w:rPr>
              <w:t>Prezista (darunavir) Ranexa (ranolazine)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ind w:left="477" w:right="559" w:firstLine="17"/>
              <w:rPr>
                <w:b/>
                <w:sz w:val="21"/>
              </w:rPr>
            </w:pPr>
            <w:r>
              <w:rPr>
                <w:sz w:val="21"/>
              </w:rPr>
              <w:t>Requip Starter Kit (ropinirole) – </w:t>
            </w:r>
            <w:r>
              <w:rPr>
                <w:b/>
                <w:sz w:val="21"/>
              </w:rPr>
              <w:t>PA </w:t>
            </w:r>
            <w:r>
              <w:rPr>
                <w:sz w:val="21"/>
              </w:rPr>
              <w:t>Seasonique (ethinyl estradiol/levonorgestrel) Solodyn (minocycline extended release) – </w:t>
            </w:r>
            <w:r>
              <w:rPr>
                <w:b/>
                <w:sz w:val="21"/>
              </w:rPr>
              <w:t>PA </w:t>
            </w:r>
            <w:r>
              <w:rPr>
                <w:sz w:val="21"/>
              </w:rPr>
              <w:t>Soltamox (tamoxifen)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Sprycel (dasatinib)</w:t>
            </w:r>
          </w:p>
          <w:p>
            <w:pPr>
              <w:pStyle w:val="TableParagraph"/>
              <w:ind w:left="895" w:right="1346" w:hanging="428"/>
              <w:rPr>
                <w:b/>
                <w:sz w:val="21"/>
              </w:rPr>
            </w:pPr>
            <w:r>
              <w:rPr>
                <w:sz w:val="21"/>
              </w:rPr>
              <w:t>Synera (lidocaine/tetracaine) – </w:t>
            </w:r>
            <w:r>
              <w:rPr>
                <w:b/>
                <w:sz w:val="21"/>
              </w:rPr>
              <w:t>PA &gt; 4 patches/month</w:t>
            </w:r>
          </w:p>
          <w:p>
            <w:pPr>
              <w:pStyle w:val="TableParagraph"/>
              <w:spacing w:line="208" w:lineRule="auto" w:before="32"/>
              <w:ind w:right="2376"/>
              <w:rPr>
                <w:sz w:val="14"/>
              </w:rPr>
            </w:pPr>
            <w:r>
              <w:rPr>
                <w:sz w:val="21"/>
              </w:rPr>
              <w:t>Tysabri (natalizumab) Vaprisol (conivaptan) </w:t>
            </w:r>
            <w:r>
              <w:rPr>
                <w:position w:val="10"/>
                <w:sz w:val="14"/>
              </w:rPr>
              <w:t>H</w:t>
            </w:r>
          </w:p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sz w:val="21"/>
              </w:rPr>
              <w:t>Vivitrol (naltrexone injection)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Yaz (ethinyl estradiol/drospirenone)</w:t>
            </w:r>
          </w:p>
          <w:p>
            <w:pPr>
              <w:pStyle w:val="TableParagraph"/>
              <w:spacing w:before="1"/>
              <w:ind w:left="490"/>
              <w:rPr>
                <w:b/>
                <w:sz w:val="21"/>
              </w:rPr>
            </w:pPr>
            <w:r>
              <w:rPr>
                <w:sz w:val="21"/>
              </w:rPr>
              <w:t>Zelapar (selegiline, orally disintegrating tablet)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7" w:right="536"/>
              <w:rPr>
                <w:sz w:val="21"/>
              </w:rPr>
            </w:pPr>
            <w:r>
              <w:rPr>
                <w:sz w:val="21"/>
              </w:rPr>
              <w:t>(Explanations of symbols used can be found at </w:t>
            </w:r>
            <w:hyperlink r:id="rId7">
              <w:r>
                <w:rPr>
                  <w:color w:val="0000FF"/>
                  <w:sz w:val="21"/>
                  <w:u w:val="single" w:color="0000FF"/>
                </w:rPr>
                <w:t>mass.gov/druglist</w:t>
              </w:r>
            </w:hyperlink>
            <w:r>
              <w:rPr>
                <w:sz w:val="21"/>
              </w:rPr>
              <w:t>.)</w:t>
            </w:r>
          </w:p>
        </w:tc>
        <w:tc>
          <w:tcPr>
            <w:tcW w:w="187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35" w:lineRule="exact"/>
        <w:ind w:left="1920" w:right="1541"/>
        <w:jc w:val="center"/>
      </w:pPr>
      <w:r>
        <w:rPr/>
        <w:t>Please direct any questions or comments (or to be taken off of this fax distribution) to</w:t>
      </w:r>
    </w:p>
    <w:p>
      <w:pPr>
        <w:spacing w:before="0"/>
        <w:ind w:left="1919" w:right="1541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type w:val="continuous"/>
      <w:pgSz w:w="12240" w:h="15840"/>
      <w:pgMar w:top="360" w:bottom="0" w:left="6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399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242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85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8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71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4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7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00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43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49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hyperlink" Target="http://mass.gov/druglist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2017-11-16T09:23:20Z</dcterms:created>
  <dcterms:modified xsi:type="dcterms:W3CDTF">2017-11-16T09:23:20Z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2006-08-31T00:00:00Z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2017-11-16T00:00:00Z</vt:filetime>
  </property>
</Properties>
</file>