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93E2" w14:textId="4F0E557F" w:rsidR="00C559C9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AD05C9" w:rsidRPr="00CB006B">
        <w:rPr>
          <w:rFonts w:ascii="Arial Narrow" w:hAnsi="Arial Narrow"/>
          <w:b/>
          <w:color w:val="auto"/>
          <w:sz w:val="20"/>
          <w:szCs w:val="20"/>
        </w:rPr>
        <w:t>221</w:t>
      </w:r>
      <w:r w:rsidRPr="00CB006B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AD05C9" w:rsidRPr="00CB006B">
        <w:rPr>
          <w:rFonts w:ascii="Arial Narrow" w:hAnsi="Arial Narrow"/>
          <w:b/>
          <w:color w:val="auto"/>
          <w:sz w:val="20"/>
          <w:szCs w:val="20"/>
        </w:rPr>
        <w:t xml:space="preserve">February </w:t>
      </w:r>
      <w:r w:rsidR="00CB006B">
        <w:rPr>
          <w:rFonts w:ascii="Arial Narrow" w:hAnsi="Arial Narrow"/>
          <w:b/>
          <w:color w:val="auto"/>
          <w:sz w:val="20"/>
          <w:szCs w:val="20"/>
        </w:rPr>
        <w:t>2</w:t>
      </w:r>
      <w:r w:rsidR="00A963BF">
        <w:rPr>
          <w:rFonts w:ascii="Arial Narrow" w:hAnsi="Arial Narrow"/>
          <w:b/>
          <w:color w:val="auto"/>
          <w:sz w:val="20"/>
          <w:szCs w:val="20"/>
        </w:rPr>
        <w:t>2</w:t>
      </w:r>
      <w:r w:rsidR="00AD05C9" w:rsidRPr="00CB006B">
        <w:rPr>
          <w:rFonts w:ascii="Arial Narrow" w:hAnsi="Arial Narrow"/>
          <w:b/>
          <w:color w:val="auto"/>
          <w:sz w:val="20"/>
          <w:szCs w:val="20"/>
        </w:rPr>
        <w:t>, 2024</w:t>
      </w:r>
    </w:p>
    <w:p w14:paraId="539B08B0" w14:textId="7DFF5D98" w:rsidR="006F35F9" w:rsidRDefault="0094076D" w:rsidP="00212477">
      <w:pPr>
        <w:pStyle w:val="NormalWeb"/>
        <w:shd w:val="clear" w:color="auto" w:fill="FFFFFF"/>
        <w:spacing w:before="0" w:beforeAutospacing="0" w:after="225" w:afterAutospacing="0"/>
        <w:ind w:left="-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8F65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8B6939B" wp14:editId="20AFC057">
            <wp:extent cx="6772940" cy="1708501"/>
            <wp:effectExtent l="0" t="0" r="0" b="6350"/>
            <wp:docPr id="77277672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76727" name="Picture 1" descr="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82" cy="171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1BA1" w14:textId="3F5CC0C5" w:rsidR="00CD6D68" w:rsidRPr="00140D3B" w:rsidRDefault="00183CC2" w:rsidP="00CD6D68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Flovent Update</w:t>
      </w:r>
    </w:p>
    <w:p w14:paraId="5B95EB91" w14:textId="77777777" w:rsidR="00CD6D68" w:rsidRPr="00C60193" w:rsidRDefault="00CD6D68" w:rsidP="00CD6D68">
      <w:pPr>
        <w:rPr>
          <w:sz w:val="22"/>
          <w:szCs w:val="22"/>
        </w:rPr>
      </w:pPr>
    </w:p>
    <w:p w14:paraId="612673C4" w14:textId="5CB5B249" w:rsidR="005E192D" w:rsidRPr="005E192D" w:rsidRDefault="00C62719" w:rsidP="005E192D">
      <w:pPr>
        <w:rPr>
          <w:rFonts w:ascii="Arial" w:hAnsi="Arial" w:cs="Arial"/>
          <w:bCs/>
          <w:sz w:val="22"/>
          <w:szCs w:val="22"/>
        </w:rPr>
      </w:pPr>
      <w:r w:rsidRPr="00C62719">
        <w:rPr>
          <w:rFonts w:ascii="Arial" w:hAnsi="Arial" w:cs="Arial"/>
          <w:bCs/>
          <w:sz w:val="22"/>
          <w:szCs w:val="22"/>
        </w:rPr>
        <w:t xml:space="preserve">Pharmacy Facts </w:t>
      </w:r>
      <w:hyperlink r:id="rId15" w:history="1">
        <w:r w:rsidRPr="00C62719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#211</w:t>
        </w:r>
      </w:hyperlink>
      <w:r w:rsidRPr="00C62719">
        <w:rPr>
          <w:rFonts w:ascii="Arial" w:hAnsi="Arial" w:cs="Arial"/>
          <w:bCs/>
          <w:sz w:val="22"/>
          <w:szCs w:val="22"/>
        </w:rPr>
        <w:t xml:space="preserve"> and </w:t>
      </w:r>
      <w:hyperlink r:id="rId16" w:history="1">
        <w:r w:rsidRPr="00C62719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#216</w:t>
        </w:r>
      </w:hyperlink>
      <w:r w:rsidRPr="00C62719">
        <w:rPr>
          <w:rFonts w:ascii="Arial" w:hAnsi="Arial" w:cs="Arial"/>
          <w:bCs/>
          <w:sz w:val="22"/>
          <w:szCs w:val="22"/>
        </w:rPr>
        <w:t xml:space="preserve"> informed pharmacies about recent MassHealth coverage updates related to brand Flovent and generic fluticasone propionate inhalation products. This Pharmacy Facts serves as a summary of previous changes and a reference to upcoming changes to the MassHealth Drug List. Pharmacists and prescribers may also use the clinical information and dosing table located in the appendix of this Pharmacy Facts as a resource to help select a comparable alternative inhaled corticosteroid, if needed.</w:t>
      </w:r>
    </w:p>
    <w:p w14:paraId="396D527C" w14:textId="0A3F5CAA" w:rsidR="00CD6D68" w:rsidRPr="00F91102" w:rsidRDefault="007649F0" w:rsidP="00F91102">
      <w:pPr>
        <w:pStyle w:val="Subtitle"/>
        <w:spacing w:line="240" w:lineRule="auto"/>
        <w:rPr>
          <w:rFonts w:cs="Arial"/>
          <w:b/>
          <w:sz w:val="24"/>
          <w:szCs w:val="24"/>
        </w:rPr>
      </w:pPr>
      <w:r w:rsidRPr="00F91102">
        <w:rPr>
          <w:rFonts w:cs="Arial"/>
          <w:b/>
          <w:sz w:val="24"/>
          <w:szCs w:val="24"/>
        </w:rPr>
        <w:t xml:space="preserve">Background and MassHealth Management </w:t>
      </w:r>
      <w:r w:rsidR="007F19EB" w:rsidRPr="00F91102">
        <w:rPr>
          <w:rFonts w:cs="Arial"/>
          <w:b/>
          <w:sz w:val="24"/>
          <w:szCs w:val="24"/>
        </w:rPr>
        <w:t>for Flovent</w:t>
      </w:r>
      <w:r w:rsidR="007F19EB" w:rsidRPr="0082673B">
        <w:rPr>
          <w:rFonts w:cs="Arial"/>
          <w:b/>
          <w:sz w:val="24"/>
          <w:szCs w:val="24"/>
          <w:vertAlign w:val="superscript"/>
        </w:rPr>
        <w:t>®</w:t>
      </w:r>
      <w:r w:rsidR="007F19EB" w:rsidRPr="00F91102">
        <w:rPr>
          <w:rFonts w:cs="Arial"/>
          <w:b/>
          <w:sz w:val="24"/>
          <w:szCs w:val="24"/>
        </w:rPr>
        <w:t xml:space="preserve"> and </w:t>
      </w:r>
      <w:r w:rsidR="00BC4835">
        <w:rPr>
          <w:rFonts w:cs="Arial"/>
          <w:b/>
          <w:sz w:val="24"/>
          <w:szCs w:val="24"/>
        </w:rPr>
        <w:t>G</w:t>
      </w:r>
      <w:r w:rsidR="007F19EB" w:rsidRPr="00F91102">
        <w:rPr>
          <w:rFonts w:cs="Arial"/>
          <w:b/>
          <w:sz w:val="24"/>
          <w:szCs w:val="24"/>
        </w:rPr>
        <w:t xml:space="preserve">eneric </w:t>
      </w:r>
      <w:r w:rsidR="00BC4835">
        <w:rPr>
          <w:rFonts w:cs="Arial"/>
          <w:b/>
          <w:sz w:val="24"/>
          <w:szCs w:val="24"/>
        </w:rPr>
        <w:t>F</w:t>
      </w:r>
      <w:r w:rsidR="007F19EB" w:rsidRPr="00F91102">
        <w:rPr>
          <w:rFonts w:cs="Arial"/>
          <w:b/>
          <w:sz w:val="24"/>
          <w:szCs w:val="24"/>
        </w:rPr>
        <w:t xml:space="preserve">luticasone </w:t>
      </w:r>
      <w:r w:rsidR="00BC4835">
        <w:rPr>
          <w:rFonts w:cs="Arial"/>
          <w:b/>
          <w:sz w:val="24"/>
          <w:szCs w:val="24"/>
        </w:rPr>
        <w:t>P</w:t>
      </w:r>
      <w:r w:rsidR="007F19EB" w:rsidRPr="00F91102">
        <w:rPr>
          <w:rFonts w:cs="Arial"/>
          <w:b/>
          <w:sz w:val="24"/>
          <w:szCs w:val="24"/>
        </w:rPr>
        <w:t xml:space="preserve">ropionate </w:t>
      </w:r>
      <w:r w:rsidR="00BC4835">
        <w:rPr>
          <w:rFonts w:cs="Arial"/>
          <w:b/>
          <w:sz w:val="24"/>
          <w:szCs w:val="24"/>
        </w:rPr>
        <w:t>I</w:t>
      </w:r>
      <w:r w:rsidR="007F19EB" w:rsidRPr="00F91102">
        <w:rPr>
          <w:rFonts w:cs="Arial"/>
          <w:b/>
          <w:sz w:val="24"/>
          <w:szCs w:val="24"/>
        </w:rPr>
        <w:t>nhalers</w:t>
      </w:r>
    </w:p>
    <w:p w14:paraId="7E8DF109" w14:textId="66F65E95" w:rsidR="005A22AC" w:rsidRPr="005E7F45" w:rsidRDefault="005A22AC" w:rsidP="00EC6E1A">
      <w:pPr>
        <w:pStyle w:val="ListParagraph"/>
        <w:numPr>
          <w:ilvl w:val="0"/>
          <w:numId w:val="12"/>
        </w:numPr>
        <w:spacing w:after="160" w:line="259" w:lineRule="auto"/>
        <w:ind w:left="90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>GlaxoSmithKline announced that brand Flovent</w:t>
      </w:r>
      <w:r w:rsidRPr="005E7F45">
        <w:rPr>
          <w:rFonts w:ascii="Arial" w:hAnsi="Arial" w:cs="Arial"/>
          <w:sz w:val="22"/>
          <w:szCs w:val="22"/>
          <w:vertAlign w:val="superscript"/>
        </w:rPr>
        <w:t>®</w:t>
      </w:r>
      <w:r w:rsidRPr="005E7F45">
        <w:rPr>
          <w:rFonts w:ascii="Arial" w:hAnsi="Arial" w:cs="Arial"/>
          <w:sz w:val="22"/>
          <w:szCs w:val="22"/>
        </w:rPr>
        <w:t xml:space="preserve"> HFA and Flovent</w:t>
      </w:r>
      <w:r w:rsidRPr="005E7F45">
        <w:rPr>
          <w:rFonts w:ascii="Arial" w:hAnsi="Arial" w:cs="Arial"/>
          <w:sz w:val="22"/>
          <w:szCs w:val="22"/>
          <w:vertAlign w:val="superscript"/>
        </w:rPr>
        <w:t>®</w:t>
      </w:r>
      <w:r w:rsidRPr="005E7F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7F45">
        <w:rPr>
          <w:rFonts w:ascii="Arial" w:hAnsi="Arial" w:cs="Arial"/>
          <w:sz w:val="22"/>
          <w:szCs w:val="22"/>
        </w:rPr>
        <w:t>Diskus</w:t>
      </w:r>
      <w:proofErr w:type="spellEnd"/>
      <w:r w:rsidRPr="005E7F45">
        <w:rPr>
          <w:rFonts w:ascii="Arial" w:hAnsi="Arial" w:cs="Arial"/>
          <w:sz w:val="22"/>
          <w:szCs w:val="22"/>
          <w:vertAlign w:val="superscript"/>
        </w:rPr>
        <w:t>®</w:t>
      </w:r>
      <w:r w:rsidRPr="005E7F45">
        <w:rPr>
          <w:rFonts w:ascii="Arial" w:hAnsi="Arial" w:cs="Arial"/>
          <w:sz w:val="22"/>
          <w:szCs w:val="22"/>
        </w:rPr>
        <w:t xml:space="preserve"> </w:t>
      </w:r>
      <w:r w:rsidR="006F5F9D">
        <w:rPr>
          <w:rFonts w:ascii="Arial" w:hAnsi="Arial" w:cs="Arial"/>
          <w:sz w:val="22"/>
          <w:szCs w:val="22"/>
        </w:rPr>
        <w:t xml:space="preserve">are </w:t>
      </w:r>
      <w:r w:rsidRPr="005E7F45">
        <w:rPr>
          <w:rFonts w:ascii="Arial" w:hAnsi="Arial" w:cs="Arial"/>
          <w:sz w:val="22"/>
          <w:szCs w:val="22"/>
        </w:rPr>
        <w:t xml:space="preserve">no longer available </w:t>
      </w:r>
      <w:r w:rsidR="003A0215">
        <w:rPr>
          <w:rFonts w:ascii="Arial" w:hAnsi="Arial" w:cs="Arial"/>
          <w:sz w:val="22"/>
          <w:szCs w:val="22"/>
        </w:rPr>
        <w:t>to</w:t>
      </w:r>
      <w:r w:rsidR="003A0215" w:rsidRPr="005E7F45">
        <w:rPr>
          <w:rFonts w:ascii="Arial" w:hAnsi="Arial" w:cs="Arial"/>
          <w:sz w:val="22"/>
          <w:szCs w:val="22"/>
        </w:rPr>
        <w:t xml:space="preserve"> </w:t>
      </w:r>
      <w:r w:rsidRPr="005E7F45">
        <w:rPr>
          <w:rFonts w:ascii="Arial" w:hAnsi="Arial" w:cs="Arial"/>
          <w:sz w:val="22"/>
          <w:szCs w:val="22"/>
        </w:rPr>
        <w:t xml:space="preserve">order </w:t>
      </w:r>
      <w:r w:rsidR="003A0215">
        <w:rPr>
          <w:rFonts w:ascii="Arial" w:hAnsi="Arial" w:cs="Arial"/>
          <w:sz w:val="22"/>
          <w:szCs w:val="22"/>
        </w:rPr>
        <w:t>as of</w:t>
      </w:r>
      <w:r w:rsidR="003A0215" w:rsidRPr="005E7F45">
        <w:rPr>
          <w:rFonts w:ascii="Arial" w:hAnsi="Arial" w:cs="Arial"/>
          <w:sz w:val="22"/>
          <w:szCs w:val="22"/>
        </w:rPr>
        <w:t xml:space="preserve"> </w:t>
      </w:r>
      <w:r w:rsidRPr="005E7F45">
        <w:rPr>
          <w:rFonts w:ascii="Arial" w:hAnsi="Arial" w:cs="Arial"/>
          <w:sz w:val="22"/>
          <w:szCs w:val="22"/>
        </w:rPr>
        <w:t>December 31, 2023. It is expected that supply of these products will be gone by early 2024. MassHealth will continue to pay for brand Flovent</w:t>
      </w:r>
      <w:r w:rsidRPr="005E7F45">
        <w:rPr>
          <w:rFonts w:ascii="Arial" w:hAnsi="Arial" w:cs="Arial"/>
          <w:sz w:val="22"/>
          <w:szCs w:val="22"/>
          <w:vertAlign w:val="superscript"/>
        </w:rPr>
        <w:t>®</w:t>
      </w:r>
      <w:r w:rsidRPr="005E7F45">
        <w:rPr>
          <w:rFonts w:ascii="Arial" w:hAnsi="Arial" w:cs="Arial"/>
          <w:sz w:val="22"/>
          <w:szCs w:val="22"/>
        </w:rPr>
        <w:t xml:space="preserve"> (fluticasone propionate) until supplies are depleted.</w:t>
      </w:r>
    </w:p>
    <w:p w14:paraId="2664EB6B" w14:textId="77777777" w:rsidR="005A22AC" w:rsidRPr="005E7F45" w:rsidRDefault="005A22AC" w:rsidP="00EC6E1A">
      <w:pPr>
        <w:pStyle w:val="ListParagraph"/>
        <w:numPr>
          <w:ilvl w:val="0"/>
          <w:numId w:val="12"/>
        </w:numPr>
        <w:spacing w:after="160" w:line="259" w:lineRule="auto"/>
        <w:ind w:left="90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 xml:space="preserve">Since December 4, 2023, generic fluticasone propionate requires prior authorization (PA). </w:t>
      </w:r>
    </w:p>
    <w:p w14:paraId="08A8392C" w14:textId="74147C45" w:rsidR="005A22AC" w:rsidRDefault="005A22AC" w:rsidP="00EC6E1A">
      <w:pPr>
        <w:pStyle w:val="ListParagraph"/>
        <w:numPr>
          <w:ilvl w:val="1"/>
          <w:numId w:val="12"/>
        </w:numPr>
        <w:spacing w:after="160" w:line="259" w:lineRule="auto"/>
        <w:ind w:left="126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 xml:space="preserve">During the </w:t>
      </w:r>
      <w:proofErr w:type="gramStart"/>
      <w:r w:rsidRPr="005E7F45">
        <w:rPr>
          <w:rFonts w:ascii="Arial" w:hAnsi="Arial" w:cs="Arial"/>
          <w:sz w:val="22"/>
          <w:szCs w:val="22"/>
        </w:rPr>
        <w:t>time period</w:t>
      </w:r>
      <w:proofErr w:type="gramEnd"/>
      <w:r w:rsidRPr="005E7F45">
        <w:rPr>
          <w:rFonts w:ascii="Arial" w:hAnsi="Arial" w:cs="Arial"/>
          <w:sz w:val="22"/>
          <w:szCs w:val="22"/>
        </w:rPr>
        <w:t xml:space="preserve"> between December 4, 2023</w:t>
      </w:r>
      <w:r w:rsidR="00BC4835">
        <w:rPr>
          <w:rFonts w:ascii="Arial" w:hAnsi="Arial" w:cs="Arial"/>
          <w:sz w:val="22"/>
          <w:szCs w:val="22"/>
        </w:rPr>
        <w:t>,</w:t>
      </w:r>
      <w:r w:rsidRPr="005E7F45">
        <w:rPr>
          <w:rFonts w:ascii="Arial" w:hAnsi="Arial" w:cs="Arial"/>
          <w:sz w:val="22"/>
          <w:szCs w:val="22"/>
        </w:rPr>
        <w:t xml:space="preserve"> and March 3, 2024, all members </w:t>
      </w:r>
      <w:r w:rsidRPr="005E7F45">
        <w:rPr>
          <w:rFonts w:ascii="Arial" w:hAnsi="Arial" w:cs="Arial"/>
          <w:sz w:val="22"/>
          <w:szCs w:val="22"/>
          <w:u w:val="single"/>
        </w:rPr>
        <w:t>stable</w:t>
      </w:r>
      <w:r w:rsidRPr="005E7F45">
        <w:rPr>
          <w:rFonts w:ascii="Arial" w:hAnsi="Arial" w:cs="Arial"/>
          <w:sz w:val="22"/>
          <w:szCs w:val="22"/>
        </w:rPr>
        <w:t xml:space="preserve"> on Flovent</w:t>
      </w:r>
      <w:r w:rsidRPr="005E7F45">
        <w:rPr>
          <w:rFonts w:ascii="Arial" w:hAnsi="Arial" w:cs="Arial"/>
          <w:sz w:val="22"/>
          <w:szCs w:val="22"/>
          <w:vertAlign w:val="superscript"/>
        </w:rPr>
        <w:t>®</w:t>
      </w:r>
      <w:r w:rsidRPr="005E7F45">
        <w:rPr>
          <w:rFonts w:ascii="Arial" w:hAnsi="Arial" w:cs="Arial"/>
          <w:sz w:val="22"/>
          <w:szCs w:val="22"/>
        </w:rPr>
        <w:t xml:space="preserve"> products may continue to get brand or generic fluticasone propionate without PA. Any new starts will require PA for generic fluticasone propionate inhalers (regardless of age)</w:t>
      </w:r>
      <w:r w:rsidR="00BC4835">
        <w:rPr>
          <w:rFonts w:ascii="Arial" w:hAnsi="Arial" w:cs="Arial"/>
          <w:sz w:val="22"/>
          <w:szCs w:val="22"/>
        </w:rPr>
        <w:t>.</w:t>
      </w:r>
      <w:r w:rsidRPr="005E7F45">
        <w:rPr>
          <w:rFonts w:ascii="Arial" w:hAnsi="Arial" w:cs="Arial"/>
          <w:sz w:val="22"/>
          <w:szCs w:val="22"/>
        </w:rPr>
        <w:t xml:space="preserve"> </w:t>
      </w:r>
    </w:p>
    <w:p w14:paraId="147FC9D6" w14:textId="77777777" w:rsidR="00EC6E1A" w:rsidRDefault="00EC6E1A" w:rsidP="00EC6E1A">
      <w:pPr>
        <w:pStyle w:val="ListParagraph"/>
        <w:spacing w:after="160" w:line="259" w:lineRule="auto"/>
        <w:ind w:left="1260"/>
        <w:contextualSpacing/>
        <w:rPr>
          <w:rFonts w:ascii="Arial" w:hAnsi="Arial" w:cs="Arial"/>
          <w:sz w:val="22"/>
          <w:szCs w:val="22"/>
        </w:rPr>
      </w:pPr>
    </w:p>
    <w:p w14:paraId="1EA90518" w14:textId="77777777" w:rsidR="00EC6E1A" w:rsidRPr="005E7F45" w:rsidRDefault="00EC6E1A" w:rsidP="00EC6E1A">
      <w:pPr>
        <w:pStyle w:val="ListParagraph"/>
        <w:spacing w:after="160" w:line="259" w:lineRule="auto"/>
        <w:ind w:left="1260"/>
        <w:contextualSpacing/>
        <w:rPr>
          <w:rFonts w:ascii="Arial" w:hAnsi="Arial" w:cs="Arial"/>
          <w:sz w:val="22"/>
          <w:szCs w:val="22"/>
        </w:rPr>
      </w:pPr>
    </w:p>
    <w:p w14:paraId="38A60388" w14:textId="77777777" w:rsidR="005A22AC" w:rsidRPr="005E7F45" w:rsidRDefault="005A22AC" w:rsidP="00EC6E1A">
      <w:pPr>
        <w:pStyle w:val="ListParagraph"/>
        <w:numPr>
          <w:ilvl w:val="0"/>
          <w:numId w:val="12"/>
        </w:numPr>
        <w:spacing w:after="160" w:line="259" w:lineRule="auto"/>
        <w:ind w:left="90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 xml:space="preserve"> Beginning March 4, 2024: </w:t>
      </w:r>
    </w:p>
    <w:p w14:paraId="53E25B3C" w14:textId="77777777" w:rsidR="005A22AC" w:rsidRPr="005E7F45" w:rsidRDefault="005A22AC" w:rsidP="004D3D0B">
      <w:pPr>
        <w:pStyle w:val="ListParagraph"/>
        <w:numPr>
          <w:ilvl w:val="1"/>
          <w:numId w:val="12"/>
        </w:numPr>
        <w:spacing w:after="160" w:line="259" w:lineRule="auto"/>
        <w:ind w:left="135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 xml:space="preserve">Generic fluticasone propionate HFA inhalers will require PA for members ≥five years old. </w:t>
      </w:r>
    </w:p>
    <w:p w14:paraId="2DD2FD0A" w14:textId="1D9509E1" w:rsidR="005A22AC" w:rsidRPr="005E7F45" w:rsidRDefault="005A22AC" w:rsidP="004D3D0B">
      <w:pPr>
        <w:pStyle w:val="ListParagraph"/>
        <w:numPr>
          <w:ilvl w:val="1"/>
          <w:numId w:val="12"/>
        </w:numPr>
        <w:spacing w:after="160" w:line="259" w:lineRule="auto"/>
        <w:ind w:left="135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>MassHealth will not require PA for fluticasone propionate HFA inhalers for members &lt;five years old</w:t>
      </w:r>
      <w:r w:rsidR="00BC4835">
        <w:rPr>
          <w:rFonts w:ascii="Arial" w:hAnsi="Arial" w:cs="Arial"/>
          <w:sz w:val="22"/>
          <w:szCs w:val="22"/>
        </w:rPr>
        <w:t>.</w:t>
      </w:r>
    </w:p>
    <w:p w14:paraId="12424639" w14:textId="77777777" w:rsidR="005A22AC" w:rsidRPr="005E7F45" w:rsidRDefault="005A22AC" w:rsidP="004D3D0B">
      <w:pPr>
        <w:pStyle w:val="ListParagraph"/>
        <w:numPr>
          <w:ilvl w:val="1"/>
          <w:numId w:val="12"/>
        </w:numPr>
        <w:spacing w:after="160" w:line="259" w:lineRule="auto"/>
        <w:ind w:left="135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 xml:space="preserve">Generic fluticasone propionate </w:t>
      </w:r>
      <w:proofErr w:type="spellStart"/>
      <w:r w:rsidRPr="005E7F45">
        <w:rPr>
          <w:rFonts w:ascii="Arial" w:hAnsi="Arial" w:cs="Arial"/>
          <w:sz w:val="22"/>
          <w:szCs w:val="22"/>
        </w:rPr>
        <w:t>Diskus</w:t>
      </w:r>
      <w:proofErr w:type="spellEnd"/>
      <w:r w:rsidRPr="005E7F45">
        <w:rPr>
          <w:rFonts w:ascii="Arial" w:hAnsi="Arial" w:cs="Arial"/>
          <w:sz w:val="22"/>
          <w:szCs w:val="22"/>
          <w:vertAlign w:val="superscript"/>
        </w:rPr>
        <w:t>®</w:t>
      </w:r>
      <w:r w:rsidRPr="005E7F45">
        <w:rPr>
          <w:rFonts w:ascii="Arial" w:hAnsi="Arial" w:cs="Arial"/>
          <w:sz w:val="22"/>
          <w:szCs w:val="22"/>
        </w:rPr>
        <w:t xml:space="preserve"> will require PA for all ages.</w:t>
      </w:r>
    </w:p>
    <w:p w14:paraId="4A8EDFFD" w14:textId="14975B17" w:rsidR="00905C46" w:rsidRPr="00905C46" w:rsidRDefault="00CE2086" w:rsidP="00905C46">
      <w:pPr>
        <w:pStyle w:val="Subtitle"/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MassHealth Prior Authorization Status</w:t>
      </w:r>
      <w:r w:rsidR="00F91102">
        <w:rPr>
          <w:rFonts w:cs="Arial"/>
          <w:b/>
          <w:sz w:val="24"/>
          <w:szCs w:val="24"/>
        </w:rPr>
        <w:t xml:space="preserve"> </w:t>
      </w:r>
      <w:r w:rsidR="00BC4835">
        <w:rPr>
          <w:rFonts w:cs="Arial"/>
          <w:b/>
          <w:sz w:val="24"/>
          <w:szCs w:val="24"/>
        </w:rPr>
        <w:t>E</w:t>
      </w:r>
      <w:r w:rsidR="00F91102">
        <w:rPr>
          <w:rFonts w:cs="Arial"/>
          <w:b/>
          <w:sz w:val="24"/>
          <w:szCs w:val="24"/>
        </w:rPr>
        <w:t>ffective March 4,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0945E6" w:rsidRPr="000945E6" w14:paraId="1FC599DD" w14:textId="77777777" w:rsidTr="00086B12">
        <w:tc>
          <w:tcPr>
            <w:tcW w:w="4675" w:type="dxa"/>
            <w:shd w:val="clear" w:color="auto" w:fill="D9D9D9"/>
          </w:tcPr>
          <w:p w14:paraId="7F028C19" w14:textId="77777777" w:rsidR="000945E6" w:rsidRPr="000945E6" w:rsidRDefault="000945E6" w:rsidP="000945E6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0945E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Drugs that require PA</w:t>
            </w:r>
          </w:p>
        </w:tc>
      </w:tr>
      <w:tr w:rsidR="000945E6" w:rsidRPr="000945E6" w14:paraId="44DD8245" w14:textId="77777777" w:rsidTr="00086B12">
        <w:tc>
          <w:tcPr>
            <w:tcW w:w="4675" w:type="dxa"/>
            <w:shd w:val="clear" w:color="auto" w:fill="auto"/>
          </w:tcPr>
          <w:p w14:paraId="7AAC73A5" w14:textId="77777777" w:rsidR="000945E6" w:rsidRPr="000945E6" w:rsidRDefault="000945E6" w:rsidP="000945E6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Alvesco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HFA (</w:t>
            </w: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ciclesonide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inhaler) </w:t>
            </w:r>
          </w:p>
        </w:tc>
      </w:tr>
      <w:tr w:rsidR="000945E6" w:rsidRPr="000945E6" w14:paraId="79D83806" w14:textId="77777777" w:rsidTr="00086B12">
        <w:tc>
          <w:tcPr>
            <w:tcW w:w="4675" w:type="dxa"/>
            <w:shd w:val="clear" w:color="auto" w:fill="auto"/>
          </w:tcPr>
          <w:p w14:paraId="00DB5854" w14:textId="77777777" w:rsidR="000945E6" w:rsidRPr="000945E6" w:rsidRDefault="000945E6" w:rsidP="000945E6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ArmonAir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TM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Digihaler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(fluticasone propionate) </w:t>
            </w:r>
          </w:p>
        </w:tc>
      </w:tr>
      <w:tr w:rsidR="000945E6" w:rsidRPr="000945E6" w14:paraId="1145EB76" w14:textId="77777777" w:rsidTr="00086B12">
        <w:tc>
          <w:tcPr>
            <w:tcW w:w="4675" w:type="dxa"/>
            <w:shd w:val="clear" w:color="auto" w:fill="auto"/>
          </w:tcPr>
          <w:p w14:paraId="76EA3025" w14:textId="77777777" w:rsidR="000945E6" w:rsidRPr="000945E6" w:rsidRDefault="000945E6" w:rsidP="000945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Asmanex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Twisthaler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(mometasone 110 mcg) ≥12 years old </w:t>
            </w:r>
          </w:p>
        </w:tc>
      </w:tr>
      <w:tr w:rsidR="000945E6" w:rsidRPr="000945E6" w14:paraId="7E4479E9" w14:textId="77777777" w:rsidTr="00086B12">
        <w:tc>
          <w:tcPr>
            <w:tcW w:w="4675" w:type="dxa"/>
            <w:shd w:val="clear" w:color="auto" w:fill="auto"/>
          </w:tcPr>
          <w:p w14:paraId="4266D69F" w14:textId="77777777" w:rsidR="000945E6" w:rsidRPr="000945E6" w:rsidRDefault="000945E6" w:rsidP="000945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Asmanex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Twisthaler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® 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(mometasone 220 mcg) &lt;12 years old </w:t>
            </w:r>
          </w:p>
        </w:tc>
      </w:tr>
      <w:tr w:rsidR="000945E6" w:rsidRPr="000945E6" w14:paraId="0D6CBBFC" w14:textId="77777777" w:rsidTr="00086B12">
        <w:trPr>
          <w:trHeight w:val="46"/>
        </w:trPr>
        <w:tc>
          <w:tcPr>
            <w:tcW w:w="4675" w:type="dxa"/>
            <w:shd w:val="clear" w:color="auto" w:fill="auto"/>
          </w:tcPr>
          <w:p w14:paraId="2405CBEB" w14:textId="77777777" w:rsidR="000945E6" w:rsidRPr="000945E6" w:rsidRDefault="000945E6" w:rsidP="000945E6">
            <w:pP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Fluticasone propionate HFA ≥5 years old*</w:t>
            </w:r>
          </w:p>
        </w:tc>
      </w:tr>
      <w:tr w:rsidR="000945E6" w:rsidRPr="000945E6" w14:paraId="4E0236CB" w14:textId="77777777" w:rsidTr="00086B12">
        <w:trPr>
          <w:trHeight w:val="46"/>
        </w:trPr>
        <w:tc>
          <w:tcPr>
            <w:tcW w:w="4675" w:type="dxa"/>
            <w:shd w:val="clear" w:color="auto" w:fill="auto"/>
          </w:tcPr>
          <w:p w14:paraId="1F745C36" w14:textId="77777777" w:rsidR="000945E6" w:rsidRPr="000945E6" w:rsidRDefault="000945E6" w:rsidP="000945E6">
            <w:pPr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Fluticasone propionate DPI</w:t>
            </w:r>
            <w:r w:rsidRPr="000945E6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*</w:t>
            </w:r>
          </w:p>
        </w:tc>
      </w:tr>
      <w:tr w:rsidR="000945E6" w:rsidRPr="000945E6" w14:paraId="120CDF28" w14:textId="77777777" w:rsidTr="00086B12">
        <w:trPr>
          <w:trHeight w:val="71"/>
        </w:trPr>
        <w:tc>
          <w:tcPr>
            <w:tcW w:w="4675" w:type="dxa"/>
            <w:shd w:val="clear" w:color="auto" w:fill="auto"/>
          </w:tcPr>
          <w:p w14:paraId="45FCE5E8" w14:textId="77777777" w:rsidR="000945E6" w:rsidRPr="000945E6" w:rsidRDefault="000945E6" w:rsidP="000945E6">
            <w:pP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Pulmicort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® </w:t>
            </w: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Respules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(budesonide suspension)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 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≥13 years old*</w:t>
            </w:r>
          </w:p>
        </w:tc>
      </w:tr>
      <w:tr w:rsidR="000945E6" w:rsidRPr="000945E6" w14:paraId="48CA93D1" w14:textId="77777777" w:rsidTr="00086B12">
        <w:tc>
          <w:tcPr>
            <w:tcW w:w="4675" w:type="dxa"/>
            <w:shd w:val="clear" w:color="auto" w:fill="auto"/>
          </w:tcPr>
          <w:p w14:paraId="12D9CE43" w14:textId="77777777" w:rsidR="000945E6" w:rsidRPr="000945E6" w:rsidRDefault="000945E6" w:rsidP="000945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QVAR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RediHaler</w:t>
            </w:r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TM</w:t>
            </w:r>
            <w:proofErr w:type="spellEnd"/>
            <w:r w:rsidRPr="000945E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(beclomethasone inhaler) </w:t>
            </w:r>
          </w:p>
        </w:tc>
      </w:tr>
    </w:tbl>
    <w:p w14:paraId="0B8A23D4" w14:textId="77777777" w:rsidR="00EF4B0A" w:rsidRPr="005E7F45" w:rsidRDefault="00EF4B0A" w:rsidP="00EF4B0A">
      <w:pPr>
        <w:tabs>
          <w:tab w:val="left" w:pos="2717"/>
        </w:tabs>
        <w:jc w:val="both"/>
        <w:rPr>
          <w:rFonts w:cs="Arial"/>
          <w:i/>
          <w:iCs/>
          <w:sz w:val="16"/>
          <w:szCs w:val="16"/>
        </w:rPr>
      </w:pPr>
      <w:r w:rsidRPr="005E7F45">
        <w:rPr>
          <w:rFonts w:cs="Arial"/>
          <w:i/>
          <w:iCs/>
          <w:sz w:val="16"/>
          <w:szCs w:val="16"/>
        </w:rPr>
        <w:t xml:space="preserve">*PA required for both brand and generic </w:t>
      </w:r>
    </w:p>
    <w:p w14:paraId="4D8D223B" w14:textId="14F43D80" w:rsidR="00EF4B0A" w:rsidRPr="005E7F45" w:rsidRDefault="00EF4B0A" w:rsidP="00794581">
      <w:pPr>
        <w:tabs>
          <w:tab w:val="left" w:pos="2717"/>
        </w:tabs>
        <w:rPr>
          <w:rFonts w:cs="Arial"/>
          <w:sz w:val="16"/>
          <w:szCs w:val="16"/>
        </w:rPr>
      </w:pPr>
      <w:r w:rsidRPr="005E7F45">
        <w:rPr>
          <w:rFonts w:cs="Arial"/>
          <w:i/>
          <w:iCs/>
          <w:sz w:val="16"/>
          <w:szCs w:val="16"/>
        </w:rPr>
        <w:t>Abbreviations</w:t>
      </w:r>
      <w:r w:rsidRPr="005E7F45">
        <w:rPr>
          <w:rFonts w:cs="Arial"/>
          <w:sz w:val="16"/>
          <w:szCs w:val="16"/>
        </w:rPr>
        <w:t>:</w:t>
      </w:r>
      <w:r w:rsidR="00794581">
        <w:rPr>
          <w:rFonts w:cs="Arial"/>
          <w:sz w:val="16"/>
          <w:szCs w:val="16"/>
        </w:rPr>
        <w:t xml:space="preserve"> </w:t>
      </w:r>
      <w:r w:rsidRPr="005E7F45">
        <w:rPr>
          <w:rFonts w:cs="Arial"/>
          <w:sz w:val="16"/>
          <w:szCs w:val="16"/>
        </w:rPr>
        <w:t>DPI=dry</w:t>
      </w:r>
      <w:r w:rsidR="00794581">
        <w:rPr>
          <w:rFonts w:cs="Arial"/>
          <w:sz w:val="16"/>
          <w:szCs w:val="16"/>
        </w:rPr>
        <w:t xml:space="preserve"> </w:t>
      </w:r>
      <w:r w:rsidRPr="005E7F45">
        <w:rPr>
          <w:rFonts w:cs="Arial"/>
          <w:sz w:val="16"/>
          <w:szCs w:val="16"/>
        </w:rPr>
        <w:t>powder inhaler, HFA=hydrofluoroalkane (propellant used in MDI)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4D3D0B" w:rsidRPr="00AF0929" w14:paraId="01E20652" w14:textId="77777777" w:rsidTr="00FC6471">
        <w:tc>
          <w:tcPr>
            <w:tcW w:w="4675" w:type="dxa"/>
            <w:shd w:val="clear" w:color="auto" w:fill="D9D9D9"/>
          </w:tcPr>
          <w:p w14:paraId="40D9E2E3" w14:textId="77777777" w:rsidR="004D3D0B" w:rsidRPr="00AF0929" w:rsidRDefault="004D3D0B" w:rsidP="00FC6471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F092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Drugs that do NOT require PA</w:t>
            </w:r>
          </w:p>
        </w:tc>
      </w:tr>
      <w:tr w:rsidR="004D3D0B" w:rsidRPr="00AF0929" w14:paraId="7A3371AB" w14:textId="77777777" w:rsidTr="00FC6471">
        <w:tc>
          <w:tcPr>
            <w:tcW w:w="4675" w:type="dxa"/>
            <w:shd w:val="clear" w:color="auto" w:fill="auto"/>
          </w:tcPr>
          <w:p w14:paraId="571921D3" w14:textId="77777777" w:rsidR="004D3D0B" w:rsidRPr="00AF0929" w:rsidRDefault="004D3D0B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Arnuity</w:t>
            </w:r>
            <w:proofErr w:type="spellEnd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Ellipta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(fluticasone furoate)</w:t>
            </w:r>
          </w:p>
        </w:tc>
      </w:tr>
      <w:tr w:rsidR="004D3D0B" w:rsidRPr="00AF0929" w14:paraId="706732D3" w14:textId="77777777" w:rsidTr="00FC6471">
        <w:tc>
          <w:tcPr>
            <w:tcW w:w="4675" w:type="dxa"/>
            <w:shd w:val="clear" w:color="auto" w:fill="auto"/>
          </w:tcPr>
          <w:p w14:paraId="229CB20C" w14:textId="77777777" w:rsidR="004D3D0B" w:rsidRPr="00AF0929" w:rsidRDefault="004D3D0B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Asmanex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HFA (mometasone furoate) </w:t>
            </w:r>
          </w:p>
        </w:tc>
      </w:tr>
      <w:tr w:rsidR="004D3D0B" w:rsidRPr="00AF0929" w14:paraId="566306ED" w14:textId="77777777" w:rsidTr="00FC6471">
        <w:tc>
          <w:tcPr>
            <w:tcW w:w="4675" w:type="dxa"/>
            <w:shd w:val="clear" w:color="auto" w:fill="auto"/>
          </w:tcPr>
          <w:p w14:paraId="4215B8E5" w14:textId="77777777" w:rsidR="004D3D0B" w:rsidRPr="00AF0929" w:rsidRDefault="004D3D0B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Asmanex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Twisthaler</w:t>
            </w:r>
            <w:proofErr w:type="spellEnd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(mometasone 110 mcg) &lt;12 years old</w:t>
            </w:r>
          </w:p>
        </w:tc>
      </w:tr>
      <w:tr w:rsidR="004D3D0B" w:rsidRPr="00AF0929" w14:paraId="14145879" w14:textId="77777777" w:rsidTr="00FC6471">
        <w:tc>
          <w:tcPr>
            <w:tcW w:w="4675" w:type="dxa"/>
            <w:shd w:val="clear" w:color="auto" w:fill="auto"/>
          </w:tcPr>
          <w:p w14:paraId="300D94DB" w14:textId="77777777" w:rsidR="004D3D0B" w:rsidRPr="00AF0929" w:rsidRDefault="004D3D0B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Asmanex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Twisthaler</w:t>
            </w:r>
            <w:proofErr w:type="spellEnd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® 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(mometasone 220 mcg) ≥12 years old</w:t>
            </w:r>
          </w:p>
        </w:tc>
      </w:tr>
      <w:tr w:rsidR="004D3D0B" w:rsidRPr="00AF0929" w14:paraId="59753A9F" w14:textId="77777777" w:rsidTr="00FC6471">
        <w:trPr>
          <w:trHeight w:val="46"/>
        </w:trPr>
        <w:tc>
          <w:tcPr>
            <w:tcW w:w="4675" w:type="dxa"/>
            <w:shd w:val="clear" w:color="auto" w:fill="auto"/>
          </w:tcPr>
          <w:p w14:paraId="6B92D54C" w14:textId="77777777" w:rsidR="004D3D0B" w:rsidRPr="00AF0929" w:rsidRDefault="004D3D0B" w:rsidP="00FC6471">
            <w:pPr>
              <w:rPr>
                <w:rFonts w:ascii="Arial" w:hAnsi="Arial" w:cs="Arial"/>
                <w:sz w:val="22"/>
                <w:szCs w:val="22"/>
              </w:rPr>
            </w:pPr>
            <w:r w:rsidRPr="00AF0929">
              <w:rPr>
                <w:rFonts w:ascii="Arial" w:hAnsi="Arial" w:cs="Arial"/>
                <w:sz w:val="22"/>
                <w:szCs w:val="22"/>
              </w:rPr>
              <w:t>Budesonide inhalation suspension &lt;13 years old</w:t>
            </w:r>
          </w:p>
          <w:p w14:paraId="7B0DBF6A" w14:textId="77777777" w:rsidR="004D3D0B" w:rsidRPr="00AF0929" w:rsidRDefault="004D3D0B" w:rsidP="00FC6471">
            <w:pPr>
              <w:rPr>
                <w:rFonts w:ascii="Arial" w:eastAsia="Calibri" w:hAnsi="Arial" w:cs="Arial"/>
                <w:i/>
                <w:iCs/>
                <w:sz w:val="22"/>
                <w:szCs w:val="22"/>
                <w:shd w:val="clear" w:color="auto" w:fill="FFFFFF"/>
              </w:rPr>
            </w:pPr>
            <w:r w:rsidRPr="00AF0929">
              <w:rPr>
                <w:rFonts w:ascii="Arial" w:eastAsia="Calibri" w:hAnsi="Arial" w:cs="Arial"/>
                <w:i/>
                <w:iCs/>
                <w:sz w:val="22"/>
                <w:szCs w:val="22"/>
                <w:shd w:val="clear" w:color="auto" w:fill="FFFFFF"/>
              </w:rPr>
              <w:t>Brand name Pulmicort</w:t>
            </w:r>
            <w:r w:rsidRPr="00AF0929">
              <w:rPr>
                <w:rFonts w:ascii="Arial" w:eastAsia="Calibri" w:hAnsi="Arial" w:cs="Arial"/>
                <w:i/>
                <w:iCs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i/>
                <w:iCs/>
                <w:sz w:val="22"/>
                <w:szCs w:val="22"/>
                <w:shd w:val="clear" w:color="auto" w:fill="FFFFFF"/>
              </w:rPr>
              <w:t xml:space="preserve"> requires PA</w:t>
            </w:r>
          </w:p>
        </w:tc>
      </w:tr>
      <w:tr w:rsidR="004D3D0B" w:rsidRPr="00AF0929" w14:paraId="77774ED2" w14:textId="77777777" w:rsidTr="00FC6471">
        <w:trPr>
          <w:trHeight w:val="46"/>
        </w:trPr>
        <w:tc>
          <w:tcPr>
            <w:tcW w:w="4675" w:type="dxa"/>
            <w:shd w:val="clear" w:color="auto" w:fill="auto"/>
          </w:tcPr>
          <w:p w14:paraId="0156BC02" w14:textId="77777777" w:rsidR="004D3D0B" w:rsidRPr="00AF0929" w:rsidRDefault="004D3D0B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Fluticasone propionate HFA &lt;5 years old</w:t>
            </w:r>
          </w:p>
        </w:tc>
      </w:tr>
      <w:tr w:rsidR="004D3D0B" w:rsidRPr="00AF0929" w14:paraId="282E4B7E" w14:textId="77777777" w:rsidTr="00FC6471">
        <w:trPr>
          <w:trHeight w:val="71"/>
        </w:trPr>
        <w:tc>
          <w:tcPr>
            <w:tcW w:w="4675" w:type="dxa"/>
            <w:shd w:val="clear" w:color="auto" w:fill="auto"/>
          </w:tcPr>
          <w:p w14:paraId="3717D40A" w14:textId="77777777" w:rsidR="004D3D0B" w:rsidRPr="00AF0929" w:rsidRDefault="004D3D0B" w:rsidP="00FC6471">
            <w:pPr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Pulmicort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Flexhaler</w:t>
            </w:r>
            <w:proofErr w:type="spellEnd"/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AF09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(budesonide powder) </w:t>
            </w:r>
          </w:p>
        </w:tc>
      </w:tr>
    </w:tbl>
    <w:p w14:paraId="1C7EE122" w14:textId="77777777" w:rsidR="00EF4B0A" w:rsidRDefault="00EF4B0A" w:rsidP="000A6318">
      <w:pPr>
        <w:pStyle w:val="Subtitle"/>
        <w:spacing w:line="240" w:lineRule="auto"/>
        <w:rPr>
          <w:rFonts w:cs="Arial"/>
          <w:b/>
          <w:bCs/>
        </w:rPr>
      </w:pPr>
    </w:p>
    <w:p w14:paraId="5E3E0A85" w14:textId="77777777" w:rsidR="004D3D0B" w:rsidRDefault="004D3D0B" w:rsidP="002B0397">
      <w:pPr>
        <w:pStyle w:val="Subtitle"/>
        <w:spacing w:before="40" w:after="0" w:line="240" w:lineRule="auto"/>
        <w:rPr>
          <w:rFonts w:cs="Arial"/>
          <w:b/>
          <w:bCs/>
        </w:rPr>
        <w:sectPr w:rsidR="004D3D0B" w:rsidSect="008F6550">
          <w:headerReference w:type="default" r:id="rId17"/>
          <w:footerReference w:type="default" r:id="rId18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61F735C1" w14:textId="1AFBE465" w:rsidR="000A6318" w:rsidRPr="004F4540" w:rsidRDefault="00B00E2A" w:rsidP="004F4540">
      <w:pPr>
        <w:rPr>
          <w:rFonts w:ascii="Arial Black" w:hAnsi="Arial Black" w:cs="Arial"/>
          <w:b/>
          <w:color w:val="000000"/>
        </w:rPr>
      </w:pPr>
      <w:r w:rsidRPr="004F4540">
        <w:rPr>
          <w:rFonts w:ascii="Arial Black" w:hAnsi="Arial Black" w:cs="Arial"/>
          <w:b/>
          <w:color w:val="000000"/>
        </w:rPr>
        <w:lastRenderedPageBreak/>
        <w:t>Appendix: Clinical Resources</w:t>
      </w:r>
    </w:p>
    <w:p w14:paraId="660252FE" w14:textId="77777777" w:rsidR="005F775E" w:rsidRPr="004F4540" w:rsidRDefault="005F775E" w:rsidP="005F775E">
      <w:pPr>
        <w:rPr>
          <w:rFonts w:ascii="Arial Black" w:hAnsi="Arial Black" w:cs="Arial"/>
          <w:b/>
          <w:color w:val="000000"/>
        </w:rPr>
      </w:pPr>
      <w:r w:rsidRPr="004F4540">
        <w:rPr>
          <w:rFonts w:ascii="Arial Black" w:hAnsi="Arial Black" w:cs="Arial"/>
          <w:b/>
          <w:color w:val="000000"/>
        </w:rPr>
        <w:t>Asthma Clinical Guidelines</w:t>
      </w:r>
    </w:p>
    <w:p w14:paraId="4AB31128" w14:textId="77777777" w:rsidR="004F4540" w:rsidRPr="005F775E" w:rsidRDefault="004F4540" w:rsidP="005F775E">
      <w:pPr>
        <w:rPr>
          <w:rFonts w:ascii="Arial" w:hAnsi="Arial" w:cs="Arial"/>
          <w:b/>
          <w:sz w:val="22"/>
          <w:szCs w:val="22"/>
        </w:rPr>
      </w:pPr>
    </w:p>
    <w:p w14:paraId="0236D8D5" w14:textId="77777777" w:rsidR="005F775E" w:rsidRPr="00E632C6" w:rsidRDefault="005F775E" w:rsidP="00E632C6">
      <w:pPr>
        <w:pStyle w:val="ListParagraph"/>
        <w:ind w:left="270"/>
        <w:rPr>
          <w:rFonts w:ascii="Arial Black" w:hAnsi="Arial Black" w:cs="Arial"/>
          <w:b/>
          <w:color w:val="000000"/>
        </w:rPr>
      </w:pPr>
      <w:r w:rsidRPr="00E632C6">
        <w:rPr>
          <w:rFonts w:ascii="Arial Black" w:hAnsi="Arial Black" w:cs="Arial"/>
          <w:b/>
          <w:color w:val="000000"/>
        </w:rPr>
        <w:t xml:space="preserve">Global Initiative for Asthma (GINA) 2023 Updates: 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63"/>
      </w:tblGrid>
      <w:tr w:rsidR="005F775E" w:rsidRPr="00F95B4A" w14:paraId="3DEE0284" w14:textId="77777777" w:rsidTr="004F4540">
        <w:trPr>
          <w:trHeight w:val="486"/>
        </w:trPr>
        <w:tc>
          <w:tcPr>
            <w:tcW w:w="764" w:type="dxa"/>
            <w:shd w:val="clear" w:color="auto" w:fill="D9D9D9"/>
          </w:tcPr>
          <w:p w14:paraId="0D290ED7" w14:textId="77777777" w:rsidR="005F775E" w:rsidRPr="00F95B4A" w:rsidRDefault="005F775E" w:rsidP="00FC6471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Preferred Steps</w:t>
            </w:r>
          </w:p>
        </w:tc>
        <w:tc>
          <w:tcPr>
            <w:tcW w:w="0" w:type="auto"/>
            <w:shd w:val="clear" w:color="auto" w:fill="D9D9D9"/>
          </w:tcPr>
          <w:p w14:paraId="7B2B0F11" w14:textId="77777777" w:rsidR="005F775E" w:rsidRPr="00F95B4A" w:rsidRDefault="005F775E" w:rsidP="00FC6471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Patients 12 years and older</w:t>
            </w:r>
          </w:p>
        </w:tc>
      </w:tr>
      <w:tr w:rsidR="005F775E" w:rsidRPr="00F95B4A" w14:paraId="0351A12C" w14:textId="77777777" w:rsidTr="004F4540">
        <w:trPr>
          <w:trHeight w:val="250"/>
        </w:trPr>
        <w:tc>
          <w:tcPr>
            <w:tcW w:w="764" w:type="dxa"/>
            <w:shd w:val="clear" w:color="auto" w:fill="auto"/>
          </w:tcPr>
          <w:p w14:paraId="6EE35C8A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Steps 1-2</w:t>
            </w:r>
          </w:p>
        </w:tc>
        <w:tc>
          <w:tcPr>
            <w:tcW w:w="0" w:type="auto"/>
            <w:shd w:val="clear" w:color="auto" w:fill="auto"/>
          </w:tcPr>
          <w:p w14:paraId="23620B20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As-needed low-dose inhaled corticosteroid (ICS)-formoterol</w:t>
            </w:r>
          </w:p>
        </w:tc>
      </w:tr>
      <w:tr w:rsidR="005F775E" w:rsidRPr="00F95B4A" w14:paraId="4039B802" w14:textId="77777777" w:rsidTr="004F4540">
        <w:trPr>
          <w:trHeight w:val="236"/>
        </w:trPr>
        <w:tc>
          <w:tcPr>
            <w:tcW w:w="764" w:type="dxa"/>
            <w:shd w:val="clear" w:color="auto" w:fill="auto"/>
          </w:tcPr>
          <w:p w14:paraId="6DA0C097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Step 3</w:t>
            </w:r>
          </w:p>
        </w:tc>
        <w:tc>
          <w:tcPr>
            <w:tcW w:w="0" w:type="auto"/>
            <w:shd w:val="clear" w:color="auto" w:fill="auto"/>
          </w:tcPr>
          <w:p w14:paraId="4B09561F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Low-dose maintenance ICS-formoterol</w:t>
            </w:r>
          </w:p>
        </w:tc>
      </w:tr>
      <w:tr w:rsidR="005F775E" w:rsidRPr="00F95B4A" w14:paraId="6732EF52" w14:textId="77777777" w:rsidTr="004F4540">
        <w:trPr>
          <w:trHeight w:val="250"/>
        </w:trPr>
        <w:tc>
          <w:tcPr>
            <w:tcW w:w="764" w:type="dxa"/>
            <w:shd w:val="clear" w:color="auto" w:fill="auto"/>
          </w:tcPr>
          <w:p w14:paraId="0154E8EA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Step 4</w:t>
            </w:r>
          </w:p>
        </w:tc>
        <w:tc>
          <w:tcPr>
            <w:tcW w:w="0" w:type="auto"/>
            <w:shd w:val="clear" w:color="auto" w:fill="auto"/>
          </w:tcPr>
          <w:p w14:paraId="317817B9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Medium-dose maintenance ICS-formoterol</w:t>
            </w:r>
          </w:p>
        </w:tc>
      </w:tr>
      <w:tr w:rsidR="005F775E" w:rsidRPr="00F95B4A" w14:paraId="3F54836F" w14:textId="77777777" w:rsidTr="004F4540">
        <w:trPr>
          <w:trHeight w:val="486"/>
        </w:trPr>
        <w:tc>
          <w:tcPr>
            <w:tcW w:w="764" w:type="dxa"/>
            <w:shd w:val="clear" w:color="auto" w:fill="auto"/>
          </w:tcPr>
          <w:p w14:paraId="2813FD56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Step 5</w:t>
            </w:r>
          </w:p>
        </w:tc>
        <w:tc>
          <w:tcPr>
            <w:tcW w:w="0" w:type="auto"/>
            <w:shd w:val="clear" w:color="auto" w:fill="auto"/>
          </w:tcPr>
          <w:p w14:paraId="21EA94A0" w14:textId="77777777" w:rsidR="005F775E" w:rsidRPr="00F95B4A" w:rsidRDefault="005F775E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95B4A">
              <w:rPr>
                <w:rFonts w:ascii="Arial" w:eastAsia="Calibri" w:hAnsi="Arial" w:cs="Arial"/>
                <w:sz w:val="22"/>
                <w:szCs w:val="22"/>
              </w:rPr>
              <w:t>Add-on LAMA. Refer to phenotypic assessment ± biologic. Consider high-dose ICS-formoterol.</w:t>
            </w:r>
          </w:p>
        </w:tc>
      </w:tr>
    </w:tbl>
    <w:p w14:paraId="72887696" w14:textId="77777777" w:rsidR="00A04096" w:rsidRPr="004F4540" w:rsidRDefault="00A04096" w:rsidP="00E632C6">
      <w:pPr>
        <w:pStyle w:val="ListParagraph"/>
        <w:ind w:left="270"/>
        <w:rPr>
          <w:rFonts w:ascii="Arial Black" w:hAnsi="Arial Black" w:cs="Arial"/>
          <w:b/>
          <w:color w:val="000000"/>
        </w:rPr>
      </w:pPr>
      <w:r w:rsidRPr="004F4540">
        <w:rPr>
          <w:rFonts w:ascii="Arial Black" w:hAnsi="Arial Black" w:cs="Arial"/>
          <w:b/>
          <w:color w:val="000000"/>
        </w:rPr>
        <w:t>National Asthma Education and Prevention Program</w:t>
      </w:r>
      <w:r w:rsidRPr="00E632C6">
        <w:rPr>
          <w:rFonts w:ascii="Arial Black" w:hAnsi="Arial Black" w:cs="Arial"/>
          <w:b/>
          <w:color w:val="000000"/>
        </w:rPr>
        <w:t xml:space="preserve"> </w:t>
      </w:r>
      <w:r w:rsidRPr="004F4540">
        <w:rPr>
          <w:rFonts w:ascii="Arial Black" w:hAnsi="Arial Black" w:cs="Arial"/>
          <w:b/>
          <w:color w:val="000000"/>
        </w:rPr>
        <w:t>(NAEPP) 2020 Focused Updates: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648"/>
      </w:tblGrid>
      <w:tr w:rsidR="00A04096" w:rsidRPr="00A04096" w14:paraId="4C686AFA" w14:textId="77777777" w:rsidTr="004F4540">
        <w:trPr>
          <w:trHeight w:val="510"/>
        </w:trPr>
        <w:tc>
          <w:tcPr>
            <w:tcW w:w="901" w:type="pct"/>
            <w:shd w:val="clear" w:color="auto" w:fill="D9D9D9"/>
          </w:tcPr>
          <w:p w14:paraId="783A5F5C" w14:textId="77777777" w:rsidR="00A04096" w:rsidRPr="00A04096" w:rsidRDefault="00A04096" w:rsidP="00FC6471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Preferred Steps</w:t>
            </w:r>
          </w:p>
        </w:tc>
        <w:tc>
          <w:tcPr>
            <w:tcW w:w="4099" w:type="pct"/>
            <w:shd w:val="clear" w:color="auto" w:fill="D9D9D9"/>
          </w:tcPr>
          <w:p w14:paraId="72694AD3" w14:textId="77777777" w:rsidR="00A04096" w:rsidRPr="00A04096" w:rsidRDefault="00A04096" w:rsidP="00FC6471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Patients 12 years and older</w:t>
            </w:r>
          </w:p>
        </w:tc>
      </w:tr>
      <w:tr w:rsidR="00A04096" w:rsidRPr="00A04096" w14:paraId="1C9EC690" w14:textId="77777777" w:rsidTr="004F4540">
        <w:trPr>
          <w:trHeight w:val="263"/>
        </w:trPr>
        <w:tc>
          <w:tcPr>
            <w:tcW w:w="901" w:type="pct"/>
            <w:shd w:val="clear" w:color="auto" w:fill="auto"/>
          </w:tcPr>
          <w:p w14:paraId="5CDCC911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Step 1</w:t>
            </w:r>
          </w:p>
        </w:tc>
        <w:tc>
          <w:tcPr>
            <w:tcW w:w="4099" w:type="pct"/>
            <w:shd w:val="clear" w:color="auto" w:fill="auto"/>
          </w:tcPr>
          <w:p w14:paraId="1D1A7F9F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As-needed SABA</w:t>
            </w:r>
          </w:p>
        </w:tc>
      </w:tr>
      <w:tr w:rsidR="00A04096" w:rsidRPr="00A04096" w14:paraId="653BA36F" w14:textId="77777777" w:rsidTr="004F4540">
        <w:trPr>
          <w:trHeight w:val="510"/>
        </w:trPr>
        <w:tc>
          <w:tcPr>
            <w:tcW w:w="901" w:type="pct"/>
            <w:shd w:val="clear" w:color="auto" w:fill="auto"/>
          </w:tcPr>
          <w:p w14:paraId="123446F3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Step 2</w:t>
            </w:r>
          </w:p>
        </w:tc>
        <w:tc>
          <w:tcPr>
            <w:tcW w:w="4099" w:type="pct"/>
            <w:shd w:val="clear" w:color="auto" w:fill="auto"/>
          </w:tcPr>
          <w:p w14:paraId="7A929A70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Daily low-dose ICS and as-needed SABA or as-needed concomitant ICS and SABA</w:t>
            </w:r>
          </w:p>
        </w:tc>
      </w:tr>
      <w:tr w:rsidR="00A04096" w:rsidRPr="00A04096" w14:paraId="0884C65F" w14:textId="77777777" w:rsidTr="004F4540">
        <w:trPr>
          <w:trHeight w:val="263"/>
        </w:trPr>
        <w:tc>
          <w:tcPr>
            <w:tcW w:w="901" w:type="pct"/>
            <w:shd w:val="clear" w:color="auto" w:fill="auto"/>
          </w:tcPr>
          <w:p w14:paraId="3BF9D721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Step 3</w:t>
            </w:r>
          </w:p>
        </w:tc>
        <w:tc>
          <w:tcPr>
            <w:tcW w:w="4099" w:type="pct"/>
            <w:shd w:val="clear" w:color="auto" w:fill="auto"/>
          </w:tcPr>
          <w:p w14:paraId="7ABEE5DA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Daily and as-needed combination low-dose ICS-formoterol†</w:t>
            </w:r>
          </w:p>
        </w:tc>
      </w:tr>
      <w:tr w:rsidR="00A04096" w:rsidRPr="00A04096" w14:paraId="61A987DE" w14:textId="77777777" w:rsidTr="004F4540">
        <w:trPr>
          <w:trHeight w:val="247"/>
        </w:trPr>
        <w:tc>
          <w:tcPr>
            <w:tcW w:w="901" w:type="pct"/>
            <w:shd w:val="clear" w:color="auto" w:fill="auto"/>
          </w:tcPr>
          <w:p w14:paraId="68BAECD2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Step 4</w:t>
            </w:r>
          </w:p>
        </w:tc>
        <w:tc>
          <w:tcPr>
            <w:tcW w:w="4099" w:type="pct"/>
            <w:shd w:val="clear" w:color="auto" w:fill="auto"/>
          </w:tcPr>
          <w:p w14:paraId="661C2AF9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Daily and as-needed combination medium-dose ICS-formoterol†</w:t>
            </w:r>
          </w:p>
        </w:tc>
      </w:tr>
      <w:tr w:rsidR="00A04096" w:rsidRPr="00A04096" w14:paraId="2B6F03B4" w14:textId="77777777" w:rsidTr="004F4540">
        <w:trPr>
          <w:trHeight w:val="278"/>
        </w:trPr>
        <w:tc>
          <w:tcPr>
            <w:tcW w:w="901" w:type="pct"/>
            <w:shd w:val="clear" w:color="auto" w:fill="auto"/>
          </w:tcPr>
          <w:p w14:paraId="3FCE41B1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Step 5</w:t>
            </w:r>
          </w:p>
        </w:tc>
        <w:tc>
          <w:tcPr>
            <w:tcW w:w="4099" w:type="pct"/>
            <w:shd w:val="clear" w:color="auto" w:fill="auto"/>
          </w:tcPr>
          <w:p w14:paraId="66BAE84F" w14:textId="77777777" w:rsidR="00A04096" w:rsidRPr="00A04096" w:rsidRDefault="00A04096" w:rsidP="00A0409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Daily medium/high-dose ICS-LABA + LAMA and as-needed SABA</w:t>
            </w:r>
          </w:p>
        </w:tc>
      </w:tr>
      <w:tr w:rsidR="00A04096" w:rsidRPr="00A04096" w14:paraId="1EAC9483" w14:textId="77777777" w:rsidTr="004F4540">
        <w:trPr>
          <w:trHeight w:val="247"/>
        </w:trPr>
        <w:tc>
          <w:tcPr>
            <w:tcW w:w="901" w:type="pct"/>
            <w:shd w:val="clear" w:color="auto" w:fill="auto"/>
          </w:tcPr>
          <w:p w14:paraId="5CEDE489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Step 6</w:t>
            </w:r>
          </w:p>
        </w:tc>
        <w:tc>
          <w:tcPr>
            <w:tcW w:w="4099" w:type="pct"/>
            <w:shd w:val="clear" w:color="auto" w:fill="auto"/>
          </w:tcPr>
          <w:p w14:paraId="2D6534F0" w14:textId="77777777" w:rsidR="00A04096" w:rsidRPr="00A04096" w:rsidRDefault="00A04096" w:rsidP="00FC64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4096">
              <w:rPr>
                <w:rFonts w:ascii="Arial" w:eastAsia="Calibri" w:hAnsi="Arial" w:cs="Arial"/>
                <w:sz w:val="22"/>
                <w:szCs w:val="22"/>
              </w:rPr>
              <w:t>Daily high-dose ICS-LABA + OCS + as-needed SABA</w:t>
            </w:r>
          </w:p>
        </w:tc>
      </w:tr>
    </w:tbl>
    <w:p w14:paraId="5DCA1757" w14:textId="77777777" w:rsidR="00A04096" w:rsidRPr="005E7F45" w:rsidRDefault="00A04096" w:rsidP="00A04096">
      <w:pPr>
        <w:pStyle w:val="ListParagraph"/>
        <w:ind w:left="270"/>
        <w:rPr>
          <w:rFonts w:ascii="Arial" w:hAnsi="Arial" w:cs="Arial"/>
          <w:sz w:val="16"/>
          <w:szCs w:val="16"/>
          <w:vertAlign w:val="superscript"/>
        </w:rPr>
      </w:pPr>
      <w:r w:rsidRPr="005E7F45">
        <w:rPr>
          <w:rFonts w:ascii="Arial" w:hAnsi="Arial" w:cs="Arial"/>
          <w:i/>
          <w:iCs/>
          <w:sz w:val="16"/>
          <w:szCs w:val="16"/>
        </w:rPr>
        <w:t>Abbreviations</w:t>
      </w:r>
      <w:r w:rsidRPr="005E7F45">
        <w:rPr>
          <w:rFonts w:ascii="Arial" w:hAnsi="Arial" w:cs="Arial"/>
          <w:sz w:val="16"/>
          <w:szCs w:val="16"/>
        </w:rPr>
        <w:t>: ICS=inhaled corticosteroid, LABA=long-acting beta</w:t>
      </w:r>
      <w:r w:rsidRPr="005E7F45">
        <w:rPr>
          <w:rFonts w:ascii="Arial" w:hAnsi="Arial" w:cs="Arial"/>
          <w:sz w:val="16"/>
          <w:szCs w:val="16"/>
          <w:vertAlign w:val="subscript"/>
        </w:rPr>
        <w:t>2</w:t>
      </w:r>
      <w:r w:rsidRPr="005E7F45">
        <w:rPr>
          <w:rFonts w:ascii="Arial" w:hAnsi="Arial" w:cs="Arial"/>
          <w:sz w:val="16"/>
          <w:szCs w:val="16"/>
        </w:rPr>
        <w:t>-agonist, LAMA=long-acting muscarinic antagonist, OCS=oral corticosteroid, SABA=short-acting beta</w:t>
      </w:r>
      <w:r w:rsidRPr="005E7F45">
        <w:rPr>
          <w:rFonts w:ascii="Arial" w:hAnsi="Arial" w:cs="Arial"/>
          <w:sz w:val="16"/>
          <w:szCs w:val="16"/>
          <w:vertAlign w:val="subscript"/>
        </w:rPr>
        <w:t>2</w:t>
      </w:r>
      <w:r w:rsidRPr="005E7F45">
        <w:rPr>
          <w:rFonts w:ascii="Arial" w:hAnsi="Arial" w:cs="Arial"/>
          <w:sz w:val="16"/>
          <w:szCs w:val="16"/>
        </w:rPr>
        <w:t>-agonist</w:t>
      </w:r>
    </w:p>
    <w:p w14:paraId="2CEE55D3" w14:textId="77777777" w:rsidR="00A04096" w:rsidRDefault="00A04096" w:rsidP="00A04096">
      <w:pPr>
        <w:pStyle w:val="ListParagraph"/>
        <w:ind w:left="270"/>
        <w:rPr>
          <w:rFonts w:ascii="Arial" w:hAnsi="Arial" w:cs="Arial"/>
          <w:sz w:val="16"/>
          <w:szCs w:val="16"/>
        </w:rPr>
      </w:pPr>
      <w:r w:rsidRPr="005E7F45">
        <w:rPr>
          <w:rFonts w:ascii="Arial" w:hAnsi="Arial" w:cs="Arial"/>
          <w:sz w:val="16"/>
          <w:szCs w:val="16"/>
          <w:vertAlign w:val="superscript"/>
        </w:rPr>
        <w:t>†</w:t>
      </w:r>
      <w:r w:rsidRPr="005E7F45">
        <w:rPr>
          <w:rFonts w:ascii="Arial" w:hAnsi="Arial" w:cs="Arial"/>
          <w:sz w:val="16"/>
          <w:szCs w:val="16"/>
        </w:rPr>
        <w:t>The use of ICS-formoterol is not approved for maintenance and rescue therapy or for as-needed rescue only in the United States. The recommendations for ICS-formoterol are based on clinical data evaluating the use of ICS-formoterol formulations and strengths not approved and not available in the United States.</w:t>
      </w:r>
    </w:p>
    <w:p w14:paraId="66EFE68C" w14:textId="7952C100" w:rsidR="0047039A" w:rsidRPr="0047039A" w:rsidRDefault="00E97364" w:rsidP="00C232F3">
      <w:pPr>
        <w:pStyle w:val="ListParagraph"/>
        <w:ind w:left="270"/>
        <w:rPr>
          <w:rFonts w:ascii="Arial Black" w:hAnsi="Arial Black" w:cs="Arial"/>
          <w:b/>
          <w:color w:val="000000"/>
        </w:rPr>
      </w:pPr>
      <w:r>
        <w:rPr>
          <w:rFonts w:ascii="Arial" w:hAnsi="Arial" w:cs="Arial"/>
          <w:sz w:val="16"/>
          <w:szCs w:val="16"/>
        </w:rPr>
        <w:br w:type="column"/>
      </w:r>
      <w:bookmarkStart w:id="0" w:name="_Hlk159400954"/>
      <w:r w:rsidR="0047039A" w:rsidRPr="0047039A">
        <w:rPr>
          <w:rFonts w:ascii="Arial Black" w:hAnsi="Arial Black" w:cs="Arial"/>
          <w:b/>
          <w:color w:val="000000"/>
        </w:rPr>
        <w:t>Additional Inhaled Corticosteroid (ICS) Information</w:t>
      </w:r>
    </w:p>
    <w:p w14:paraId="1C6C79B4" w14:textId="77777777" w:rsidR="0047039A" w:rsidRPr="005E7F45" w:rsidRDefault="0047039A" w:rsidP="0047039A">
      <w:pPr>
        <w:pStyle w:val="ListParagraph"/>
        <w:numPr>
          <w:ilvl w:val="0"/>
          <w:numId w:val="12"/>
        </w:numPr>
        <w:spacing w:after="160" w:line="259" w:lineRule="auto"/>
        <w:ind w:left="90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>GINA recommends metered dose inhalers (MDI) with a spacer for children 0-5 years of age (with face mask for children 0-3 years)</w:t>
      </w:r>
    </w:p>
    <w:p w14:paraId="0885B700" w14:textId="77777777" w:rsidR="0047039A" w:rsidRPr="005E7F45" w:rsidRDefault="0047039A" w:rsidP="0047039A">
      <w:pPr>
        <w:pStyle w:val="ListParagraph"/>
        <w:numPr>
          <w:ilvl w:val="0"/>
          <w:numId w:val="12"/>
        </w:numPr>
        <w:spacing w:after="160" w:line="259" w:lineRule="auto"/>
        <w:ind w:left="90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 xml:space="preserve">Direct comparison between doses has not been researched; however, doses of ICS are grouped in low, medium and high daily </w:t>
      </w:r>
      <w:proofErr w:type="gramStart"/>
      <w:r w:rsidRPr="005E7F45">
        <w:rPr>
          <w:rFonts w:ascii="Arial" w:hAnsi="Arial" w:cs="Arial"/>
          <w:sz w:val="22"/>
          <w:szCs w:val="22"/>
        </w:rPr>
        <w:t>doses</w:t>
      </w:r>
      <w:proofErr w:type="gramEnd"/>
    </w:p>
    <w:p w14:paraId="0CCA2EDB" w14:textId="77777777" w:rsidR="0047039A" w:rsidRPr="005E7F45" w:rsidRDefault="0047039A" w:rsidP="0047039A">
      <w:pPr>
        <w:pStyle w:val="ListParagraph"/>
        <w:numPr>
          <w:ilvl w:val="0"/>
          <w:numId w:val="12"/>
        </w:numPr>
        <w:spacing w:after="160" w:line="259" w:lineRule="auto"/>
        <w:ind w:left="90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 xml:space="preserve">Switching between inhalers will require close follow up to observe the need for dose </w:t>
      </w:r>
      <w:proofErr w:type="gramStart"/>
      <w:r w:rsidRPr="005E7F45">
        <w:rPr>
          <w:rFonts w:ascii="Arial" w:hAnsi="Arial" w:cs="Arial"/>
          <w:sz w:val="22"/>
          <w:szCs w:val="22"/>
        </w:rPr>
        <w:t>adjustments</w:t>
      </w:r>
      <w:proofErr w:type="gramEnd"/>
    </w:p>
    <w:p w14:paraId="351B5DBF" w14:textId="769112DB" w:rsidR="0047039A" w:rsidRPr="002F426F" w:rsidRDefault="0047039A" w:rsidP="002F426F">
      <w:pPr>
        <w:pStyle w:val="ListParagraph"/>
        <w:numPr>
          <w:ilvl w:val="0"/>
          <w:numId w:val="12"/>
        </w:numPr>
        <w:spacing w:after="160" w:line="259" w:lineRule="auto"/>
        <w:ind w:left="900"/>
        <w:contextualSpacing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>In general, HFA inhalers can be used with spacers (</w:t>
      </w:r>
      <w:proofErr w:type="gramStart"/>
      <w:r w:rsidRPr="005E7F45">
        <w:rPr>
          <w:rFonts w:ascii="Arial" w:hAnsi="Arial" w:cs="Arial"/>
          <w:sz w:val="22"/>
          <w:szCs w:val="22"/>
        </w:rPr>
        <w:t>with the exception of</w:t>
      </w:r>
      <w:proofErr w:type="gramEnd"/>
      <w:r w:rsidRPr="005E7F45">
        <w:rPr>
          <w:rFonts w:ascii="Arial" w:hAnsi="Arial" w:cs="Arial"/>
          <w:sz w:val="22"/>
          <w:szCs w:val="22"/>
        </w:rPr>
        <w:t xml:space="preserve"> QVAR </w:t>
      </w:r>
      <w:proofErr w:type="spellStart"/>
      <w:r w:rsidRPr="005E7F45">
        <w:rPr>
          <w:rFonts w:ascii="Arial" w:hAnsi="Arial" w:cs="Arial"/>
          <w:sz w:val="22"/>
          <w:szCs w:val="22"/>
        </w:rPr>
        <w:t>Redihaler</w:t>
      </w:r>
      <w:proofErr w:type="spellEnd"/>
      <w:r w:rsidRPr="005E7F45">
        <w:rPr>
          <w:rFonts w:ascii="Arial" w:hAnsi="Arial" w:cs="Arial"/>
          <w:sz w:val="22"/>
          <w:szCs w:val="22"/>
        </w:rPr>
        <w:t>); DPI inhalers require breath actuations (sufficient respiratory force to inhale the powder).</w:t>
      </w:r>
      <w:bookmarkEnd w:id="0"/>
    </w:p>
    <w:p w14:paraId="40E7D960" w14:textId="77777777" w:rsidR="0047039A" w:rsidRDefault="0047039A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690AF58E" w14:textId="77777777" w:rsidR="005961ED" w:rsidRDefault="005961ED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5961ED" w:rsidSect="008F6550"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0A2D8E00" w14:textId="629D2749" w:rsidR="00D66801" w:rsidRPr="002F426F" w:rsidRDefault="002F426F" w:rsidP="002F426F">
      <w:pPr>
        <w:rPr>
          <w:rFonts w:ascii="Arial Black" w:hAnsi="Arial Black" w:cs="Arial"/>
          <w:b/>
          <w:color w:val="000000"/>
        </w:rPr>
      </w:pPr>
      <w:r w:rsidRPr="002F426F">
        <w:rPr>
          <w:rFonts w:ascii="Arial Black" w:hAnsi="Arial Black" w:cs="Arial"/>
          <w:b/>
          <w:color w:val="000000"/>
        </w:rPr>
        <w:lastRenderedPageBreak/>
        <w:t>Inhaled Corticosteroid Dosing Table</w:t>
      </w:r>
    </w:p>
    <w:tbl>
      <w:tblPr>
        <w:tblW w:w="5588" w:type="pct"/>
        <w:tblInd w:w="-5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4"/>
        <w:gridCol w:w="1101"/>
        <w:gridCol w:w="2722"/>
        <w:gridCol w:w="2722"/>
        <w:gridCol w:w="2722"/>
      </w:tblGrid>
      <w:tr w:rsidR="00FB7E85" w:rsidRPr="00BA1CF9" w14:paraId="390A7E02" w14:textId="77777777" w:rsidTr="00DD7278">
        <w:trPr>
          <w:trHeight w:val="144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F4E55" w14:textId="77777777" w:rsidR="00FB7E85" w:rsidRPr="00DD7278" w:rsidRDefault="00FB7E85" w:rsidP="00FC6471">
            <w:pPr>
              <w:jc w:val="center"/>
              <w:rPr>
                <w:rFonts w:cs="Arial"/>
                <w:sz w:val="18"/>
                <w:szCs w:val="18"/>
              </w:rPr>
            </w:pPr>
            <w:r w:rsidRPr="00DD7278">
              <w:rPr>
                <w:rFonts w:cs="Arial"/>
                <w:b/>
                <w:bCs/>
                <w:sz w:val="18"/>
                <w:szCs w:val="18"/>
              </w:rPr>
              <w:t>Brand Name (generic name)</w:t>
            </w:r>
            <w:r w:rsidRPr="00DD7278">
              <w:rPr>
                <w:rFonts w:cs="Arial"/>
                <w:b/>
                <w:bCs/>
                <w:sz w:val="18"/>
                <w:szCs w:val="18"/>
              </w:rPr>
              <w:br/>
              <w:t>Dosage Strength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FCCBDAB" w14:textId="77777777" w:rsidR="00FB7E85" w:rsidRPr="00441B22" w:rsidRDefault="00FB7E85" w:rsidP="00FC6471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4F1BC" w14:textId="77777777" w:rsidR="00FB7E85" w:rsidRPr="00DD7278" w:rsidRDefault="00FB7E85" w:rsidP="00FC6471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D7278">
              <w:rPr>
                <w:rFonts w:cs="Arial"/>
                <w:b/>
                <w:bCs/>
                <w:sz w:val="18"/>
                <w:szCs w:val="18"/>
              </w:rPr>
              <w:t xml:space="preserve">Inhaler Strength (number of puffs and frequency) </w:t>
            </w:r>
            <w:r w:rsidRPr="00DD7278">
              <w:rPr>
                <w:rFonts w:cs="Arial"/>
                <w:b/>
                <w:bCs/>
                <w:i/>
                <w:iCs/>
                <w:sz w:val="18"/>
                <w:szCs w:val="18"/>
              </w:rPr>
              <w:t>adapted from American Lung Association</w:t>
            </w:r>
          </w:p>
        </w:tc>
      </w:tr>
      <w:tr w:rsidR="00FB7E85" w:rsidRPr="00BA1CF9" w14:paraId="15BE0AFB" w14:textId="77777777" w:rsidTr="00DD7278">
        <w:trPr>
          <w:trHeight w:val="224"/>
        </w:trPr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0DBDB" w14:textId="77777777" w:rsidR="00FB7E85" w:rsidRPr="00441B22" w:rsidRDefault="00FB7E85" w:rsidP="00FC647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F452F" w14:textId="77777777" w:rsidR="00FB7E85" w:rsidRPr="00441B22" w:rsidRDefault="00FB7E85" w:rsidP="00FC647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1E1A1A" w14:textId="77777777" w:rsidR="00FB7E85" w:rsidRPr="00DD7278" w:rsidRDefault="00FB7E85" w:rsidP="00FC647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D7278">
              <w:rPr>
                <w:rFonts w:cs="Arial"/>
                <w:b/>
                <w:bCs/>
                <w:sz w:val="18"/>
                <w:szCs w:val="18"/>
              </w:rPr>
              <w:t>Child 0-4 years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C4537" w14:textId="77777777" w:rsidR="00FB7E85" w:rsidRPr="00DD7278" w:rsidRDefault="00FB7E85" w:rsidP="00FC647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D7278">
              <w:rPr>
                <w:rFonts w:cs="Arial"/>
                <w:b/>
                <w:bCs/>
                <w:sz w:val="18"/>
                <w:szCs w:val="18"/>
              </w:rPr>
              <w:t>Child 5-11 years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82CDE" w14:textId="77777777" w:rsidR="00FB7E85" w:rsidRPr="00DD7278" w:rsidRDefault="00FB7E85" w:rsidP="00FC647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D7278">
              <w:rPr>
                <w:rFonts w:cs="Arial"/>
                <w:b/>
                <w:bCs/>
                <w:sz w:val="18"/>
                <w:szCs w:val="18"/>
              </w:rPr>
              <w:t>≥12 years &amp; Adults</w:t>
            </w:r>
          </w:p>
        </w:tc>
      </w:tr>
      <w:tr w:rsidR="00FB7E85" w:rsidRPr="00BA1CF9" w14:paraId="5E881993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7F9DA" w14:textId="77777777" w:rsidR="00FB7E85" w:rsidRPr="004B317F" w:rsidRDefault="00FB7E85" w:rsidP="00DD727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Alvesco</w:t>
            </w:r>
            <w:proofErr w:type="spellEnd"/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BA1CF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134E8C">
              <w:rPr>
                <w:rFonts w:cs="Arial"/>
                <w:color w:val="000000"/>
                <w:sz w:val="18"/>
                <w:szCs w:val="18"/>
              </w:rPr>
              <w:t>ciclesonide</w:t>
            </w:r>
            <w:proofErr w:type="spellEnd"/>
            <w:r w:rsidRPr="00134E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HFA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 xml:space="preserve">) 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 xml:space="preserve">80, 160 mcg 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</w:r>
            <w:r w:rsidRPr="004B317F">
              <w:rPr>
                <w:rFonts w:cs="Arial"/>
                <w:i/>
                <w:iCs/>
                <w:sz w:val="14"/>
                <w:szCs w:val="14"/>
              </w:rPr>
              <w:t>*Off-label for children 4-11 years.</w:t>
            </w:r>
            <w:r w:rsidRPr="004B317F">
              <w:rPr>
                <w:rFonts w:cs="Arial"/>
                <w:sz w:val="16"/>
                <w:szCs w:val="16"/>
              </w:rPr>
              <w:t xml:space="preserve"> </w:t>
            </w:r>
          </w:p>
          <w:p w14:paraId="4AF902A7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B317F">
              <w:rPr>
                <w:rFonts w:cs="Arial"/>
                <w:i/>
                <w:iCs/>
                <w:sz w:val="14"/>
                <w:szCs w:val="14"/>
              </w:rPr>
              <w:t>Note</w:t>
            </w:r>
            <w:r w:rsidRPr="004B317F">
              <w:rPr>
                <w:rFonts w:cs="Arial"/>
                <w:sz w:val="14"/>
                <w:szCs w:val="14"/>
              </w:rPr>
              <w:t>:</w:t>
            </w:r>
            <w:r w:rsidRPr="004B317F">
              <w:rPr>
                <w:sz w:val="16"/>
                <w:szCs w:val="16"/>
              </w:rPr>
              <w:t xml:space="preserve"> </w:t>
            </w:r>
            <w:r w:rsidRPr="004B317F">
              <w:rPr>
                <w:rFonts w:cs="Arial"/>
                <w:i/>
                <w:iCs/>
                <w:sz w:val="14"/>
                <w:szCs w:val="14"/>
              </w:rPr>
              <w:t>May be used with a spacer</w:t>
            </w:r>
            <w:r w:rsidRPr="004B317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78E12" w14:textId="77777777" w:rsidR="00FB7E85" w:rsidRPr="00BA1CF9" w:rsidDel="005203B2" w:rsidRDefault="00FB7E85" w:rsidP="00DD72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2145E" w14:textId="77777777" w:rsidR="00FB7E85" w:rsidRPr="00BA1CF9" w:rsidRDefault="00FB7E85" w:rsidP="00DD7278">
            <w:pPr>
              <w:jc w:val="center"/>
              <w:rPr>
                <w:rFonts w:cs="Arial"/>
                <w:sz w:val="18"/>
                <w:szCs w:val="18"/>
              </w:rPr>
            </w:pPr>
            <w:r w:rsidRPr="00134E8C">
              <w:rPr>
                <w:rFonts w:cs="Arial"/>
                <w:sz w:val="18"/>
                <w:szCs w:val="18"/>
              </w:rPr>
              <w:t>80 mcg</w:t>
            </w:r>
            <w:r w:rsidRPr="00BA1CF9">
              <w:rPr>
                <w:rFonts w:cs="Arial"/>
                <w:sz w:val="18"/>
                <w:szCs w:val="18"/>
              </w:rPr>
              <w:t xml:space="preserve"> (o</w:t>
            </w:r>
            <w:r w:rsidRPr="00134E8C">
              <w:rPr>
                <w:rFonts w:cs="Arial"/>
                <w:sz w:val="18"/>
                <w:szCs w:val="18"/>
              </w:rPr>
              <w:t xml:space="preserve">ne puff once </w:t>
            </w:r>
            <w:proofErr w:type="gramStart"/>
            <w:r w:rsidRPr="00134E8C">
              <w:rPr>
                <w:rFonts w:cs="Arial"/>
                <w:sz w:val="18"/>
                <w:szCs w:val="18"/>
              </w:rPr>
              <w:t>daily</w:t>
            </w:r>
            <w:r w:rsidRPr="00BA1CF9">
              <w:rPr>
                <w:rFonts w:cs="Arial"/>
                <w:sz w:val="18"/>
                <w:szCs w:val="18"/>
              </w:rPr>
              <w:t>)*</w:t>
            </w:r>
            <w:proofErr w:type="gramEnd"/>
            <w:r w:rsidRPr="00BA1CF9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42D18" w14:textId="77777777" w:rsidR="00FB7E85" w:rsidRPr="00BA1CF9" w:rsidRDefault="00FB7E85" w:rsidP="00DD7278">
            <w:pPr>
              <w:jc w:val="center"/>
              <w:rPr>
                <w:rFonts w:cs="Arial"/>
                <w:sz w:val="18"/>
                <w:szCs w:val="18"/>
              </w:rPr>
            </w:pPr>
            <w:r w:rsidRPr="00134E8C">
              <w:rPr>
                <w:rFonts w:cs="Arial"/>
                <w:sz w:val="18"/>
                <w:szCs w:val="18"/>
              </w:rPr>
              <w:t xml:space="preserve"> 80 mcg</w:t>
            </w:r>
            <w:r w:rsidRPr="00BA1CF9">
              <w:rPr>
                <w:rFonts w:cs="Arial"/>
                <w:sz w:val="18"/>
                <w:szCs w:val="18"/>
              </w:rPr>
              <w:t xml:space="preserve"> (on</w:t>
            </w:r>
            <w:r w:rsidRPr="00134E8C">
              <w:rPr>
                <w:rFonts w:cs="Arial"/>
                <w:sz w:val="18"/>
                <w:szCs w:val="18"/>
              </w:rPr>
              <w:t xml:space="preserve">e puff </w:t>
            </w:r>
            <w:r w:rsidRPr="00BA1CF9">
              <w:rPr>
                <w:rFonts w:cs="Arial"/>
                <w:sz w:val="18"/>
                <w:szCs w:val="18"/>
              </w:rPr>
              <w:t>once</w:t>
            </w:r>
            <w:r w:rsidRPr="00134E8C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134E8C">
              <w:rPr>
                <w:rFonts w:cs="Arial"/>
                <w:sz w:val="18"/>
                <w:szCs w:val="18"/>
              </w:rPr>
              <w:t>daily</w:t>
            </w:r>
            <w:r w:rsidRPr="00BA1CF9">
              <w:rPr>
                <w:rFonts w:cs="Arial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2CE7C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color w:val="000000"/>
                <w:sz w:val="18"/>
                <w:szCs w:val="18"/>
              </w:rPr>
              <w:t>80 mcg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 (o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ne puff twice daily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FB7E85" w:rsidRPr="00BA1CF9" w14:paraId="6BA1D16F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A14E4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0254E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3D6D6" w14:textId="77777777" w:rsidR="00FB7E85" w:rsidRPr="00BA1CF9" w:rsidDel="005203B2" w:rsidRDefault="00FB7E85" w:rsidP="00DD7278">
            <w:pPr>
              <w:jc w:val="center"/>
              <w:rPr>
                <w:rFonts w:cs="Arial"/>
                <w:sz w:val="18"/>
                <w:szCs w:val="18"/>
              </w:rPr>
            </w:pPr>
            <w:r w:rsidRPr="00134E8C">
              <w:rPr>
                <w:rFonts w:cs="Arial"/>
                <w:sz w:val="18"/>
                <w:szCs w:val="18"/>
              </w:rPr>
              <w:t>160 mcg</w:t>
            </w:r>
            <w:r w:rsidRPr="00BA1CF9">
              <w:rPr>
                <w:rFonts w:cs="Arial"/>
                <w:sz w:val="18"/>
                <w:szCs w:val="18"/>
              </w:rPr>
              <w:t xml:space="preserve"> (o</w:t>
            </w:r>
            <w:r w:rsidRPr="00134E8C">
              <w:rPr>
                <w:rFonts w:cs="Arial"/>
                <w:sz w:val="18"/>
                <w:szCs w:val="18"/>
              </w:rPr>
              <w:t xml:space="preserve">ne puff once </w:t>
            </w:r>
            <w:proofErr w:type="gramStart"/>
            <w:r w:rsidRPr="00134E8C">
              <w:rPr>
                <w:rFonts w:cs="Arial"/>
                <w:sz w:val="18"/>
                <w:szCs w:val="18"/>
              </w:rPr>
              <w:t>daily</w:t>
            </w:r>
            <w:r w:rsidRPr="00BA1CF9">
              <w:rPr>
                <w:rFonts w:cs="Arial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59DC0" w14:textId="77777777" w:rsidR="00FB7E85" w:rsidRPr="00BA1CF9" w:rsidDel="005203B2" w:rsidRDefault="00FB7E85" w:rsidP="00DD7278">
            <w:pPr>
              <w:jc w:val="center"/>
              <w:rPr>
                <w:rFonts w:cs="Arial"/>
                <w:sz w:val="18"/>
                <w:szCs w:val="18"/>
              </w:rPr>
            </w:pPr>
            <w:r w:rsidRPr="00134E8C">
              <w:rPr>
                <w:rFonts w:cs="Arial"/>
                <w:sz w:val="18"/>
                <w:szCs w:val="18"/>
              </w:rPr>
              <w:t>160 mcg</w:t>
            </w:r>
            <w:r w:rsidRPr="00BA1CF9">
              <w:rPr>
                <w:rFonts w:cs="Arial"/>
                <w:sz w:val="18"/>
                <w:szCs w:val="18"/>
              </w:rPr>
              <w:t xml:space="preserve"> (o</w:t>
            </w:r>
            <w:r w:rsidRPr="00134E8C">
              <w:rPr>
                <w:rFonts w:cs="Arial"/>
                <w:sz w:val="18"/>
                <w:szCs w:val="18"/>
              </w:rPr>
              <w:t>ne</w:t>
            </w:r>
            <w:r w:rsidRPr="00BA1CF9">
              <w:rPr>
                <w:rFonts w:cs="Arial"/>
                <w:sz w:val="18"/>
                <w:szCs w:val="18"/>
              </w:rPr>
              <w:t xml:space="preserve"> p</w:t>
            </w:r>
            <w:r w:rsidRPr="00134E8C">
              <w:rPr>
                <w:rFonts w:cs="Arial"/>
                <w:sz w:val="18"/>
                <w:szCs w:val="18"/>
              </w:rPr>
              <w:t xml:space="preserve">uff </w:t>
            </w:r>
            <w:r w:rsidRPr="00BA1CF9">
              <w:rPr>
                <w:rFonts w:cs="Arial"/>
                <w:sz w:val="18"/>
                <w:szCs w:val="18"/>
              </w:rPr>
              <w:t>once</w:t>
            </w:r>
            <w:r w:rsidRPr="00134E8C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134E8C">
              <w:rPr>
                <w:rFonts w:cs="Arial"/>
                <w:sz w:val="18"/>
                <w:szCs w:val="18"/>
              </w:rPr>
              <w:t>daily</w:t>
            </w:r>
            <w:r w:rsidRPr="00BA1CF9">
              <w:rPr>
                <w:rFonts w:cs="Arial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1763C" w14:textId="77777777" w:rsidR="00FB7E85" w:rsidRPr="00BA1CF9" w:rsidDel="005203B2" w:rsidRDefault="00FB7E85" w:rsidP="00DD7278">
            <w:pPr>
              <w:jc w:val="center"/>
              <w:rPr>
                <w:rFonts w:cs="Arial"/>
                <w:color w:val="00B0F0"/>
                <w:sz w:val="18"/>
                <w:szCs w:val="18"/>
              </w:rPr>
            </w:pPr>
            <w:r w:rsidRPr="00134E8C">
              <w:rPr>
                <w:rFonts w:cs="Arial"/>
                <w:color w:val="000000"/>
                <w:sz w:val="18"/>
                <w:szCs w:val="18"/>
              </w:rPr>
              <w:t>160 mcg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 (o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 xml:space="preserve">ne puff </w:t>
            </w:r>
            <w:r>
              <w:rPr>
                <w:rFonts w:cs="Arial"/>
                <w:color w:val="000000"/>
                <w:sz w:val="18"/>
                <w:szCs w:val="18"/>
              </w:rPr>
              <w:t>twice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 xml:space="preserve"> daily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FB7E85" w:rsidRPr="00BA1CF9" w14:paraId="53E1226F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C7DD8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49E50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2A8C" w14:textId="77777777" w:rsidR="00FB7E85" w:rsidRPr="00BA1CF9" w:rsidDel="005203B2" w:rsidRDefault="00FB7E85" w:rsidP="00DD7278">
            <w:pPr>
              <w:jc w:val="center"/>
              <w:rPr>
                <w:rFonts w:cs="Arial"/>
                <w:sz w:val="18"/>
                <w:szCs w:val="18"/>
              </w:rPr>
            </w:pPr>
            <w:r w:rsidRPr="00BA1CF9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EFB46" w14:textId="77777777" w:rsidR="00FB7E85" w:rsidRPr="00BA1CF9" w:rsidDel="005203B2" w:rsidRDefault="00FB7E85" w:rsidP="00DD7278">
            <w:pPr>
              <w:jc w:val="center"/>
              <w:rPr>
                <w:rFonts w:cs="Arial"/>
                <w:sz w:val="18"/>
                <w:szCs w:val="18"/>
              </w:rPr>
            </w:pPr>
            <w:r w:rsidRPr="00BA1CF9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A9208" w14:textId="77777777" w:rsidR="00FB7E85" w:rsidRPr="00BA1CF9" w:rsidDel="005203B2" w:rsidRDefault="00FB7E85" w:rsidP="00DD7278">
            <w:pPr>
              <w:jc w:val="center"/>
              <w:rPr>
                <w:rFonts w:cs="Arial"/>
                <w:color w:val="00B0F0"/>
                <w:sz w:val="18"/>
                <w:szCs w:val="18"/>
              </w:rPr>
            </w:pPr>
            <w:r w:rsidRPr="00134E8C">
              <w:rPr>
                <w:rFonts w:cs="Arial"/>
                <w:color w:val="000000"/>
                <w:sz w:val="18"/>
                <w:szCs w:val="18"/>
              </w:rPr>
              <w:t>160 mcg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 (t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wo puffs twice daily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FB7E85" w:rsidRPr="00BA1CF9" w14:paraId="4875D932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2DAE1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ArmonAir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TM</w:t>
            </w:r>
            <w:proofErr w:type="spellEnd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Digihaler</w:t>
            </w:r>
            <w:proofErr w:type="spellEnd"/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 xml:space="preserve">(fluticasone propionate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DPI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55, 113, 232 mcg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3F2C8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5C50A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4D711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B7720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55 mcg (one puff twice daily)</w:t>
            </w:r>
          </w:p>
        </w:tc>
      </w:tr>
      <w:tr w:rsidR="00FB7E85" w:rsidRPr="00BA1CF9" w14:paraId="54ACD4E2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A3372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485EA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023242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ED60F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6CD3F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113 mcg (one puff twice daily)</w:t>
            </w:r>
          </w:p>
        </w:tc>
      </w:tr>
      <w:tr w:rsidR="00FB7E85" w:rsidRPr="00BA1CF9" w14:paraId="50EB28DB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FCAA1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D44E0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081CAA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0970C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F99C7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232 mcg (one puff twice daily)</w:t>
            </w:r>
          </w:p>
        </w:tc>
      </w:tr>
      <w:tr w:rsidR="00FB7E85" w:rsidRPr="00BA1CF9" w14:paraId="601ED285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B30EC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Arnuity</w:t>
            </w:r>
            <w:proofErr w:type="spellEnd"/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Ellipta</w:t>
            </w:r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(</w:t>
            </w:r>
            <w:r>
              <w:rPr>
                <w:rFonts w:cs="Arial"/>
                <w:color w:val="000000"/>
                <w:sz w:val="18"/>
                <w:szCs w:val="18"/>
              </w:rPr>
              <w:t>f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 xml:space="preserve">luticasone furoate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DPI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50, 100, 200 mcg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0C5FF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88F91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95E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50 mcg (one puff once daily)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B8BCB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100 mcg (one puff once daily)</w:t>
            </w:r>
          </w:p>
        </w:tc>
      </w:tr>
      <w:tr w:rsidR="00FB7E85" w:rsidRPr="00BA1CF9" w14:paraId="258FB7A0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F281D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29450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0883F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7A1C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6B878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100 mcg (one puff once daily)</w:t>
            </w:r>
          </w:p>
        </w:tc>
      </w:tr>
      <w:tr w:rsidR="00FB7E85" w:rsidRPr="00BA1CF9" w14:paraId="05763D3F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3B69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7ED29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1F258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F980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940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200 mcg (one puff once daily)</w:t>
            </w:r>
          </w:p>
        </w:tc>
      </w:tr>
      <w:tr w:rsidR="00FB7E85" w:rsidRPr="00BA1CF9" w14:paraId="42897A8D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845CC" w14:textId="77777777" w:rsidR="00FB7E85" w:rsidRPr="00134E8C" w:rsidRDefault="00FB7E85" w:rsidP="00DD7278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Asmanex</w:t>
            </w:r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HFA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(mometasone furoate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HFA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50, 100, 200 mcg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</w:r>
            <w:r w:rsidRPr="004B317F">
              <w:rPr>
                <w:rFonts w:cs="Arial"/>
                <w:i/>
                <w:iCs/>
                <w:color w:val="000000"/>
                <w:sz w:val="14"/>
                <w:szCs w:val="14"/>
              </w:rPr>
              <w:t>Note: May be used with a spacer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A6785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22CF0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C1F0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6EA5B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100 mcg (one puff twice daily)</w:t>
            </w:r>
          </w:p>
        </w:tc>
      </w:tr>
      <w:tr w:rsidR="00FB7E85" w:rsidRPr="00BA1CF9" w14:paraId="3525C3C0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6BB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FFC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83A55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2A712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50 mcg (two puffs twice daily)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2F5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200 mcg (one puff twice daily)</w:t>
            </w:r>
          </w:p>
        </w:tc>
      </w:tr>
      <w:tr w:rsidR="00FB7E85" w:rsidRPr="00BA1CF9" w14:paraId="1FFE6098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62BD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92C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F8769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7ED2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FF032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200 mcg (two puffs twice daily)</w:t>
            </w:r>
          </w:p>
        </w:tc>
      </w:tr>
      <w:tr w:rsidR="00FB7E85" w:rsidRPr="00BA1CF9" w14:paraId="2D5D9F4E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C640F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Asmanex</w:t>
            </w:r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Twisthaler</w:t>
            </w:r>
            <w:proofErr w:type="spellEnd"/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 xml:space="preserve">(mometasone furoate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DPI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110, 220 mcg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7802C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CE10A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21A4C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110 mcg (one puff once daily)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8B09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110 mcg (one puff once daily)</w:t>
            </w:r>
          </w:p>
        </w:tc>
      </w:tr>
      <w:tr w:rsidR="00FB7E85" w:rsidRPr="00BA1CF9" w14:paraId="5AC2D082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52E4D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E3E4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F367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E91C1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8310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220 mcg (two puffs once daily or one puff twice daily)</w:t>
            </w:r>
          </w:p>
        </w:tc>
      </w:tr>
      <w:tr w:rsidR="00FB7E85" w:rsidRPr="00BA1CF9" w14:paraId="06AB7218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5E0F1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375F7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13450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0A1A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4D2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220 mcg (two puffs twice daily)</w:t>
            </w:r>
          </w:p>
        </w:tc>
      </w:tr>
      <w:tr w:rsidR="00FB7E85" w:rsidRPr="00BA1CF9" w14:paraId="6670563D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4C5C7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Flovent</w:t>
            </w:r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Diskus</w:t>
            </w:r>
            <w:proofErr w:type="spellEnd"/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 xml:space="preserve">(fluticasone propionate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DPI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50, 100, 250 mcg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452F0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E8D8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8C47F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50 mcg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>100 mcg (one puff twice daily)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6FC0C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100 mcg (one puff twice daily)</w:t>
            </w:r>
          </w:p>
        </w:tc>
      </w:tr>
      <w:tr w:rsidR="00FB7E85" w:rsidRPr="00BA1CF9" w14:paraId="56ABC9AB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941FD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59354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C04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A3791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26C27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100 mcg (two puffs twice daily) or 250 mcg (one puff twice daily)</w:t>
            </w:r>
          </w:p>
        </w:tc>
      </w:tr>
      <w:tr w:rsidR="00FB7E85" w:rsidRPr="00BA1CF9" w14:paraId="375B17CF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48A21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3C1C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7BBC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0949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24983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250 mcg (two puffs twice daily)</w:t>
            </w:r>
          </w:p>
        </w:tc>
      </w:tr>
      <w:tr w:rsidR="00FB7E85" w:rsidRPr="00BA1CF9" w14:paraId="44B8A8BE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D255C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Flovent</w:t>
            </w:r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HFA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 xml:space="preserve">(fluticasone propionate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HFA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44, 110, 220 mcg</w:t>
            </w:r>
          </w:p>
          <w:p w14:paraId="597F06FF" w14:textId="77777777" w:rsidR="00FB7E85" w:rsidRPr="00E7362E" w:rsidRDefault="00FB7E85" w:rsidP="00DD7278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B317F">
              <w:rPr>
                <w:rFonts w:cs="Arial"/>
                <w:i/>
                <w:iCs/>
                <w:color w:val="000000"/>
                <w:sz w:val="14"/>
                <w:szCs w:val="14"/>
              </w:rPr>
              <w:t>*Off-label for children 1-3 years with spacer device with mask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C56E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EB5D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44 mcg (two puffs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8504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44 mcg (two puffs twice daily)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E616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44 mcg (two puffs twice daily)</w:t>
            </w:r>
          </w:p>
        </w:tc>
      </w:tr>
      <w:tr w:rsidR="00FB7E85" w:rsidRPr="00BA1CF9" w14:paraId="78EFE163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5730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3C84B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7C8D3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2FDB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898F0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110 mcg or 220 mcg (one puff twice daily)</w:t>
            </w:r>
          </w:p>
        </w:tc>
      </w:tr>
      <w:tr w:rsidR="00FB7E85" w:rsidRPr="00BA1CF9" w14:paraId="79B59BC6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87A1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DFE4A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10558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6DE1A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38EAE" w14:textId="77777777" w:rsidR="00FB7E85" w:rsidRPr="00BA1CF9" w:rsidDel="00357547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220 mcg (two to four puffs twice daily)</w:t>
            </w:r>
          </w:p>
        </w:tc>
      </w:tr>
      <w:tr w:rsidR="00FB7E85" w:rsidRPr="00BA1CF9" w14:paraId="702ECDF5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5F0CB" w14:textId="77777777" w:rsidR="00FB7E85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Pulmicort</w:t>
            </w:r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Flexhaler</w:t>
            </w:r>
            <w:proofErr w:type="spellEnd"/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</w:p>
          <w:p w14:paraId="15936AF3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color w:val="000000"/>
                <w:sz w:val="18"/>
                <w:szCs w:val="18"/>
              </w:rPr>
              <w:t xml:space="preserve">(budesonide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DPI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90, 180 mcg</w:t>
            </w:r>
          </w:p>
          <w:p w14:paraId="537A9F87" w14:textId="77777777" w:rsidR="00FB7E85" w:rsidRPr="00134E8C" w:rsidRDefault="00FB7E85" w:rsidP="00DD7278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4B317F">
              <w:rPr>
                <w:rFonts w:cs="Arial"/>
                <w:i/>
                <w:iCs/>
                <w:color w:val="000000"/>
                <w:sz w:val="14"/>
                <w:szCs w:val="14"/>
              </w:rPr>
              <w:t>*Max dose: 6-17 years, 360 mcg twice daily; ≥18 years, 720 mcg twice daily.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E12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93AB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F31C2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90 mcg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180 mcg (one puff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4DC27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90 mcg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180 mcg (one puff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</w:p>
        </w:tc>
      </w:tr>
      <w:tr w:rsidR="00FB7E85" w:rsidRPr="00BA1CF9" w14:paraId="0F43474D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031B4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FB069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FAD2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42B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180 mcg (two puffs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3E05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180 mcg (two puffs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</w:p>
        </w:tc>
      </w:tr>
      <w:tr w:rsidR="00FB7E85" w:rsidRPr="00BA1CF9" w14:paraId="3F6D5609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2FD96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72834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E1C0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D072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7D15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180 mcg (four puffs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</w:p>
        </w:tc>
      </w:tr>
      <w:tr w:rsidR="00FB7E85" w:rsidRPr="00BA1CF9" w14:paraId="24169C2B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A7514" w14:textId="77777777" w:rsidR="00FB7E85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Pulmicort </w:t>
            </w: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Respules</w:t>
            </w:r>
            <w:proofErr w:type="spellEnd"/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 xml:space="preserve">(budesonide </w:t>
            </w:r>
            <w:r>
              <w:rPr>
                <w:rFonts w:cs="Arial"/>
                <w:color w:val="000000"/>
                <w:sz w:val="18"/>
                <w:szCs w:val="18"/>
              </w:rPr>
              <w:t>inhalation suspension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</w:p>
          <w:p w14:paraId="3ABA69FD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*</w:t>
            </w:r>
            <w:r w:rsidRPr="00EF48EA">
              <w:rPr>
                <w:rFonts w:cs="Arial"/>
                <w:color w:val="000000"/>
                <w:sz w:val="14"/>
                <w:szCs w:val="14"/>
              </w:rPr>
              <w:t xml:space="preserve">Approved for </w:t>
            </w:r>
            <w:r>
              <w:rPr>
                <w:rFonts w:cs="Arial"/>
                <w:color w:val="000000"/>
                <w:sz w:val="14"/>
                <w:szCs w:val="14"/>
              </w:rPr>
              <w:t xml:space="preserve">children </w:t>
            </w:r>
            <w:r w:rsidRPr="00EF48EA">
              <w:rPr>
                <w:rFonts w:cs="Arial"/>
                <w:color w:val="000000"/>
                <w:sz w:val="14"/>
                <w:szCs w:val="14"/>
              </w:rPr>
              <w:t>12 months to 8 years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0.25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mg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, 0.5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mg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, 1 mg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(per 2 mL)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0F411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FEBE5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0.25 mg once daily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9811D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0.25 mg once daily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B15F7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FB7E85" w:rsidRPr="00BA1CF9" w14:paraId="7BBA8183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E5A1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1A52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5848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0.25 mg twice daily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AB0A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0.25 mg twice daily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79637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FB7E85" w:rsidRPr="00BA1CF9" w14:paraId="4489B744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76E02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42076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E319F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0.5 mg twice daily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28A08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0.5 mg twice daily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65CF9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FB7E85" w:rsidRPr="00BA1CF9" w14:paraId="4BE29AB3" w14:textId="77777777" w:rsidTr="00DD7278">
        <w:trPr>
          <w:trHeight w:val="259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87A73" w14:textId="77777777" w:rsidR="00FB7E85" w:rsidRPr="004B317F" w:rsidRDefault="00FB7E85" w:rsidP="00DD7278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QVAR</w:t>
            </w:r>
            <w:r w:rsidRPr="00D85087">
              <w:rPr>
                <w:rStyle w:val="normaltextrun"/>
                <w:rFonts w:cs="Arial"/>
                <w:b/>
                <w:bCs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E8C">
              <w:rPr>
                <w:rFonts w:cs="Arial"/>
                <w:b/>
                <w:bCs/>
                <w:color w:val="000000"/>
                <w:sz w:val="18"/>
                <w:szCs w:val="18"/>
              </w:rPr>
              <w:t>Redihaler</w:t>
            </w:r>
            <w:r w:rsidRPr="0012230A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TM</w:t>
            </w:r>
            <w:proofErr w:type="spellEnd"/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 xml:space="preserve">(beclomethasone </w:t>
            </w:r>
            <w:r w:rsidRPr="000F170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HFA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  <w:t>40, 80 mcg</w:t>
            </w:r>
            <w:r w:rsidRPr="00134E8C">
              <w:rPr>
                <w:rFonts w:cs="Arial"/>
                <w:color w:val="000000"/>
                <w:sz w:val="18"/>
                <w:szCs w:val="18"/>
              </w:rPr>
              <w:br/>
            </w:r>
            <w:r w:rsidRPr="004B317F">
              <w:rPr>
                <w:rFonts w:cs="Arial"/>
                <w:i/>
                <w:iCs/>
                <w:color w:val="000000"/>
                <w:sz w:val="14"/>
                <w:szCs w:val="14"/>
              </w:rPr>
              <w:t>*</w:t>
            </w: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Approved in children 4 to 11 </w:t>
            </w:r>
            <w:proofErr w:type="gramStart"/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years</w:t>
            </w:r>
            <w:proofErr w:type="gramEnd"/>
          </w:p>
          <w:p w14:paraId="618E8A4E" w14:textId="77777777" w:rsidR="00FB7E85" w:rsidRPr="0003779B" w:rsidRDefault="00FB7E85" w:rsidP="00DD72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B317F"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Note: </w:t>
            </w:r>
            <w:r w:rsidRPr="00531E4B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Cannot</w:t>
            </w:r>
            <w:r w:rsidRPr="004B317F"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 be used with a spacer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CCE58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Low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D10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40 mcg (one puff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935A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40 mcg (one puff twice daily)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59CF1" w14:textId="77777777" w:rsidR="00FB7E85" w:rsidRPr="00134E8C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40 mcg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A1CF9">
              <w:rPr>
                <w:rFonts w:cs="Arial"/>
                <w:color w:val="000000"/>
                <w:sz w:val="18"/>
                <w:szCs w:val="18"/>
              </w:rPr>
              <w:t>80 mcg (one puff twice daily)</w:t>
            </w:r>
          </w:p>
        </w:tc>
      </w:tr>
      <w:tr w:rsidR="00FB7E85" w:rsidRPr="00BA1CF9" w14:paraId="07432B19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59400" w14:textId="77777777" w:rsidR="00FB7E85" w:rsidRPr="00BA1CF9" w:rsidRDefault="00FB7E85" w:rsidP="00DD727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BAF13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Medium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83508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 xml:space="preserve">80 mcg (one puff twice </w:t>
            </w:r>
            <w:proofErr w:type="gramStart"/>
            <w:r w:rsidRPr="00BA1CF9">
              <w:rPr>
                <w:rFonts w:cs="Arial"/>
                <w:color w:val="000000"/>
                <w:sz w:val="18"/>
                <w:szCs w:val="18"/>
              </w:rPr>
              <w:t>daily)*</w:t>
            </w:r>
            <w:proofErr w:type="gram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75889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80 mcg (one puff twice daily)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C5770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80 mcg (two to three puffs twice daily)</w:t>
            </w:r>
          </w:p>
        </w:tc>
      </w:tr>
      <w:tr w:rsidR="00FB7E85" w:rsidRPr="00BA1CF9" w14:paraId="4894146F" w14:textId="77777777" w:rsidTr="00DD7278">
        <w:trPr>
          <w:trHeight w:val="259"/>
        </w:trPr>
        <w:tc>
          <w:tcPr>
            <w:tcW w:w="102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1588" w14:textId="77777777" w:rsidR="00FB7E85" w:rsidRPr="00BA1CF9" w:rsidRDefault="00FB7E85" w:rsidP="00DD727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11BC5C4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b/>
                <w:bCs/>
                <w:sz w:val="18"/>
                <w:szCs w:val="18"/>
              </w:rPr>
              <w:t>High dose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17ED55B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9CBE623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E48C3FF" w14:textId="77777777" w:rsidR="00FB7E85" w:rsidRPr="00BA1CF9" w:rsidRDefault="00FB7E85" w:rsidP="00DD72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1CF9">
              <w:rPr>
                <w:rFonts w:cs="Arial"/>
                <w:color w:val="000000"/>
                <w:sz w:val="18"/>
                <w:szCs w:val="18"/>
              </w:rPr>
              <w:t>80 mcg (four puffs twice daily)</w:t>
            </w:r>
          </w:p>
        </w:tc>
      </w:tr>
    </w:tbl>
    <w:p w14:paraId="328346A1" w14:textId="1BFAB372" w:rsidR="005961ED" w:rsidRDefault="005961ED" w:rsidP="00DD7278">
      <w:pPr>
        <w:ind w:left="270" w:hanging="441"/>
        <w:rPr>
          <w:bCs/>
          <w:sz w:val="18"/>
          <w:szCs w:val="18"/>
        </w:rPr>
        <w:sectPr w:rsidR="005961ED" w:rsidSect="008F6550">
          <w:pgSz w:w="12240" w:h="15840" w:code="1"/>
          <w:pgMar w:top="360" w:right="907" w:bottom="720" w:left="907" w:header="720" w:footer="576" w:gutter="0"/>
          <w:cols w:sep="1" w:space="720"/>
          <w:docGrid w:linePitch="360"/>
        </w:sectPr>
      </w:pP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8F6550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93C1" w14:textId="77777777" w:rsidR="008F6550" w:rsidRDefault="008F6550" w:rsidP="00492602">
      <w:r>
        <w:separator/>
      </w:r>
    </w:p>
  </w:endnote>
  <w:endnote w:type="continuationSeparator" w:id="0">
    <w:p w14:paraId="49CC0D8E" w14:textId="77777777" w:rsidR="008F6550" w:rsidRDefault="008F6550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9469" w14:textId="77777777" w:rsidR="00924EC8" w:rsidRDefault="00924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110A" w14:textId="77777777" w:rsidR="00924EC8" w:rsidRDefault="00924EC8" w:rsidP="00924EC8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080F3C14" w14:textId="5196B69C" w:rsidR="00637A67" w:rsidRPr="00924EC8" w:rsidRDefault="00924EC8" w:rsidP="00924EC8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49CC" w14:textId="77777777" w:rsidR="008F6550" w:rsidRDefault="008F6550" w:rsidP="00492602">
      <w:r>
        <w:separator/>
      </w:r>
    </w:p>
  </w:footnote>
  <w:footnote w:type="continuationSeparator" w:id="0">
    <w:p w14:paraId="35BCA60F" w14:textId="77777777" w:rsidR="008F6550" w:rsidRDefault="008F6550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0AC2" w14:textId="77777777" w:rsidR="00924EC8" w:rsidRDefault="00924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BC95" w14:textId="77777777" w:rsidR="00924EC8" w:rsidRDefault="00924E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EDF9" w14:textId="21DBC0E5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47039A" w:rsidRPr="0082673B">
      <w:rPr>
        <w:color w:val="auto"/>
        <w:sz w:val="18"/>
        <w:szCs w:val="18"/>
      </w:rPr>
      <w:t>221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5961ED">
      <w:rPr>
        <w:noProof/>
        <w:color w:val="auto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3CB6"/>
    <w:multiLevelType w:val="hybridMultilevel"/>
    <w:tmpl w:val="8444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45293"/>
    <w:multiLevelType w:val="hybridMultilevel"/>
    <w:tmpl w:val="C6D8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2787">
    <w:abstractNumId w:val="10"/>
  </w:num>
  <w:num w:numId="2" w16cid:durableId="678387703">
    <w:abstractNumId w:val="15"/>
  </w:num>
  <w:num w:numId="3" w16cid:durableId="171258805">
    <w:abstractNumId w:val="19"/>
  </w:num>
  <w:num w:numId="4" w16cid:durableId="933971704">
    <w:abstractNumId w:val="6"/>
  </w:num>
  <w:num w:numId="5" w16cid:durableId="1146894553">
    <w:abstractNumId w:val="9"/>
  </w:num>
  <w:num w:numId="6" w16cid:durableId="1099835229">
    <w:abstractNumId w:val="14"/>
  </w:num>
  <w:num w:numId="7" w16cid:durableId="1091773746">
    <w:abstractNumId w:val="20"/>
  </w:num>
  <w:num w:numId="8" w16cid:durableId="775977178">
    <w:abstractNumId w:val="2"/>
  </w:num>
  <w:num w:numId="9" w16cid:durableId="1192911353">
    <w:abstractNumId w:val="0"/>
  </w:num>
  <w:num w:numId="10" w16cid:durableId="1998994280">
    <w:abstractNumId w:val="17"/>
  </w:num>
  <w:num w:numId="11" w16cid:durableId="77529562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9363">
    <w:abstractNumId w:val="4"/>
  </w:num>
  <w:num w:numId="13" w16cid:durableId="489909912">
    <w:abstractNumId w:val="19"/>
  </w:num>
  <w:num w:numId="14" w16cid:durableId="12777144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933419">
    <w:abstractNumId w:val="14"/>
  </w:num>
  <w:num w:numId="16" w16cid:durableId="1632830456">
    <w:abstractNumId w:val="16"/>
  </w:num>
  <w:num w:numId="17" w16cid:durableId="1271858877">
    <w:abstractNumId w:val="1"/>
  </w:num>
  <w:num w:numId="18" w16cid:durableId="1285695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985">
    <w:abstractNumId w:val="5"/>
  </w:num>
  <w:num w:numId="20" w16cid:durableId="155609916">
    <w:abstractNumId w:val="3"/>
  </w:num>
  <w:num w:numId="21" w16cid:durableId="749011242">
    <w:abstractNumId w:val="8"/>
  </w:num>
  <w:num w:numId="22" w16cid:durableId="2135520725">
    <w:abstractNumId w:val="21"/>
  </w:num>
  <w:num w:numId="23" w16cid:durableId="1269894124">
    <w:abstractNumId w:val="23"/>
  </w:num>
  <w:num w:numId="24" w16cid:durableId="1534229008">
    <w:abstractNumId w:val="13"/>
  </w:num>
  <w:num w:numId="25" w16cid:durableId="480999597">
    <w:abstractNumId w:val="18"/>
  </w:num>
  <w:num w:numId="26" w16cid:durableId="16079162">
    <w:abstractNumId w:val="22"/>
  </w:num>
  <w:num w:numId="27" w16cid:durableId="644311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14A70"/>
    <w:rsid w:val="0002450C"/>
    <w:rsid w:val="00054839"/>
    <w:rsid w:val="00061F50"/>
    <w:rsid w:val="000658A5"/>
    <w:rsid w:val="000713D3"/>
    <w:rsid w:val="00074014"/>
    <w:rsid w:val="00081E8E"/>
    <w:rsid w:val="000945E6"/>
    <w:rsid w:val="000A6318"/>
    <w:rsid w:val="000D1502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3CC2"/>
    <w:rsid w:val="001864A9"/>
    <w:rsid w:val="001A125B"/>
    <w:rsid w:val="001C1481"/>
    <w:rsid w:val="001D2EC4"/>
    <w:rsid w:val="001E779F"/>
    <w:rsid w:val="00204859"/>
    <w:rsid w:val="0021214A"/>
    <w:rsid w:val="00212477"/>
    <w:rsid w:val="00212622"/>
    <w:rsid w:val="002275AE"/>
    <w:rsid w:val="002509E9"/>
    <w:rsid w:val="00260070"/>
    <w:rsid w:val="00274F3E"/>
    <w:rsid w:val="00276F3A"/>
    <w:rsid w:val="00286CBE"/>
    <w:rsid w:val="00291397"/>
    <w:rsid w:val="002B0397"/>
    <w:rsid w:val="002C7C67"/>
    <w:rsid w:val="002D390F"/>
    <w:rsid w:val="002D738C"/>
    <w:rsid w:val="002E2F9E"/>
    <w:rsid w:val="002F426F"/>
    <w:rsid w:val="002F459B"/>
    <w:rsid w:val="003152DA"/>
    <w:rsid w:val="003240F1"/>
    <w:rsid w:val="0033053B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A0215"/>
    <w:rsid w:val="003B6839"/>
    <w:rsid w:val="003C45A1"/>
    <w:rsid w:val="003D3B27"/>
    <w:rsid w:val="003F533B"/>
    <w:rsid w:val="004277E5"/>
    <w:rsid w:val="00447A5F"/>
    <w:rsid w:val="00456B5A"/>
    <w:rsid w:val="00457528"/>
    <w:rsid w:val="004664D3"/>
    <w:rsid w:val="0047039A"/>
    <w:rsid w:val="00492602"/>
    <w:rsid w:val="0049423D"/>
    <w:rsid w:val="00494D38"/>
    <w:rsid w:val="004A3BAA"/>
    <w:rsid w:val="004A7395"/>
    <w:rsid w:val="004C1DAD"/>
    <w:rsid w:val="004D1BC7"/>
    <w:rsid w:val="004D20D7"/>
    <w:rsid w:val="004D3D0B"/>
    <w:rsid w:val="004D79B2"/>
    <w:rsid w:val="004F4540"/>
    <w:rsid w:val="004F5506"/>
    <w:rsid w:val="004F5612"/>
    <w:rsid w:val="005052D9"/>
    <w:rsid w:val="00516394"/>
    <w:rsid w:val="0052118E"/>
    <w:rsid w:val="00527F95"/>
    <w:rsid w:val="005314A6"/>
    <w:rsid w:val="005502E1"/>
    <w:rsid w:val="0055514F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961ED"/>
    <w:rsid w:val="005A22AC"/>
    <w:rsid w:val="005A57BA"/>
    <w:rsid w:val="005B15B3"/>
    <w:rsid w:val="005D723D"/>
    <w:rsid w:val="005E192D"/>
    <w:rsid w:val="005F2371"/>
    <w:rsid w:val="005F775E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753A6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6F5496"/>
    <w:rsid w:val="006F5F9D"/>
    <w:rsid w:val="007319D7"/>
    <w:rsid w:val="00731FAF"/>
    <w:rsid w:val="007426BF"/>
    <w:rsid w:val="00760FDF"/>
    <w:rsid w:val="00762E4B"/>
    <w:rsid w:val="007649F0"/>
    <w:rsid w:val="007757E7"/>
    <w:rsid w:val="00781D3B"/>
    <w:rsid w:val="00794581"/>
    <w:rsid w:val="007A038A"/>
    <w:rsid w:val="007A41F5"/>
    <w:rsid w:val="007B2F2D"/>
    <w:rsid w:val="007B4429"/>
    <w:rsid w:val="007B7425"/>
    <w:rsid w:val="007F19EB"/>
    <w:rsid w:val="007F5417"/>
    <w:rsid w:val="00804116"/>
    <w:rsid w:val="00812480"/>
    <w:rsid w:val="00816CE2"/>
    <w:rsid w:val="00821937"/>
    <w:rsid w:val="0082673B"/>
    <w:rsid w:val="008340D0"/>
    <w:rsid w:val="008403CA"/>
    <w:rsid w:val="008474A5"/>
    <w:rsid w:val="0085395A"/>
    <w:rsid w:val="00853F8E"/>
    <w:rsid w:val="0086142C"/>
    <w:rsid w:val="008667CF"/>
    <w:rsid w:val="00870F52"/>
    <w:rsid w:val="00872E7F"/>
    <w:rsid w:val="0087638F"/>
    <w:rsid w:val="00880FA9"/>
    <w:rsid w:val="008930F1"/>
    <w:rsid w:val="00893F45"/>
    <w:rsid w:val="008C5414"/>
    <w:rsid w:val="008C66D8"/>
    <w:rsid w:val="008E4B33"/>
    <w:rsid w:val="008F0130"/>
    <w:rsid w:val="008F2E4C"/>
    <w:rsid w:val="008F6550"/>
    <w:rsid w:val="00905C46"/>
    <w:rsid w:val="00906EEC"/>
    <w:rsid w:val="009166DF"/>
    <w:rsid w:val="009204C7"/>
    <w:rsid w:val="00922030"/>
    <w:rsid w:val="00924EC8"/>
    <w:rsid w:val="009365C7"/>
    <w:rsid w:val="0094076D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04096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963BF"/>
    <w:rsid w:val="00AC1AC7"/>
    <w:rsid w:val="00AD05C9"/>
    <w:rsid w:val="00AD18B8"/>
    <w:rsid w:val="00AD33D5"/>
    <w:rsid w:val="00AE21FC"/>
    <w:rsid w:val="00AF0929"/>
    <w:rsid w:val="00B00E2A"/>
    <w:rsid w:val="00B01BAA"/>
    <w:rsid w:val="00B07BD7"/>
    <w:rsid w:val="00B10600"/>
    <w:rsid w:val="00B13AA5"/>
    <w:rsid w:val="00B3099B"/>
    <w:rsid w:val="00B40A71"/>
    <w:rsid w:val="00B503C7"/>
    <w:rsid w:val="00B54AB5"/>
    <w:rsid w:val="00B645C9"/>
    <w:rsid w:val="00B72D41"/>
    <w:rsid w:val="00B86F04"/>
    <w:rsid w:val="00B92C96"/>
    <w:rsid w:val="00BA64D7"/>
    <w:rsid w:val="00BA68F0"/>
    <w:rsid w:val="00BC4835"/>
    <w:rsid w:val="00BD08CA"/>
    <w:rsid w:val="00BF0DF4"/>
    <w:rsid w:val="00C00CF2"/>
    <w:rsid w:val="00C15672"/>
    <w:rsid w:val="00C21680"/>
    <w:rsid w:val="00C232F3"/>
    <w:rsid w:val="00C31421"/>
    <w:rsid w:val="00C33753"/>
    <w:rsid w:val="00C35B94"/>
    <w:rsid w:val="00C559C9"/>
    <w:rsid w:val="00C62719"/>
    <w:rsid w:val="00C82FA4"/>
    <w:rsid w:val="00CA0669"/>
    <w:rsid w:val="00CA1E7C"/>
    <w:rsid w:val="00CB0030"/>
    <w:rsid w:val="00CB006B"/>
    <w:rsid w:val="00CB7521"/>
    <w:rsid w:val="00CC57AC"/>
    <w:rsid w:val="00CC776C"/>
    <w:rsid w:val="00CD6D68"/>
    <w:rsid w:val="00CE2086"/>
    <w:rsid w:val="00CF2057"/>
    <w:rsid w:val="00D0584B"/>
    <w:rsid w:val="00D2695E"/>
    <w:rsid w:val="00D450C8"/>
    <w:rsid w:val="00D521FA"/>
    <w:rsid w:val="00D66801"/>
    <w:rsid w:val="00D779F2"/>
    <w:rsid w:val="00D81121"/>
    <w:rsid w:val="00D939D0"/>
    <w:rsid w:val="00DA6A55"/>
    <w:rsid w:val="00DD7278"/>
    <w:rsid w:val="00E06F7D"/>
    <w:rsid w:val="00E24139"/>
    <w:rsid w:val="00E3616D"/>
    <w:rsid w:val="00E50862"/>
    <w:rsid w:val="00E60ABB"/>
    <w:rsid w:val="00E62D91"/>
    <w:rsid w:val="00E632C6"/>
    <w:rsid w:val="00E67611"/>
    <w:rsid w:val="00E67713"/>
    <w:rsid w:val="00E72DFF"/>
    <w:rsid w:val="00E92E47"/>
    <w:rsid w:val="00E9576D"/>
    <w:rsid w:val="00E97364"/>
    <w:rsid w:val="00EA3D8E"/>
    <w:rsid w:val="00EC08AC"/>
    <w:rsid w:val="00EC1948"/>
    <w:rsid w:val="00EC6E1A"/>
    <w:rsid w:val="00ED4639"/>
    <w:rsid w:val="00EE54D2"/>
    <w:rsid w:val="00EF4B0A"/>
    <w:rsid w:val="00EF7C8A"/>
    <w:rsid w:val="00F012C9"/>
    <w:rsid w:val="00F2514F"/>
    <w:rsid w:val="00F25E7F"/>
    <w:rsid w:val="00F274DE"/>
    <w:rsid w:val="00F44A72"/>
    <w:rsid w:val="00F6038A"/>
    <w:rsid w:val="00F643E6"/>
    <w:rsid w:val="00F76D69"/>
    <w:rsid w:val="00F9012C"/>
    <w:rsid w:val="00F9097E"/>
    <w:rsid w:val="00F91102"/>
    <w:rsid w:val="00F93C6C"/>
    <w:rsid w:val="00F95B4A"/>
    <w:rsid w:val="00FA5147"/>
    <w:rsid w:val="00FB0C11"/>
    <w:rsid w:val="00FB5301"/>
    <w:rsid w:val="00FB7E85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BalloonTextChar">
    <w:name w:val="Balloon Text Char"/>
    <w:link w:val="BalloonText"/>
    <w:uiPriority w:val="99"/>
    <w:locked/>
    <w:rsid w:val="00EF4B0A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FB7E85"/>
  </w:style>
  <w:style w:type="paragraph" w:styleId="Revision">
    <w:name w:val="Revision"/>
    <w:hidden/>
    <w:uiPriority w:val="99"/>
    <w:semiHidden/>
    <w:rsid w:val="003A021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62E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2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2E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2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2E4B"/>
    <w:rPr>
      <w:b/>
      <w:bCs/>
    </w:rPr>
  </w:style>
  <w:style w:type="character" w:styleId="Hyperlink">
    <w:name w:val="Hyperlink"/>
    <w:basedOn w:val="DefaultParagraphFont"/>
    <w:unhideWhenUsed/>
    <w:rsid w:val="00924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pharmacy-facts-216-december-1-2023-0/downloa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pharmacy-facts-211-september-29-2023-0/download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2024-02-21T18:00:00Z</dcterms:created>
  <dcterms:modified xsi:type="dcterms:W3CDTF">2024-02-22T13:47:00Z</dcterms:modified>
</cp:coreProperties>
</file>