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358F032A"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D805DA" w:rsidRPr="005B56D4">
        <w:rPr>
          <w:rFonts w:ascii="Arial Narrow" w:hAnsi="Arial Narrow"/>
          <w:b/>
          <w:color w:val="auto"/>
          <w:sz w:val="20"/>
          <w:szCs w:val="20"/>
        </w:rPr>
        <w:t>222</w:t>
      </w:r>
      <w:r w:rsidRPr="005B56D4">
        <w:rPr>
          <w:rFonts w:ascii="Arial Narrow" w:hAnsi="Arial Narrow"/>
          <w:b/>
          <w:color w:val="auto"/>
          <w:sz w:val="20"/>
          <w:szCs w:val="20"/>
        </w:rPr>
        <w:t xml:space="preserve">, </w:t>
      </w:r>
      <w:r w:rsidR="00D805DA" w:rsidRPr="005B56D4">
        <w:rPr>
          <w:rFonts w:ascii="Arial Narrow" w:hAnsi="Arial Narrow"/>
          <w:b/>
          <w:color w:val="auto"/>
          <w:sz w:val="20"/>
          <w:szCs w:val="20"/>
        </w:rPr>
        <w:t xml:space="preserve">February </w:t>
      </w:r>
      <w:r w:rsidR="005B56D4" w:rsidRPr="005B56D4">
        <w:rPr>
          <w:rFonts w:ascii="Arial Narrow" w:hAnsi="Arial Narrow"/>
          <w:b/>
          <w:color w:val="auto"/>
          <w:sz w:val="20"/>
          <w:szCs w:val="20"/>
        </w:rPr>
        <w:t>27</w:t>
      </w:r>
      <w:r w:rsidR="00D805DA" w:rsidRPr="005B56D4">
        <w:rPr>
          <w:rFonts w:ascii="Arial Narrow" w:hAnsi="Arial Narrow"/>
          <w:b/>
          <w:color w:val="auto"/>
          <w:sz w:val="20"/>
          <w:szCs w:val="20"/>
        </w:rPr>
        <w:t>, 2024</w:t>
      </w:r>
    </w:p>
    <w:p w14:paraId="5B1A8BE8" w14:textId="36508A1C" w:rsidR="006F35F9" w:rsidRDefault="00172862" w:rsidP="00E44D32">
      <w:pPr>
        <w:tabs>
          <w:tab w:val="left" w:pos="10530"/>
        </w:tabs>
        <w:spacing w:after="240"/>
        <w:ind w:left="-144" w:right="720"/>
        <w:rPr>
          <w:rFonts w:ascii="Arial" w:hAnsi="Arial" w:cs="Arial"/>
          <w:color w:val="000000"/>
          <w:sz w:val="21"/>
          <w:szCs w:val="21"/>
        </w:rPr>
        <w:sectPr w:rsidR="006F35F9" w:rsidSect="000F28BB">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4ACF3654" wp14:editId="18FA2A58">
            <wp:extent cx="6753584" cy="1713336"/>
            <wp:effectExtent l="0" t="0" r="0" b="1270"/>
            <wp:docPr id="206250170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01706"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73424" cy="1718369"/>
                    </a:xfrm>
                    <a:prstGeom prst="rect">
                      <a:avLst/>
                    </a:prstGeom>
                  </pic:spPr>
                </pic:pic>
              </a:graphicData>
            </a:graphic>
          </wp:inline>
        </w:drawing>
      </w:r>
    </w:p>
    <w:p w14:paraId="287F2783" w14:textId="77777777" w:rsidR="00E203F5" w:rsidRPr="00E203F5" w:rsidRDefault="00E203F5" w:rsidP="00E203F5">
      <w:pPr>
        <w:rPr>
          <w:rFonts w:ascii="Arial Black" w:hAnsi="Arial Black" w:cs="Arial"/>
          <w:b/>
        </w:rPr>
      </w:pPr>
      <w:r w:rsidRPr="00E203F5">
        <w:rPr>
          <w:rFonts w:ascii="Arial Black" w:hAnsi="Arial Black" w:cs="Arial"/>
          <w:b/>
        </w:rPr>
        <w:t>Managed Care Update to GLP-1 Agonist Drugs Purchased Through the 340B Drug Pricing Program</w:t>
      </w:r>
    </w:p>
    <w:p w14:paraId="5B1A8BEA" w14:textId="77777777" w:rsidR="00CD6D68" w:rsidRPr="00C60193" w:rsidRDefault="00CD6D68" w:rsidP="00CD6D68">
      <w:pPr>
        <w:rPr>
          <w:sz w:val="22"/>
          <w:szCs w:val="22"/>
        </w:rPr>
      </w:pPr>
    </w:p>
    <w:p w14:paraId="5B1A8BED" w14:textId="43AA4AD4" w:rsidR="00CD6D68" w:rsidRPr="00171445" w:rsidRDefault="00E03FF7" w:rsidP="00CD6D68">
      <w:pPr>
        <w:pStyle w:val="Default"/>
        <w:spacing w:after="120"/>
        <w:rPr>
          <w:rFonts w:ascii="Arial" w:hAnsi="Arial" w:cs="Arial"/>
          <w:sz w:val="22"/>
          <w:szCs w:val="22"/>
        </w:rPr>
      </w:pPr>
      <w:r w:rsidRPr="00E03FF7">
        <w:rPr>
          <w:rFonts w:ascii="Arial" w:hAnsi="Arial" w:cs="Arial"/>
          <w:sz w:val="22"/>
          <w:szCs w:val="22"/>
        </w:rPr>
        <w:t xml:space="preserve">This section concerns Accountable Care Partnership Plans (ACPPs), Managed Care Organizations (MCOs), One Care Plans, and Senior Care Organizations (SCOs) (collectively referred to as “Managed Care Entities”). Effective April 1, 2024, the Executive Office of </w:t>
      </w:r>
      <w:proofErr w:type="gramStart"/>
      <w:r w:rsidRPr="00E03FF7">
        <w:rPr>
          <w:rFonts w:ascii="Arial" w:hAnsi="Arial" w:cs="Arial"/>
          <w:sz w:val="22"/>
          <w:szCs w:val="22"/>
        </w:rPr>
        <w:t>Health</w:t>
      </w:r>
      <w:proofErr w:type="gramEnd"/>
      <w:r w:rsidRPr="00E03FF7">
        <w:rPr>
          <w:rFonts w:ascii="Arial" w:hAnsi="Arial" w:cs="Arial"/>
          <w:sz w:val="22"/>
          <w:szCs w:val="22"/>
        </w:rPr>
        <w:t xml:space="preserve"> and Human Services (EOHHS) is directing Managed Care Entities not to pay for the drugs listed below if those drugs are purchased through the 340B Drug Pricing Program (340B stock). Managed Care Entities may pay for the listed drugs only when providers use non-340B stock.</w:t>
      </w:r>
    </w:p>
    <w:p w14:paraId="0D52638C" w14:textId="77777777" w:rsidR="00704A67" w:rsidRPr="00704A67" w:rsidRDefault="00704A67" w:rsidP="0021661A">
      <w:pPr>
        <w:pStyle w:val="Default"/>
        <w:numPr>
          <w:ilvl w:val="0"/>
          <w:numId w:val="26"/>
        </w:numPr>
        <w:spacing w:line="276" w:lineRule="auto"/>
        <w:ind w:left="360"/>
        <w:rPr>
          <w:rFonts w:ascii="Arial" w:hAnsi="Arial" w:cs="Arial"/>
          <w:color w:val="auto"/>
          <w:sz w:val="22"/>
          <w:szCs w:val="22"/>
        </w:rPr>
      </w:pPr>
      <w:proofErr w:type="spellStart"/>
      <w:r w:rsidRPr="00704A67">
        <w:rPr>
          <w:rFonts w:ascii="Arial" w:hAnsi="Arial" w:cs="Arial"/>
          <w:color w:val="auto"/>
          <w:sz w:val="22"/>
          <w:szCs w:val="22"/>
        </w:rPr>
        <w:t>Saxenda</w:t>
      </w:r>
      <w:proofErr w:type="spellEnd"/>
      <w:r w:rsidRPr="005B56D4">
        <w:rPr>
          <w:rFonts w:ascii="Arial" w:hAnsi="Arial" w:cs="Arial"/>
          <w:color w:val="auto"/>
          <w:sz w:val="22"/>
          <w:szCs w:val="22"/>
          <w:vertAlign w:val="superscript"/>
        </w:rPr>
        <w:t>®</w:t>
      </w:r>
      <w:r w:rsidRPr="00704A67">
        <w:rPr>
          <w:rFonts w:ascii="Arial" w:hAnsi="Arial" w:cs="Arial"/>
          <w:color w:val="auto"/>
          <w:sz w:val="22"/>
          <w:szCs w:val="22"/>
        </w:rPr>
        <w:t xml:space="preserve"> (liraglutide)</w:t>
      </w:r>
    </w:p>
    <w:p w14:paraId="2CC1ABEE" w14:textId="77777777" w:rsidR="00704A67" w:rsidRPr="00704A67" w:rsidRDefault="00704A67" w:rsidP="0021661A">
      <w:pPr>
        <w:pStyle w:val="Default"/>
        <w:numPr>
          <w:ilvl w:val="0"/>
          <w:numId w:val="26"/>
        </w:numPr>
        <w:spacing w:line="276" w:lineRule="auto"/>
        <w:ind w:left="360"/>
        <w:rPr>
          <w:rFonts w:ascii="Arial" w:hAnsi="Arial" w:cs="Arial"/>
          <w:color w:val="auto"/>
          <w:sz w:val="22"/>
          <w:szCs w:val="22"/>
        </w:rPr>
      </w:pPr>
      <w:r w:rsidRPr="00704A67">
        <w:rPr>
          <w:rFonts w:ascii="Arial" w:hAnsi="Arial" w:cs="Arial"/>
          <w:color w:val="auto"/>
          <w:sz w:val="22"/>
          <w:szCs w:val="22"/>
        </w:rPr>
        <w:t>Victoza</w:t>
      </w:r>
      <w:r w:rsidRPr="005B56D4">
        <w:rPr>
          <w:rFonts w:ascii="Arial" w:hAnsi="Arial" w:cs="Arial"/>
          <w:color w:val="auto"/>
          <w:sz w:val="22"/>
          <w:szCs w:val="22"/>
          <w:vertAlign w:val="superscript"/>
        </w:rPr>
        <w:t>®</w:t>
      </w:r>
      <w:r w:rsidRPr="00704A67">
        <w:rPr>
          <w:rFonts w:ascii="Arial" w:hAnsi="Arial" w:cs="Arial"/>
          <w:color w:val="auto"/>
          <w:sz w:val="22"/>
          <w:szCs w:val="22"/>
        </w:rPr>
        <w:t xml:space="preserve"> (liraglutide)</w:t>
      </w:r>
    </w:p>
    <w:p w14:paraId="1CED9A89" w14:textId="77777777" w:rsidR="00704A67" w:rsidRPr="00704A67" w:rsidRDefault="00704A67" w:rsidP="0021661A">
      <w:pPr>
        <w:pStyle w:val="Default"/>
        <w:numPr>
          <w:ilvl w:val="0"/>
          <w:numId w:val="26"/>
        </w:numPr>
        <w:spacing w:line="276" w:lineRule="auto"/>
        <w:ind w:left="360"/>
        <w:rPr>
          <w:rFonts w:ascii="Arial" w:hAnsi="Arial" w:cs="Arial"/>
          <w:color w:val="auto"/>
          <w:sz w:val="22"/>
          <w:szCs w:val="22"/>
        </w:rPr>
      </w:pPr>
      <w:r w:rsidRPr="00704A67">
        <w:rPr>
          <w:rFonts w:ascii="Arial" w:hAnsi="Arial" w:cs="Arial"/>
          <w:color w:val="auto"/>
          <w:sz w:val="22"/>
          <w:szCs w:val="22"/>
        </w:rPr>
        <w:t>Ozempic</w:t>
      </w:r>
      <w:r w:rsidRPr="005B56D4">
        <w:rPr>
          <w:rFonts w:ascii="Arial" w:hAnsi="Arial" w:cs="Arial"/>
          <w:color w:val="auto"/>
          <w:sz w:val="22"/>
          <w:szCs w:val="22"/>
          <w:vertAlign w:val="superscript"/>
        </w:rPr>
        <w:t>®</w:t>
      </w:r>
      <w:r w:rsidRPr="00704A67">
        <w:rPr>
          <w:rFonts w:ascii="Arial" w:hAnsi="Arial" w:cs="Arial"/>
          <w:color w:val="auto"/>
          <w:sz w:val="22"/>
          <w:szCs w:val="22"/>
        </w:rPr>
        <w:t xml:space="preserve"> (</w:t>
      </w:r>
      <w:proofErr w:type="spellStart"/>
      <w:r w:rsidRPr="00704A67">
        <w:rPr>
          <w:rFonts w:ascii="Arial" w:hAnsi="Arial" w:cs="Arial"/>
          <w:color w:val="auto"/>
          <w:sz w:val="22"/>
          <w:szCs w:val="22"/>
        </w:rPr>
        <w:t>semaglutide</w:t>
      </w:r>
      <w:proofErr w:type="spellEnd"/>
      <w:r w:rsidRPr="00704A67">
        <w:rPr>
          <w:rFonts w:ascii="Arial" w:hAnsi="Arial" w:cs="Arial"/>
          <w:color w:val="auto"/>
          <w:sz w:val="22"/>
          <w:szCs w:val="22"/>
        </w:rPr>
        <w:t>)</w:t>
      </w:r>
    </w:p>
    <w:p w14:paraId="624E41C6" w14:textId="77777777" w:rsidR="00704A67" w:rsidRPr="00704A67" w:rsidRDefault="00704A67" w:rsidP="0021661A">
      <w:pPr>
        <w:pStyle w:val="Default"/>
        <w:numPr>
          <w:ilvl w:val="0"/>
          <w:numId w:val="26"/>
        </w:numPr>
        <w:spacing w:line="276" w:lineRule="auto"/>
        <w:ind w:left="360"/>
        <w:rPr>
          <w:rFonts w:ascii="Arial" w:hAnsi="Arial" w:cs="Arial"/>
          <w:color w:val="auto"/>
          <w:sz w:val="22"/>
          <w:szCs w:val="22"/>
        </w:rPr>
      </w:pPr>
      <w:proofErr w:type="spellStart"/>
      <w:r w:rsidRPr="00704A67">
        <w:rPr>
          <w:rFonts w:ascii="Arial" w:hAnsi="Arial" w:cs="Arial"/>
          <w:color w:val="auto"/>
          <w:sz w:val="22"/>
          <w:szCs w:val="22"/>
        </w:rPr>
        <w:t>Rybelsus</w:t>
      </w:r>
      <w:proofErr w:type="spellEnd"/>
      <w:r w:rsidRPr="005B56D4">
        <w:rPr>
          <w:rFonts w:ascii="Arial" w:hAnsi="Arial" w:cs="Arial"/>
          <w:color w:val="auto"/>
          <w:sz w:val="22"/>
          <w:szCs w:val="22"/>
          <w:vertAlign w:val="superscript"/>
        </w:rPr>
        <w:t>®</w:t>
      </w:r>
      <w:r w:rsidRPr="00704A67">
        <w:rPr>
          <w:rFonts w:ascii="Arial" w:hAnsi="Arial" w:cs="Arial"/>
          <w:color w:val="auto"/>
          <w:sz w:val="22"/>
          <w:szCs w:val="22"/>
        </w:rPr>
        <w:t xml:space="preserve"> (</w:t>
      </w:r>
      <w:proofErr w:type="spellStart"/>
      <w:r w:rsidRPr="00704A67">
        <w:rPr>
          <w:rFonts w:ascii="Arial" w:hAnsi="Arial" w:cs="Arial"/>
          <w:color w:val="auto"/>
          <w:sz w:val="22"/>
          <w:szCs w:val="22"/>
        </w:rPr>
        <w:t>semaglutide</w:t>
      </w:r>
      <w:proofErr w:type="spellEnd"/>
      <w:r w:rsidRPr="00704A67">
        <w:rPr>
          <w:rFonts w:ascii="Arial" w:hAnsi="Arial" w:cs="Arial"/>
          <w:color w:val="auto"/>
          <w:sz w:val="22"/>
          <w:szCs w:val="22"/>
        </w:rPr>
        <w:t>)</w:t>
      </w:r>
    </w:p>
    <w:p w14:paraId="6F3E381F" w14:textId="77777777" w:rsidR="00704A67" w:rsidRPr="00704A67" w:rsidRDefault="00704A67" w:rsidP="0021661A">
      <w:pPr>
        <w:pStyle w:val="Default"/>
        <w:numPr>
          <w:ilvl w:val="0"/>
          <w:numId w:val="26"/>
        </w:numPr>
        <w:spacing w:line="276" w:lineRule="auto"/>
        <w:ind w:left="360"/>
        <w:rPr>
          <w:rFonts w:ascii="Arial" w:hAnsi="Arial" w:cs="Arial"/>
          <w:color w:val="auto"/>
          <w:sz w:val="22"/>
          <w:szCs w:val="22"/>
        </w:rPr>
      </w:pPr>
      <w:proofErr w:type="spellStart"/>
      <w:r w:rsidRPr="00704A67">
        <w:rPr>
          <w:rFonts w:ascii="Arial" w:hAnsi="Arial" w:cs="Arial"/>
          <w:color w:val="auto"/>
          <w:sz w:val="22"/>
          <w:szCs w:val="22"/>
        </w:rPr>
        <w:t>Wegovy</w:t>
      </w:r>
      <w:proofErr w:type="spellEnd"/>
      <w:r w:rsidRPr="005B56D4">
        <w:rPr>
          <w:rFonts w:ascii="Arial" w:hAnsi="Arial" w:cs="Arial"/>
          <w:color w:val="auto"/>
          <w:sz w:val="22"/>
          <w:szCs w:val="22"/>
          <w:vertAlign w:val="superscript"/>
        </w:rPr>
        <w:t>®</w:t>
      </w:r>
      <w:r w:rsidRPr="00704A67">
        <w:rPr>
          <w:rFonts w:ascii="Arial" w:hAnsi="Arial" w:cs="Arial"/>
          <w:color w:val="auto"/>
          <w:sz w:val="22"/>
          <w:szCs w:val="22"/>
        </w:rPr>
        <w:t xml:space="preserve"> (</w:t>
      </w:r>
      <w:proofErr w:type="spellStart"/>
      <w:r w:rsidRPr="00704A67">
        <w:rPr>
          <w:rFonts w:ascii="Arial" w:hAnsi="Arial" w:cs="Arial"/>
          <w:color w:val="auto"/>
          <w:sz w:val="22"/>
          <w:szCs w:val="22"/>
        </w:rPr>
        <w:t>semaglutide</w:t>
      </w:r>
      <w:proofErr w:type="spellEnd"/>
      <w:r w:rsidRPr="00704A67">
        <w:rPr>
          <w:rFonts w:ascii="Arial" w:hAnsi="Arial" w:cs="Arial"/>
          <w:color w:val="auto"/>
          <w:sz w:val="22"/>
          <w:szCs w:val="22"/>
        </w:rPr>
        <w:t>)</w:t>
      </w:r>
    </w:p>
    <w:p w14:paraId="40FBEC61" w14:textId="77777777" w:rsidR="00704A67" w:rsidRPr="00704A67" w:rsidRDefault="00704A67" w:rsidP="0021661A">
      <w:pPr>
        <w:pStyle w:val="Default"/>
        <w:numPr>
          <w:ilvl w:val="0"/>
          <w:numId w:val="26"/>
        </w:numPr>
        <w:spacing w:line="276" w:lineRule="auto"/>
        <w:ind w:left="360"/>
        <w:rPr>
          <w:rFonts w:ascii="Arial" w:hAnsi="Arial" w:cs="Arial"/>
          <w:color w:val="auto"/>
          <w:sz w:val="22"/>
          <w:szCs w:val="22"/>
        </w:rPr>
      </w:pPr>
      <w:r w:rsidRPr="00704A67">
        <w:rPr>
          <w:rFonts w:ascii="Arial" w:hAnsi="Arial" w:cs="Arial"/>
          <w:color w:val="auto"/>
          <w:sz w:val="22"/>
          <w:szCs w:val="22"/>
        </w:rPr>
        <w:t>Mounjaro</w:t>
      </w:r>
      <w:r w:rsidRPr="005B56D4">
        <w:rPr>
          <w:rFonts w:ascii="Arial" w:hAnsi="Arial" w:cs="Arial"/>
          <w:color w:val="auto"/>
          <w:sz w:val="22"/>
          <w:szCs w:val="22"/>
          <w:vertAlign w:val="superscript"/>
        </w:rPr>
        <w:t>®</w:t>
      </w:r>
      <w:r w:rsidRPr="00704A67">
        <w:rPr>
          <w:rFonts w:ascii="Arial" w:hAnsi="Arial" w:cs="Arial"/>
          <w:color w:val="auto"/>
          <w:sz w:val="22"/>
          <w:szCs w:val="22"/>
        </w:rPr>
        <w:t xml:space="preserve"> (tirzepatide)*</w:t>
      </w:r>
    </w:p>
    <w:p w14:paraId="1BA82D77" w14:textId="77777777" w:rsidR="00704A67" w:rsidRPr="00704A67" w:rsidRDefault="00704A67" w:rsidP="0021661A">
      <w:pPr>
        <w:pStyle w:val="Default"/>
        <w:numPr>
          <w:ilvl w:val="0"/>
          <w:numId w:val="26"/>
        </w:numPr>
        <w:spacing w:line="276" w:lineRule="auto"/>
        <w:ind w:left="360"/>
        <w:rPr>
          <w:rFonts w:ascii="Arial" w:hAnsi="Arial" w:cs="Arial"/>
          <w:color w:val="auto"/>
          <w:sz w:val="22"/>
          <w:szCs w:val="22"/>
        </w:rPr>
      </w:pPr>
      <w:proofErr w:type="spellStart"/>
      <w:r w:rsidRPr="00704A67">
        <w:rPr>
          <w:rFonts w:ascii="Arial" w:hAnsi="Arial" w:cs="Arial"/>
          <w:color w:val="auto"/>
          <w:sz w:val="22"/>
          <w:szCs w:val="22"/>
        </w:rPr>
        <w:t>Zepbound</w:t>
      </w:r>
      <w:proofErr w:type="spellEnd"/>
      <w:r w:rsidRPr="005B56D4">
        <w:rPr>
          <w:rFonts w:ascii="Arial" w:hAnsi="Arial" w:cs="Arial"/>
          <w:color w:val="auto"/>
          <w:sz w:val="22"/>
          <w:szCs w:val="22"/>
          <w:vertAlign w:val="superscript"/>
        </w:rPr>
        <w:t>®</w:t>
      </w:r>
      <w:r w:rsidRPr="00704A67">
        <w:rPr>
          <w:rFonts w:ascii="Arial" w:hAnsi="Arial" w:cs="Arial"/>
          <w:color w:val="auto"/>
          <w:sz w:val="22"/>
          <w:szCs w:val="22"/>
        </w:rPr>
        <w:t xml:space="preserve"> (</w:t>
      </w:r>
      <w:proofErr w:type="spellStart"/>
      <w:r w:rsidRPr="00704A67">
        <w:rPr>
          <w:rFonts w:ascii="Arial" w:hAnsi="Arial" w:cs="Arial"/>
          <w:color w:val="auto"/>
          <w:sz w:val="22"/>
          <w:szCs w:val="22"/>
        </w:rPr>
        <w:t>tirzepatide</w:t>
      </w:r>
      <w:proofErr w:type="spellEnd"/>
      <w:r w:rsidRPr="00704A67">
        <w:rPr>
          <w:rFonts w:ascii="Arial" w:hAnsi="Arial" w:cs="Arial"/>
          <w:color w:val="auto"/>
          <w:sz w:val="22"/>
          <w:szCs w:val="22"/>
        </w:rPr>
        <w:t>)*</w:t>
      </w:r>
    </w:p>
    <w:p w14:paraId="1DE4FB1C" w14:textId="77777777" w:rsidR="00704A67" w:rsidRDefault="00704A67" w:rsidP="00704A67">
      <w:pPr>
        <w:pStyle w:val="Default"/>
        <w:spacing w:line="276" w:lineRule="auto"/>
        <w:rPr>
          <w:rFonts w:ascii="Arial" w:hAnsi="Arial" w:cs="Arial"/>
          <w:sz w:val="18"/>
          <w:szCs w:val="18"/>
        </w:rPr>
      </w:pPr>
      <w:r w:rsidRPr="00704A67">
        <w:rPr>
          <w:rFonts w:ascii="Arial" w:hAnsi="Arial" w:cs="Arial"/>
          <w:sz w:val="18"/>
          <w:szCs w:val="18"/>
        </w:rPr>
        <w:t>*Tirzepatide is a glucose-dependent insulinotropic polypeptide (GIP) receptor and glucagon-like peptide-1 (GLP-1) receptor agonist.</w:t>
      </w:r>
    </w:p>
    <w:p w14:paraId="66595693" w14:textId="77777777" w:rsidR="00C408D3" w:rsidRDefault="00C408D3" w:rsidP="00704A67">
      <w:pPr>
        <w:pStyle w:val="Default"/>
        <w:spacing w:line="276" w:lineRule="auto"/>
        <w:rPr>
          <w:rFonts w:ascii="Arial" w:hAnsi="Arial" w:cs="Arial"/>
          <w:sz w:val="18"/>
          <w:szCs w:val="18"/>
        </w:rPr>
      </w:pPr>
    </w:p>
    <w:p w14:paraId="7171D88D" w14:textId="199834CD" w:rsidR="00C408D3" w:rsidRPr="00C408D3" w:rsidRDefault="00C408D3" w:rsidP="00C408D3">
      <w:pPr>
        <w:rPr>
          <w:rFonts w:ascii="Arial" w:hAnsi="Arial"/>
        </w:rPr>
      </w:pPr>
      <w:r w:rsidRPr="00C408D3">
        <w:rPr>
          <w:rFonts w:ascii="Arial" w:hAnsi="Arial" w:cs="Arial"/>
          <w:color w:val="000000"/>
          <w:sz w:val="22"/>
          <w:szCs w:val="22"/>
        </w:rPr>
        <w:t xml:space="preserve">For more information, please see </w:t>
      </w:r>
      <w:hyperlink r:id="rId12" w:history="1">
        <w:r w:rsidRPr="00C408D3">
          <w:rPr>
            <w:rStyle w:val="Hyperlink"/>
            <w:rFonts w:ascii="Arial" w:hAnsi="Arial" w:cs="Arial"/>
            <w:sz w:val="22"/>
            <w:szCs w:val="22"/>
          </w:rPr>
          <w:t>Managed Care Entity Bulletin 109</w:t>
        </w:r>
      </w:hyperlink>
      <w:r w:rsidRPr="00C408D3">
        <w:rPr>
          <w:rFonts w:ascii="Arial" w:hAnsi="Arial"/>
        </w:rPr>
        <w:t>.</w:t>
      </w:r>
    </w:p>
    <w:p w14:paraId="5B1A8BF4" w14:textId="77777777" w:rsidR="00B503C7" w:rsidRPr="00B503C7" w:rsidRDefault="00B503C7" w:rsidP="00C408D3">
      <w:pPr>
        <w:pStyle w:val="Default"/>
        <w:spacing w:line="276" w:lineRule="auto"/>
        <w:rPr>
          <w:rFonts w:ascii="Arial" w:hAnsi="Arial" w:cs="Arial"/>
          <w:color w:val="auto"/>
          <w:sz w:val="22"/>
          <w:szCs w:val="22"/>
        </w:rPr>
      </w:pPr>
    </w:p>
    <w:p w14:paraId="5B1A8BF5" w14:textId="00338D85" w:rsidR="00CD6D68" w:rsidRPr="00140D3B" w:rsidRDefault="00B45C2D" w:rsidP="00CD6D68">
      <w:pPr>
        <w:pStyle w:val="Default"/>
        <w:tabs>
          <w:tab w:val="left" w:pos="90"/>
        </w:tabs>
        <w:spacing w:line="276" w:lineRule="auto"/>
        <w:ind w:left="360" w:hanging="360"/>
        <w:rPr>
          <w:rFonts w:ascii="Arial" w:hAnsi="Arial" w:cs="Arial"/>
          <w:color w:val="auto"/>
          <w:sz w:val="22"/>
          <w:szCs w:val="22"/>
        </w:rPr>
      </w:pPr>
      <w:r>
        <w:t>MHDL Updates</w:t>
      </w:r>
    </w:p>
    <w:p w14:paraId="3D522280" w14:textId="77777777" w:rsidR="00BF5EFB" w:rsidRDefault="00BF5EFB" w:rsidP="00BF5EFB">
      <w:pPr>
        <w:autoSpaceDE w:val="0"/>
        <w:autoSpaceDN w:val="0"/>
        <w:adjustRightInd w:val="0"/>
        <w:spacing w:line="276" w:lineRule="auto"/>
        <w:rPr>
          <w:rFonts w:ascii="Arial" w:hAnsi="Arial" w:cs="Arial"/>
          <w:color w:val="000000"/>
          <w:lang w:val="fr-FR"/>
        </w:rPr>
      </w:pPr>
      <w:proofErr w:type="spellStart"/>
      <w:r w:rsidRPr="00BF5EFB">
        <w:rPr>
          <w:rFonts w:ascii="Arial" w:hAnsi="Arial" w:cs="Arial"/>
          <w:sz w:val="22"/>
          <w:szCs w:val="22"/>
          <w:lang w:val="fr-FR"/>
        </w:rPr>
        <w:t>Below</w:t>
      </w:r>
      <w:proofErr w:type="spellEnd"/>
      <w:r w:rsidRPr="00BF5EFB">
        <w:rPr>
          <w:rFonts w:ascii="Arial" w:hAnsi="Arial" w:cs="Arial"/>
          <w:sz w:val="22"/>
          <w:szCs w:val="22"/>
          <w:lang w:val="fr-FR"/>
        </w:rPr>
        <w:t xml:space="preserve"> are certain updates to the </w:t>
      </w:r>
      <w:proofErr w:type="spellStart"/>
      <w:r w:rsidRPr="00BF5EFB">
        <w:rPr>
          <w:rFonts w:ascii="Arial" w:hAnsi="Arial" w:cs="Arial"/>
          <w:sz w:val="22"/>
          <w:szCs w:val="22"/>
          <w:lang w:val="fr-FR"/>
        </w:rPr>
        <w:t>MassHealth</w:t>
      </w:r>
      <w:proofErr w:type="spellEnd"/>
      <w:r w:rsidRPr="00BF5EFB">
        <w:rPr>
          <w:rFonts w:ascii="Arial" w:hAnsi="Arial" w:cs="Arial"/>
          <w:sz w:val="22"/>
          <w:szCs w:val="22"/>
          <w:lang w:val="fr-FR"/>
        </w:rPr>
        <w:t xml:space="preserve"> Drug List (MHDL). </w:t>
      </w:r>
      <w:proofErr w:type="spellStart"/>
      <w:r w:rsidRPr="00BF5EFB">
        <w:rPr>
          <w:rFonts w:ascii="Arial" w:hAnsi="Arial" w:cs="Arial"/>
          <w:sz w:val="22"/>
          <w:szCs w:val="22"/>
          <w:lang w:val="fr-FR"/>
        </w:rPr>
        <w:t>See</w:t>
      </w:r>
      <w:proofErr w:type="spellEnd"/>
      <w:r w:rsidRPr="00BF5EFB">
        <w:rPr>
          <w:rFonts w:ascii="Arial" w:hAnsi="Arial" w:cs="Arial"/>
          <w:sz w:val="22"/>
          <w:szCs w:val="22"/>
          <w:lang w:val="fr-FR"/>
        </w:rPr>
        <w:t xml:space="preserve"> the MHDL for a </w:t>
      </w:r>
      <w:proofErr w:type="spellStart"/>
      <w:r w:rsidRPr="00BF5EFB">
        <w:rPr>
          <w:rFonts w:ascii="Arial" w:hAnsi="Arial" w:cs="Arial"/>
          <w:sz w:val="22"/>
          <w:szCs w:val="22"/>
          <w:lang w:val="fr-FR"/>
        </w:rPr>
        <w:t>complete</w:t>
      </w:r>
      <w:proofErr w:type="spellEnd"/>
      <w:r w:rsidRPr="00BF5EFB">
        <w:rPr>
          <w:rFonts w:ascii="Arial" w:hAnsi="Arial" w:cs="Arial"/>
          <w:sz w:val="22"/>
          <w:szCs w:val="22"/>
          <w:lang w:val="fr-FR"/>
        </w:rPr>
        <w:t xml:space="preserve"> </w:t>
      </w:r>
      <w:proofErr w:type="gramStart"/>
      <w:r w:rsidRPr="00BF5EFB">
        <w:rPr>
          <w:rFonts w:ascii="Arial" w:hAnsi="Arial" w:cs="Arial"/>
          <w:sz w:val="22"/>
          <w:szCs w:val="22"/>
          <w:lang w:val="fr-FR"/>
        </w:rPr>
        <w:t>listing</w:t>
      </w:r>
      <w:proofErr w:type="gramEnd"/>
      <w:r w:rsidRPr="00BF5EFB">
        <w:rPr>
          <w:rFonts w:ascii="Arial" w:hAnsi="Arial" w:cs="Arial"/>
          <w:sz w:val="22"/>
          <w:szCs w:val="22"/>
          <w:lang w:val="fr-FR"/>
        </w:rPr>
        <w:t xml:space="preserve"> of updates. </w:t>
      </w:r>
      <w:r w:rsidR="00AD33D5" w:rsidRPr="00BE1214">
        <w:rPr>
          <w:rFonts w:ascii="Arial" w:hAnsi="Arial" w:cs="Arial"/>
          <w:color w:val="000000"/>
          <w:lang w:val="fr-FR"/>
        </w:rPr>
        <w:t xml:space="preserve"> </w:t>
      </w:r>
    </w:p>
    <w:p w14:paraId="5B1A8C07" w14:textId="192D4FAC" w:rsidR="00905C46" w:rsidRPr="00905C46" w:rsidRDefault="00D14BF1" w:rsidP="00905C46">
      <w:pPr>
        <w:pStyle w:val="Subtitle"/>
        <w:spacing w:line="240" w:lineRule="auto"/>
        <w:rPr>
          <w:rFonts w:cs="Arial"/>
          <w:b/>
          <w:sz w:val="24"/>
          <w:szCs w:val="24"/>
        </w:rPr>
      </w:pPr>
      <w:r>
        <w:rPr>
          <w:rFonts w:cs="Arial"/>
          <w:b/>
          <w:sz w:val="24"/>
          <w:szCs w:val="24"/>
        </w:rPr>
        <w:t>Additions</w:t>
      </w:r>
    </w:p>
    <w:p w14:paraId="55F64633" w14:textId="77777777" w:rsidR="0012267D" w:rsidRPr="00C01B9B" w:rsidRDefault="0012267D" w:rsidP="0012267D">
      <w:pPr>
        <w:pStyle w:val="Default"/>
        <w:numPr>
          <w:ilvl w:val="0"/>
          <w:numId w:val="19"/>
        </w:numPr>
        <w:rPr>
          <w:rFonts w:ascii="Arial" w:hAnsi="Arial" w:cs="Arial"/>
          <w:color w:val="auto"/>
          <w:sz w:val="22"/>
          <w:szCs w:val="22"/>
        </w:rPr>
      </w:pPr>
      <w:r>
        <w:rPr>
          <w:rFonts w:ascii="Arial" w:hAnsi="Arial" w:cs="Arial"/>
          <w:color w:val="auto"/>
          <w:sz w:val="22"/>
          <w:szCs w:val="22"/>
        </w:rPr>
        <w:t>Effective March 4, 2024, the</w:t>
      </w:r>
      <w:r>
        <w:rPr>
          <w:rFonts w:ascii="Arial" w:hAnsi="Arial" w:cs="Arial"/>
          <w:color w:val="auto"/>
          <w:sz w:val="22"/>
          <w:szCs w:val="21"/>
        </w:rPr>
        <w:t xml:space="preserve"> following newly marketed drugs have been added to the </w:t>
      </w:r>
      <w:r w:rsidRPr="00C01B9B">
        <w:rPr>
          <w:rFonts w:ascii="Arial" w:hAnsi="Arial" w:cs="Arial"/>
          <w:color w:val="auto"/>
          <w:sz w:val="22"/>
          <w:szCs w:val="22"/>
        </w:rPr>
        <w:t xml:space="preserve">MassHealth Drug List. </w:t>
      </w:r>
    </w:p>
    <w:p w14:paraId="780AD488"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r w:rsidRPr="00C01B9B">
        <w:rPr>
          <w:rFonts w:ascii="Arial" w:hAnsi="Arial" w:cs="Arial"/>
          <w:color w:val="auto"/>
          <w:sz w:val="22"/>
          <w:szCs w:val="22"/>
        </w:rPr>
        <w:t>Abrilada (adalimumab-</w:t>
      </w:r>
      <w:proofErr w:type="spellStart"/>
      <w:r w:rsidRPr="00C01B9B">
        <w:rPr>
          <w:rFonts w:ascii="Arial" w:hAnsi="Arial" w:cs="Arial"/>
          <w:color w:val="auto"/>
          <w:sz w:val="22"/>
          <w:szCs w:val="22"/>
        </w:rPr>
        <w:t>afzb</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5288647C"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r w:rsidRPr="00C01B9B">
        <w:rPr>
          <w:rFonts w:ascii="Arial" w:hAnsi="Arial" w:cs="Arial"/>
          <w:color w:val="auto"/>
          <w:sz w:val="22"/>
          <w:szCs w:val="22"/>
        </w:rPr>
        <w:t>adalimumab-</w:t>
      </w:r>
      <w:proofErr w:type="spellStart"/>
      <w:r w:rsidRPr="00C01B9B">
        <w:rPr>
          <w:rFonts w:ascii="Arial" w:hAnsi="Arial" w:cs="Arial"/>
          <w:color w:val="auto"/>
          <w:sz w:val="22"/>
          <w:szCs w:val="22"/>
        </w:rPr>
        <w:t>aacf</w:t>
      </w:r>
      <w:proofErr w:type="spellEnd"/>
      <w:r w:rsidRPr="00C01B9B">
        <w:rPr>
          <w:rFonts w:ascii="Arial" w:hAnsi="Arial" w:cs="Arial"/>
          <w:color w:val="auto"/>
          <w:sz w:val="22"/>
          <w:szCs w:val="22"/>
        </w:rPr>
        <w:t xml:space="preserve">, unbranded – </w:t>
      </w:r>
      <w:r w:rsidRPr="00C01B9B">
        <w:rPr>
          <w:rFonts w:ascii="Arial" w:hAnsi="Arial" w:cs="Arial"/>
          <w:b/>
          <w:bCs/>
          <w:color w:val="auto"/>
          <w:sz w:val="22"/>
          <w:szCs w:val="22"/>
        </w:rPr>
        <w:t>PA</w:t>
      </w:r>
    </w:p>
    <w:p w14:paraId="5583C548"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r w:rsidRPr="00C01B9B">
        <w:rPr>
          <w:rFonts w:ascii="Arial" w:hAnsi="Arial" w:cs="Arial"/>
          <w:color w:val="auto"/>
          <w:sz w:val="22"/>
          <w:szCs w:val="22"/>
        </w:rPr>
        <w:t>adalimumab-</w:t>
      </w:r>
      <w:proofErr w:type="spellStart"/>
      <w:r w:rsidRPr="00C01B9B">
        <w:rPr>
          <w:rFonts w:ascii="Arial" w:hAnsi="Arial" w:cs="Arial"/>
          <w:color w:val="auto"/>
          <w:sz w:val="22"/>
          <w:szCs w:val="22"/>
        </w:rPr>
        <w:t>adaz</w:t>
      </w:r>
      <w:proofErr w:type="spellEnd"/>
      <w:r w:rsidRPr="00C01B9B">
        <w:rPr>
          <w:rFonts w:ascii="Arial" w:hAnsi="Arial" w:cs="Arial"/>
          <w:color w:val="auto"/>
          <w:sz w:val="22"/>
          <w:szCs w:val="22"/>
        </w:rPr>
        <w:t xml:space="preserve">, unbranded – </w:t>
      </w:r>
      <w:r w:rsidRPr="00C01B9B">
        <w:rPr>
          <w:rFonts w:ascii="Arial" w:hAnsi="Arial" w:cs="Arial"/>
          <w:b/>
          <w:bCs/>
          <w:color w:val="auto"/>
          <w:sz w:val="22"/>
          <w:szCs w:val="22"/>
        </w:rPr>
        <w:t>PA</w:t>
      </w:r>
    </w:p>
    <w:p w14:paraId="3B344C00"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r w:rsidRPr="00C01B9B">
        <w:rPr>
          <w:rFonts w:ascii="Arial" w:hAnsi="Arial" w:cs="Arial"/>
          <w:color w:val="auto"/>
          <w:sz w:val="22"/>
          <w:szCs w:val="22"/>
        </w:rPr>
        <w:t>adalimumab-</w:t>
      </w:r>
      <w:proofErr w:type="spellStart"/>
      <w:r w:rsidRPr="00C01B9B">
        <w:rPr>
          <w:rFonts w:ascii="Arial" w:hAnsi="Arial" w:cs="Arial"/>
          <w:color w:val="auto"/>
          <w:sz w:val="22"/>
          <w:szCs w:val="22"/>
        </w:rPr>
        <w:t>adbm</w:t>
      </w:r>
      <w:proofErr w:type="spellEnd"/>
      <w:r w:rsidRPr="00C01B9B">
        <w:rPr>
          <w:rFonts w:ascii="Arial" w:hAnsi="Arial" w:cs="Arial"/>
          <w:color w:val="auto"/>
          <w:sz w:val="22"/>
          <w:szCs w:val="22"/>
        </w:rPr>
        <w:t xml:space="preserve">, unbranded – </w:t>
      </w:r>
      <w:r w:rsidRPr="00C01B9B">
        <w:rPr>
          <w:rFonts w:ascii="Arial" w:hAnsi="Arial" w:cs="Arial"/>
          <w:b/>
          <w:bCs/>
          <w:color w:val="auto"/>
          <w:sz w:val="22"/>
          <w:szCs w:val="22"/>
        </w:rPr>
        <w:t>PA</w:t>
      </w:r>
    </w:p>
    <w:p w14:paraId="6054649B"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r w:rsidRPr="00C01B9B">
        <w:rPr>
          <w:rFonts w:ascii="Arial" w:hAnsi="Arial" w:cs="Arial"/>
          <w:color w:val="auto"/>
          <w:sz w:val="22"/>
          <w:szCs w:val="22"/>
        </w:rPr>
        <w:t>adalimumab-</w:t>
      </w:r>
      <w:proofErr w:type="spellStart"/>
      <w:r w:rsidRPr="00C01B9B">
        <w:rPr>
          <w:rFonts w:ascii="Arial" w:hAnsi="Arial" w:cs="Arial"/>
          <w:color w:val="auto"/>
          <w:sz w:val="22"/>
          <w:szCs w:val="22"/>
        </w:rPr>
        <w:t>fkjp</w:t>
      </w:r>
      <w:proofErr w:type="spellEnd"/>
      <w:r w:rsidRPr="00C01B9B">
        <w:rPr>
          <w:rFonts w:ascii="Arial" w:hAnsi="Arial" w:cs="Arial"/>
          <w:color w:val="auto"/>
          <w:sz w:val="22"/>
          <w:szCs w:val="22"/>
        </w:rPr>
        <w:t xml:space="preserve">, unbranded – </w:t>
      </w:r>
      <w:r w:rsidRPr="00C01B9B">
        <w:rPr>
          <w:rFonts w:ascii="Arial" w:hAnsi="Arial" w:cs="Arial"/>
          <w:b/>
          <w:bCs/>
          <w:color w:val="auto"/>
          <w:sz w:val="22"/>
          <w:szCs w:val="22"/>
        </w:rPr>
        <w:t>PA</w:t>
      </w:r>
    </w:p>
    <w:p w14:paraId="20A46886"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Airsupra</w:t>
      </w:r>
      <w:proofErr w:type="spellEnd"/>
      <w:r w:rsidRPr="00C01B9B">
        <w:rPr>
          <w:rFonts w:ascii="Arial" w:hAnsi="Arial" w:cs="Arial"/>
          <w:color w:val="auto"/>
          <w:sz w:val="22"/>
          <w:szCs w:val="22"/>
        </w:rPr>
        <w:t xml:space="preserve"> (albuterol/budesonide) – </w:t>
      </w:r>
      <w:r w:rsidRPr="00C01B9B">
        <w:rPr>
          <w:rFonts w:ascii="Arial" w:hAnsi="Arial" w:cs="Arial"/>
          <w:b/>
          <w:bCs/>
          <w:color w:val="auto"/>
          <w:sz w:val="22"/>
          <w:szCs w:val="22"/>
        </w:rPr>
        <w:t>PA</w:t>
      </w:r>
      <w:r w:rsidRPr="00C01B9B">
        <w:rPr>
          <w:rFonts w:ascii="Arial" w:hAnsi="Arial" w:cs="Arial"/>
          <w:color w:val="auto"/>
          <w:sz w:val="22"/>
          <w:szCs w:val="22"/>
        </w:rPr>
        <w:t xml:space="preserve"> </w:t>
      </w:r>
    </w:p>
    <w:p w14:paraId="5E4AAAD4"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Akeega</w:t>
      </w:r>
      <w:proofErr w:type="spellEnd"/>
      <w:r w:rsidRPr="00C01B9B">
        <w:rPr>
          <w:rFonts w:ascii="Arial" w:hAnsi="Arial" w:cs="Arial"/>
          <w:color w:val="auto"/>
          <w:sz w:val="22"/>
          <w:szCs w:val="22"/>
        </w:rPr>
        <w:t xml:space="preserve"> (niraparib/abiraterone) – </w:t>
      </w:r>
      <w:r w:rsidRPr="00C01B9B">
        <w:rPr>
          <w:rFonts w:ascii="Arial" w:hAnsi="Arial" w:cs="Arial"/>
          <w:b/>
          <w:bCs/>
          <w:color w:val="auto"/>
          <w:sz w:val="22"/>
          <w:szCs w:val="22"/>
        </w:rPr>
        <w:t>PA</w:t>
      </w:r>
    </w:p>
    <w:p w14:paraId="71887229"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Amjevita</w:t>
      </w:r>
      <w:proofErr w:type="spellEnd"/>
      <w:r w:rsidRPr="00C01B9B">
        <w:rPr>
          <w:rFonts w:ascii="Arial" w:hAnsi="Arial" w:cs="Arial"/>
          <w:color w:val="auto"/>
          <w:sz w:val="22"/>
          <w:szCs w:val="22"/>
        </w:rPr>
        <w:t xml:space="preserve"> (adalimumab-</w:t>
      </w:r>
      <w:proofErr w:type="spellStart"/>
      <w:r w:rsidRPr="00C01B9B">
        <w:rPr>
          <w:rFonts w:ascii="Arial" w:hAnsi="Arial" w:cs="Arial"/>
          <w:color w:val="auto"/>
          <w:sz w:val="22"/>
          <w:szCs w:val="22"/>
        </w:rPr>
        <w:t>atto</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1A90855C" w14:textId="77777777" w:rsidR="002E3C7E" w:rsidRPr="00C01B9B" w:rsidRDefault="002E3C7E" w:rsidP="002E3C7E">
      <w:pPr>
        <w:pStyle w:val="Default"/>
        <w:numPr>
          <w:ilvl w:val="0"/>
          <w:numId w:val="28"/>
        </w:numPr>
        <w:spacing w:line="276" w:lineRule="auto"/>
        <w:ind w:left="1080"/>
        <w:rPr>
          <w:rFonts w:ascii="Arial" w:hAnsi="Arial" w:cs="Arial"/>
          <w:sz w:val="22"/>
          <w:szCs w:val="22"/>
        </w:rPr>
      </w:pPr>
      <w:proofErr w:type="spellStart"/>
      <w:r w:rsidRPr="00C01B9B">
        <w:rPr>
          <w:rFonts w:ascii="Arial" w:hAnsi="Arial" w:cs="Arial"/>
          <w:sz w:val="22"/>
          <w:szCs w:val="22"/>
        </w:rPr>
        <w:t>Austedo</w:t>
      </w:r>
      <w:proofErr w:type="spellEnd"/>
      <w:r w:rsidRPr="00C01B9B">
        <w:rPr>
          <w:rFonts w:ascii="Arial" w:hAnsi="Arial" w:cs="Arial"/>
          <w:sz w:val="22"/>
          <w:szCs w:val="22"/>
        </w:rPr>
        <w:t xml:space="preserve"> XR (</w:t>
      </w:r>
      <w:proofErr w:type="spellStart"/>
      <w:r w:rsidRPr="00C01B9B">
        <w:rPr>
          <w:rFonts w:ascii="Arial" w:hAnsi="Arial" w:cs="Arial"/>
          <w:sz w:val="22"/>
          <w:szCs w:val="22"/>
        </w:rPr>
        <w:t>deutetrabenazine</w:t>
      </w:r>
      <w:proofErr w:type="spellEnd"/>
      <w:r w:rsidRPr="00C01B9B">
        <w:rPr>
          <w:rFonts w:ascii="Arial" w:hAnsi="Arial" w:cs="Arial"/>
          <w:sz w:val="22"/>
          <w:szCs w:val="22"/>
        </w:rPr>
        <w:t xml:space="preserve"> extended-release) – </w:t>
      </w:r>
      <w:proofErr w:type="gramStart"/>
      <w:r w:rsidRPr="00C01B9B">
        <w:rPr>
          <w:rFonts w:ascii="Arial" w:hAnsi="Arial" w:cs="Arial"/>
          <w:b/>
          <w:bCs/>
          <w:sz w:val="22"/>
          <w:szCs w:val="22"/>
        </w:rPr>
        <w:t>PA</w:t>
      </w:r>
      <w:proofErr w:type="gramEnd"/>
    </w:p>
    <w:p w14:paraId="3558D4A4"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Columvi</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glofitamab-gxbm</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MB</w:t>
      </w:r>
    </w:p>
    <w:p w14:paraId="2BE27697"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Cyltezo</w:t>
      </w:r>
      <w:proofErr w:type="spellEnd"/>
      <w:r w:rsidRPr="00C01B9B">
        <w:rPr>
          <w:rFonts w:ascii="Arial" w:hAnsi="Arial" w:cs="Arial"/>
          <w:color w:val="auto"/>
          <w:sz w:val="22"/>
          <w:szCs w:val="22"/>
        </w:rPr>
        <w:t xml:space="preserve"> (adalimumab-</w:t>
      </w:r>
      <w:proofErr w:type="spellStart"/>
      <w:r w:rsidRPr="00C01B9B">
        <w:rPr>
          <w:rFonts w:ascii="Arial" w:hAnsi="Arial" w:cs="Arial"/>
          <w:color w:val="auto"/>
          <w:sz w:val="22"/>
          <w:szCs w:val="22"/>
        </w:rPr>
        <w:t>adbm</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29EC3E9F"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Elevidys</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delandistrogene</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moxeparvovec-rokl</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CO, MB</w:t>
      </w:r>
    </w:p>
    <w:p w14:paraId="672B2357"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Epkinly</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epcoritamab-bysp</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MB</w:t>
      </w:r>
    </w:p>
    <w:p w14:paraId="7CF7A8AD"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Filspari</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sparsentan</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440F0084"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Hadlima</w:t>
      </w:r>
      <w:proofErr w:type="spellEnd"/>
      <w:r w:rsidRPr="00C01B9B">
        <w:rPr>
          <w:rFonts w:ascii="Arial" w:hAnsi="Arial" w:cs="Arial"/>
          <w:color w:val="auto"/>
          <w:sz w:val="22"/>
          <w:szCs w:val="22"/>
        </w:rPr>
        <w:t xml:space="preserve"> (adalimumab-</w:t>
      </w:r>
      <w:proofErr w:type="spellStart"/>
      <w:r w:rsidRPr="00C01B9B">
        <w:rPr>
          <w:rFonts w:ascii="Arial" w:hAnsi="Arial" w:cs="Arial"/>
          <w:color w:val="auto"/>
          <w:sz w:val="22"/>
          <w:szCs w:val="22"/>
        </w:rPr>
        <w:t>bwwd</w:t>
      </w:r>
      <w:proofErr w:type="spellEnd"/>
      <w:r w:rsidRPr="00C01B9B">
        <w:rPr>
          <w:rFonts w:ascii="Arial" w:hAnsi="Arial" w:cs="Arial"/>
          <w:color w:val="auto"/>
          <w:sz w:val="22"/>
          <w:szCs w:val="22"/>
        </w:rPr>
        <w:t>) –</w:t>
      </w:r>
      <w:r w:rsidRPr="00C01B9B">
        <w:rPr>
          <w:rFonts w:ascii="Arial" w:hAnsi="Arial" w:cs="Arial"/>
          <w:b/>
          <w:bCs/>
          <w:color w:val="auto"/>
          <w:sz w:val="22"/>
          <w:szCs w:val="22"/>
        </w:rPr>
        <w:t xml:space="preserve"> PA</w:t>
      </w:r>
    </w:p>
    <w:p w14:paraId="0E93919C"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r w:rsidRPr="00C01B9B">
        <w:rPr>
          <w:rFonts w:ascii="Arial" w:hAnsi="Arial" w:cs="Arial"/>
          <w:color w:val="auto"/>
          <w:sz w:val="22"/>
          <w:szCs w:val="22"/>
        </w:rPr>
        <w:t>Hulio (adalimumab-</w:t>
      </w:r>
      <w:proofErr w:type="spellStart"/>
      <w:r w:rsidRPr="00C01B9B">
        <w:rPr>
          <w:rFonts w:ascii="Arial" w:hAnsi="Arial" w:cs="Arial"/>
          <w:color w:val="auto"/>
          <w:sz w:val="22"/>
          <w:szCs w:val="22"/>
        </w:rPr>
        <w:t>fkjp</w:t>
      </w:r>
      <w:proofErr w:type="spellEnd"/>
      <w:r w:rsidRPr="00C01B9B">
        <w:rPr>
          <w:rFonts w:ascii="Arial" w:hAnsi="Arial" w:cs="Arial"/>
          <w:color w:val="auto"/>
          <w:sz w:val="22"/>
          <w:szCs w:val="22"/>
        </w:rPr>
        <w:t>) –</w:t>
      </w:r>
      <w:r w:rsidRPr="00C01B9B">
        <w:rPr>
          <w:rFonts w:ascii="Arial" w:hAnsi="Arial" w:cs="Arial"/>
          <w:b/>
          <w:bCs/>
          <w:color w:val="auto"/>
          <w:sz w:val="22"/>
          <w:szCs w:val="22"/>
        </w:rPr>
        <w:t xml:space="preserve"> PA</w:t>
      </w:r>
    </w:p>
    <w:p w14:paraId="4E45D65A"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Hyrimoz</w:t>
      </w:r>
      <w:proofErr w:type="spellEnd"/>
      <w:r w:rsidRPr="00C01B9B">
        <w:rPr>
          <w:rFonts w:ascii="Arial" w:hAnsi="Arial" w:cs="Arial"/>
          <w:color w:val="auto"/>
          <w:sz w:val="22"/>
          <w:szCs w:val="22"/>
        </w:rPr>
        <w:t xml:space="preserve"> (adalimumab-</w:t>
      </w:r>
      <w:proofErr w:type="spellStart"/>
      <w:r w:rsidRPr="00C01B9B">
        <w:rPr>
          <w:rFonts w:ascii="Arial" w:hAnsi="Arial" w:cs="Arial"/>
          <w:color w:val="auto"/>
          <w:sz w:val="22"/>
          <w:szCs w:val="22"/>
        </w:rPr>
        <w:t>adaz</w:t>
      </w:r>
      <w:proofErr w:type="spellEnd"/>
      <w:r w:rsidRPr="00C01B9B">
        <w:rPr>
          <w:rFonts w:ascii="Arial" w:hAnsi="Arial" w:cs="Arial"/>
          <w:color w:val="auto"/>
          <w:sz w:val="22"/>
          <w:szCs w:val="22"/>
        </w:rPr>
        <w:t>) –</w:t>
      </w:r>
      <w:r w:rsidRPr="00C01B9B">
        <w:rPr>
          <w:rFonts w:ascii="Arial" w:hAnsi="Arial" w:cs="Arial"/>
          <w:b/>
          <w:bCs/>
          <w:color w:val="auto"/>
          <w:sz w:val="22"/>
          <w:szCs w:val="22"/>
        </w:rPr>
        <w:t xml:space="preserve"> PA</w:t>
      </w:r>
    </w:p>
    <w:p w14:paraId="683D1BE0"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Idacio</w:t>
      </w:r>
      <w:proofErr w:type="spellEnd"/>
      <w:r w:rsidRPr="00C01B9B">
        <w:rPr>
          <w:rFonts w:ascii="Arial" w:hAnsi="Arial" w:cs="Arial"/>
          <w:color w:val="auto"/>
          <w:sz w:val="22"/>
          <w:szCs w:val="22"/>
        </w:rPr>
        <w:t xml:space="preserve"> (adalimumab-</w:t>
      </w:r>
      <w:proofErr w:type="spellStart"/>
      <w:r w:rsidRPr="00C01B9B">
        <w:rPr>
          <w:rFonts w:ascii="Arial" w:hAnsi="Arial" w:cs="Arial"/>
          <w:color w:val="auto"/>
          <w:sz w:val="22"/>
          <w:szCs w:val="22"/>
        </w:rPr>
        <w:t>aacf</w:t>
      </w:r>
      <w:proofErr w:type="spellEnd"/>
      <w:r w:rsidRPr="00C01B9B">
        <w:rPr>
          <w:rFonts w:ascii="Arial" w:hAnsi="Arial" w:cs="Arial"/>
          <w:color w:val="auto"/>
          <w:sz w:val="22"/>
          <w:szCs w:val="22"/>
        </w:rPr>
        <w:t>) –</w:t>
      </w:r>
      <w:r w:rsidRPr="00C01B9B">
        <w:rPr>
          <w:rFonts w:ascii="Arial" w:hAnsi="Arial" w:cs="Arial"/>
          <w:b/>
          <w:bCs/>
          <w:color w:val="auto"/>
          <w:sz w:val="22"/>
          <w:szCs w:val="22"/>
        </w:rPr>
        <w:t xml:space="preserve"> PA</w:t>
      </w:r>
    </w:p>
    <w:p w14:paraId="0B6350C5"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Iheezo</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chloroprocaine</w:t>
      </w:r>
      <w:proofErr w:type="spellEnd"/>
      <w:r w:rsidRPr="00C01B9B">
        <w:rPr>
          <w:rFonts w:ascii="Arial" w:hAnsi="Arial" w:cs="Arial"/>
          <w:color w:val="auto"/>
          <w:sz w:val="22"/>
          <w:szCs w:val="22"/>
        </w:rPr>
        <w:t xml:space="preserve"> ophthalmic gel) – </w:t>
      </w:r>
      <w:r w:rsidRPr="00C01B9B">
        <w:rPr>
          <w:rFonts w:ascii="Arial" w:hAnsi="Arial" w:cs="Arial"/>
          <w:b/>
          <w:bCs/>
          <w:color w:val="auto"/>
          <w:sz w:val="22"/>
          <w:szCs w:val="22"/>
        </w:rPr>
        <w:t>PA</w:t>
      </w:r>
      <w:r w:rsidRPr="00C01B9B">
        <w:rPr>
          <w:rFonts w:ascii="Arial" w:hAnsi="Arial" w:cs="Arial"/>
          <w:color w:val="auto"/>
          <w:sz w:val="22"/>
          <w:szCs w:val="22"/>
        </w:rPr>
        <w:t xml:space="preserve"> </w:t>
      </w:r>
    </w:p>
    <w:p w14:paraId="7C1E5AB9"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Inpefa</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sotagliflozin</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xml:space="preserve"> </w:t>
      </w:r>
    </w:p>
    <w:p w14:paraId="338B5E26"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Iyuzeh</w:t>
      </w:r>
      <w:proofErr w:type="spellEnd"/>
      <w:r w:rsidRPr="00C01B9B">
        <w:rPr>
          <w:rFonts w:ascii="Arial" w:hAnsi="Arial" w:cs="Arial"/>
          <w:color w:val="auto"/>
          <w:sz w:val="22"/>
          <w:szCs w:val="22"/>
        </w:rPr>
        <w:t xml:space="preserve"> (latanoprost solution) –</w:t>
      </w:r>
      <w:r w:rsidRPr="00C01B9B">
        <w:rPr>
          <w:rFonts w:ascii="Arial" w:hAnsi="Arial" w:cs="Arial"/>
          <w:b/>
          <w:bCs/>
          <w:color w:val="auto"/>
          <w:sz w:val="22"/>
          <w:szCs w:val="22"/>
        </w:rPr>
        <w:t xml:space="preserve"> PA</w:t>
      </w:r>
      <w:r w:rsidRPr="00C01B9B">
        <w:rPr>
          <w:rFonts w:ascii="Arial" w:hAnsi="Arial" w:cs="Arial"/>
          <w:color w:val="auto"/>
          <w:sz w:val="22"/>
          <w:szCs w:val="22"/>
        </w:rPr>
        <w:t xml:space="preserve"> </w:t>
      </w:r>
    </w:p>
    <w:p w14:paraId="04A7A3DC"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Litfulo</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ritlecitinib</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2E45F069"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Liqrev</w:t>
      </w:r>
      <w:proofErr w:type="spellEnd"/>
      <w:r w:rsidRPr="00C01B9B">
        <w:rPr>
          <w:rFonts w:ascii="Arial" w:hAnsi="Arial" w:cs="Arial"/>
          <w:color w:val="auto"/>
          <w:sz w:val="22"/>
          <w:szCs w:val="22"/>
        </w:rPr>
        <w:t xml:space="preserve"> (sildenafil oral suspension) – </w:t>
      </w:r>
      <w:r w:rsidRPr="00C01B9B">
        <w:rPr>
          <w:rFonts w:ascii="Arial" w:hAnsi="Arial" w:cs="Arial"/>
          <w:b/>
          <w:bCs/>
          <w:color w:val="auto"/>
          <w:sz w:val="22"/>
          <w:szCs w:val="22"/>
        </w:rPr>
        <w:t>PA</w:t>
      </w:r>
      <w:r w:rsidRPr="00C01B9B">
        <w:rPr>
          <w:rFonts w:ascii="Arial" w:hAnsi="Arial" w:cs="Arial"/>
          <w:color w:val="auto"/>
          <w:sz w:val="22"/>
          <w:szCs w:val="22"/>
        </w:rPr>
        <w:t xml:space="preserve"> </w:t>
      </w:r>
    </w:p>
    <w:p w14:paraId="4C24BC8B"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Miebo</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perfluorohexyloctane</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xml:space="preserve"> </w:t>
      </w:r>
    </w:p>
    <w:p w14:paraId="3861F684"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Ngenla</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somatrogon-ghla</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xml:space="preserve"> </w:t>
      </w:r>
    </w:p>
    <w:p w14:paraId="213AED83"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Opvee</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nalmefene</w:t>
      </w:r>
      <w:proofErr w:type="spellEnd"/>
      <w:r w:rsidRPr="00C01B9B">
        <w:rPr>
          <w:rFonts w:ascii="Arial" w:hAnsi="Arial" w:cs="Arial"/>
          <w:color w:val="auto"/>
          <w:sz w:val="22"/>
          <w:szCs w:val="22"/>
        </w:rPr>
        <w:t xml:space="preserve"> nasal spray) – </w:t>
      </w:r>
      <w:r w:rsidRPr="00C01B9B">
        <w:rPr>
          <w:rFonts w:ascii="Arial" w:hAnsi="Arial" w:cs="Arial"/>
          <w:b/>
          <w:bCs/>
          <w:color w:val="auto"/>
          <w:sz w:val="22"/>
          <w:szCs w:val="22"/>
        </w:rPr>
        <w:t>PA</w:t>
      </w:r>
    </w:p>
    <w:p w14:paraId="6CB67FF9"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Qalsody</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tofersen</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MB</w:t>
      </w:r>
    </w:p>
    <w:p w14:paraId="305854F1"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Rezzayo</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rezafungin</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47BF612A"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Rykindo</w:t>
      </w:r>
      <w:proofErr w:type="spellEnd"/>
      <w:r w:rsidRPr="00C01B9B">
        <w:rPr>
          <w:rFonts w:ascii="Arial" w:hAnsi="Arial" w:cs="Arial"/>
          <w:color w:val="auto"/>
          <w:sz w:val="22"/>
          <w:szCs w:val="22"/>
        </w:rPr>
        <w:t xml:space="preserve"> (risperidone 25 mg, 37.5 mg, 50 mg extended-release intramuscular injection) – </w:t>
      </w:r>
      <w:proofErr w:type="gramStart"/>
      <w:r w:rsidRPr="00C01B9B">
        <w:rPr>
          <w:rFonts w:ascii="Arial" w:hAnsi="Arial" w:cs="Arial"/>
          <w:b/>
          <w:bCs/>
          <w:color w:val="auto"/>
          <w:sz w:val="22"/>
          <w:szCs w:val="22"/>
        </w:rPr>
        <w:t>PA</w:t>
      </w:r>
      <w:proofErr w:type="gramEnd"/>
    </w:p>
    <w:p w14:paraId="13FF6A44" w14:textId="656A7793"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Rystiggo</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rozanolixizumab-noli</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MB</w:t>
      </w:r>
    </w:p>
    <w:p w14:paraId="489C7CA8"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lastRenderedPageBreak/>
        <w:t>Sezaby</w:t>
      </w:r>
      <w:proofErr w:type="spellEnd"/>
      <w:r w:rsidRPr="00C01B9B">
        <w:rPr>
          <w:rFonts w:ascii="Arial" w:hAnsi="Arial" w:cs="Arial"/>
          <w:color w:val="auto"/>
          <w:sz w:val="22"/>
          <w:szCs w:val="22"/>
        </w:rPr>
        <w:t xml:space="preserve"> (phenobarbital 100 mg vial); MB</w:t>
      </w:r>
    </w:p>
    <w:p w14:paraId="36671D96"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Veozah</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fezolinetant</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2CE6D431"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Vyjuvek</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beremagene</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geperpavec-svdt</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 xml:space="preserve">PA; </w:t>
      </w:r>
      <w:r w:rsidRPr="00C01B9B">
        <w:rPr>
          <w:rFonts w:ascii="Arial" w:hAnsi="Arial" w:cs="Arial"/>
          <w:color w:val="auto"/>
          <w:sz w:val="22"/>
          <w:szCs w:val="22"/>
        </w:rPr>
        <w:t>MB</w:t>
      </w:r>
    </w:p>
    <w:p w14:paraId="2E672754"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r w:rsidRPr="00C01B9B">
        <w:rPr>
          <w:rFonts w:ascii="Arial" w:hAnsi="Arial" w:cs="Arial"/>
          <w:color w:val="auto"/>
          <w:sz w:val="22"/>
          <w:szCs w:val="22"/>
        </w:rPr>
        <w:t xml:space="preserve">Vyvgart </w:t>
      </w:r>
      <w:proofErr w:type="spellStart"/>
      <w:r w:rsidRPr="00C01B9B">
        <w:rPr>
          <w:rFonts w:ascii="Arial" w:hAnsi="Arial" w:cs="Arial"/>
          <w:color w:val="auto"/>
          <w:sz w:val="22"/>
          <w:szCs w:val="22"/>
        </w:rPr>
        <w:t>Hytrulo</w:t>
      </w:r>
      <w:proofErr w:type="spellEnd"/>
      <w:r w:rsidRPr="00C01B9B">
        <w:rPr>
          <w:rFonts w:ascii="Arial" w:hAnsi="Arial" w:cs="Arial"/>
          <w:color w:val="auto"/>
          <w:sz w:val="22"/>
          <w:szCs w:val="22"/>
        </w:rPr>
        <w:t xml:space="preserve"> (efgartigimod alfa and hyaluronidase-</w:t>
      </w:r>
      <w:proofErr w:type="spellStart"/>
      <w:r w:rsidRPr="00C01B9B">
        <w:rPr>
          <w:rFonts w:ascii="Arial" w:hAnsi="Arial" w:cs="Arial"/>
          <w:color w:val="auto"/>
          <w:sz w:val="22"/>
          <w:szCs w:val="22"/>
        </w:rPr>
        <w:t>qvfc</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MB</w:t>
      </w:r>
    </w:p>
    <w:p w14:paraId="465C9EF3"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Ycanth</w:t>
      </w:r>
      <w:proofErr w:type="spellEnd"/>
      <w:r w:rsidRPr="00C01B9B">
        <w:rPr>
          <w:rFonts w:ascii="Arial" w:hAnsi="Arial" w:cs="Arial"/>
          <w:color w:val="auto"/>
          <w:sz w:val="22"/>
          <w:szCs w:val="22"/>
        </w:rPr>
        <w:t xml:space="preserve"> (cantharidin) – </w:t>
      </w:r>
      <w:r w:rsidRPr="00C01B9B">
        <w:rPr>
          <w:rFonts w:ascii="Arial" w:hAnsi="Arial" w:cs="Arial"/>
          <w:b/>
          <w:bCs/>
          <w:color w:val="auto"/>
          <w:sz w:val="22"/>
          <w:szCs w:val="22"/>
        </w:rPr>
        <w:t>PA</w:t>
      </w:r>
      <w:r w:rsidRPr="00C01B9B">
        <w:rPr>
          <w:rFonts w:ascii="Arial" w:hAnsi="Arial" w:cs="Arial"/>
          <w:color w:val="auto"/>
          <w:sz w:val="22"/>
          <w:szCs w:val="22"/>
        </w:rPr>
        <w:t>; MB</w:t>
      </w:r>
    </w:p>
    <w:p w14:paraId="6A4ABD85"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Yuflyma</w:t>
      </w:r>
      <w:proofErr w:type="spellEnd"/>
      <w:r w:rsidRPr="00C01B9B">
        <w:rPr>
          <w:rFonts w:ascii="Arial" w:hAnsi="Arial" w:cs="Arial"/>
          <w:color w:val="auto"/>
          <w:sz w:val="22"/>
          <w:szCs w:val="22"/>
        </w:rPr>
        <w:t xml:space="preserve"> (adalimumab-</w:t>
      </w:r>
      <w:proofErr w:type="spellStart"/>
      <w:r w:rsidRPr="00C01B9B">
        <w:rPr>
          <w:rFonts w:ascii="Arial" w:hAnsi="Arial" w:cs="Arial"/>
          <w:color w:val="auto"/>
          <w:sz w:val="22"/>
          <w:szCs w:val="22"/>
        </w:rPr>
        <w:t>aaty</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50559113"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Yusimry</w:t>
      </w:r>
      <w:proofErr w:type="spellEnd"/>
      <w:r w:rsidRPr="00C01B9B">
        <w:rPr>
          <w:rFonts w:ascii="Arial" w:hAnsi="Arial" w:cs="Arial"/>
          <w:color w:val="auto"/>
          <w:sz w:val="22"/>
          <w:szCs w:val="22"/>
        </w:rPr>
        <w:t xml:space="preserve"> (adalimumab-</w:t>
      </w:r>
      <w:proofErr w:type="spellStart"/>
      <w:r w:rsidRPr="00C01B9B">
        <w:rPr>
          <w:rFonts w:ascii="Arial" w:hAnsi="Arial" w:cs="Arial"/>
          <w:color w:val="auto"/>
          <w:sz w:val="22"/>
          <w:szCs w:val="22"/>
        </w:rPr>
        <w:t>aqvh</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p>
    <w:p w14:paraId="7DAB661B"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Zavzpret</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zavegepant</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 xml:space="preserve">PA </w:t>
      </w:r>
    </w:p>
    <w:p w14:paraId="337922B4" w14:textId="77777777" w:rsidR="002E3C7E" w:rsidRPr="00C01B9B" w:rsidRDefault="002E3C7E" w:rsidP="002E3C7E">
      <w:pPr>
        <w:pStyle w:val="Default"/>
        <w:numPr>
          <w:ilvl w:val="0"/>
          <w:numId w:val="28"/>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Zurzuvae</w:t>
      </w:r>
      <w:proofErr w:type="spellEnd"/>
      <w:r w:rsidRPr="00C01B9B">
        <w:rPr>
          <w:rFonts w:ascii="Arial" w:hAnsi="Arial" w:cs="Arial"/>
          <w:color w:val="auto"/>
          <w:sz w:val="22"/>
          <w:szCs w:val="22"/>
        </w:rPr>
        <w:t xml:space="preserve"> (</w:t>
      </w:r>
      <w:proofErr w:type="spellStart"/>
      <w:r w:rsidRPr="00C01B9B">
        <w:rPr>
          <w:rFonts w:ascii="Arial" w:hAnsi="Arial" w:cs="Arial"/>
          <w:color w:val="auto"/>
          <w:sz w:val="22"/>
          <w:szCs w:val="22"/>
        </w:rPr>
        <w:t>zuranolone</w:t>
      </w:r>
      <w:proofErr w:type="spellEnd"/>
      <w:r w:rsidRPr="00C01B9B">
        <w:rPr>
          <w:rFonts w:ascii="Arial" w:hAnsi="Arial" w:cs="Arial"/>
          <w:color w:val="auto"/>
          <w:sz w:val="22"/>
          <w:szCs w:val="22"/>
        </w:rPr>
        <w:t xml:space="preserve">) – </w:t>
      </w:r>
      <w:r w:rsidRPr="00C01B9B">
        <w:rPr>
          <w:rFonts w:ascii="Arial" w:hAnsi="Arial" w:cs="Arial"/>
          <w:b/>
          <w:bCs/>
          <w:color w:val="auto"/>
          <w:sz w:val="22"/>
          <w:szCs w:val="22"/>
        </w:rPr>
        <w:t>PA</w:t>
      </w:r>
      <w:r w:rsidRPr="00C01B9B">
        <w:rPr>
          <w:rFonts w:ascii="Arial" w:hAnsi="Arial" w:cs="Arial"/>
          <w:color w:val="auto"/>
          <w:sz w:val="22"/>
          <w:szCs w:val="22"/>
        </w:rPr>
        <w:t xml:space="preserve"> </w:t>
      </w:r>
    </w:p>
    <w:p w14:paraId="5B1A8C0A" w14:textId="2BAFFACE" w:rsidR="00B503C7" w:rsidRPr="005D7AFE" w:rsidRDefault="005D7AFE" w:rsidP="005D7AFE">
      <w:pPr>
        <w:numPr>
          <w:ilvl w:val="0"/>
          <w:numId w:val="19"/>
        </w:numPr>
        <w:spacing w:line="276" w:lineRule="auto"/>
        <w:rPr>
          <w:rFonts w:ascii="Arial" w:hAnsi="Arial" w:cs="Arial"/>
          <w:color w:val="000000"/>
          <w:sz w:val="22"/>
          <w:szCs w:val="22"/>
        </w:rPr>
      </w:pPr>
      <w:r w:rsidRPr="005D7AFE">
        <w:rPr>
          <w:rFonts w:ascii="Arial" w:hAnsi="Arial" w:cs="Arial"/>
          <w:color w:val="000000"/>
          <w:sz w:val="22"/>
          <w:szCs w:val="22"/>
        </w:rPr>
        <w:t xml:space="preserve">Effective 12/27/2023, the following preventative therapy has been added to the MassHealth Drug List on March 4, 2024. </w:t>
      </w:r>
    </w:p>
    <w:p w14:paraId="5EE901F3" w14:textId="77777777" w:rsidR="0048302A" w:rsidRPr="00C01B9B" w:rsidRDefault="0048302A" w:rsidP="0048302A">
      <w:pPr>
        <w:pStyle w:val="ListParagraph"/>
        <w:numPr>
          <w:ilvl w:val="0"/>
          <w:numId w:val="28"/>
        </w:numPr>
        <w:autoSpaceDE w:val="0"/>
        <w:autoSpaceDN w:val="0"/>
        <w:adjustRightInd w:val="0"/>
        <w:ind w:left="1080"/>
        <w:contextualSpacing/>
        <w:rPr>
          <w:rFonts w:ascii="Arial" w:hAnsi="Arial" w:cs="Arial"/>
          <w:color w:val="000000"/>
          <w:sz w:val="22"/>
          <w:szCs w:val="22"/>
        </w:rPr>
      </w:pPr>
      <w:bookmarkStart w:id="0" w:name="_Hlk94786218"/>
      <w:proofErr w:type="spellStart"/>
      <w:r w:rsidRPr="00C01B9B">
        <w:rPr>
          <w:rFonts w:ascii="Arial" w:hAnsi="Arial" w:cs="Arial"/>
          <w:color w:val="000000"/>
          <w:sz w:val="22"/>
          <w:szCs w:val="22"/>
        </w:rPr>
        <w:t>Ixchiq</w:t>
      </w:r>
      <w:proofErr w:type="spellEnd"/>
      <w:r w:rsidRPr="00C01B9B">
        <w:rPr>
          <w:rFonts w:ascii="Arial" w:hAnsi="Arial" w:cs="Arial"/>
          <w:color w:val="000000"/>
          <w:sz w:val="22"/>
          <w:szCs w:val="22"/>
        </w:rPr>
        <w:t xml:space="preserve"> (chikungunya virus vaccine, live)</w:t>
      </w:r>
      <w:bookmarkEnd w:id="0"/>
    </w:p>
    <w:p w14:paraId="5B1A8C19" w14:textId="7849E82B" w:rsidR="00DB5DBC" w:rsidRPr="0057528C" w:rsidRDefault="005F1DD0" w:rsidP="00DB5DBC">
      <w:pPr>
        <w:pStyle w:val="Subtitle"/>
        <w:spacing w:line="240" w:lineRule="auto"/>
        <w:rPr>
          <w:rFonts w:cs="Arial"/>
          <w:b/>
          <w:bCs/>
        </w:rPr>
      </w:pPr>
      <w:r>
        <w:rPr>
          <w:rFonts w:cs="Arial"/>
          <w:b/>
          <w:bCs/>
        </w:rPr>
        <w:t>Change in Prior-Authorization Status</w:t>
      </w:r>
    </w:p>
    <w:p w14:paraId="5C556440" w14:textId="77777777" w:rsidR="008E5BD3" w:rsidRPr="00C01B9B" w:rsidRDefault="008E5BD3" w:rsidP="008E5BD3">
      <w:pPr>
        <w:pStyle w:val="Default"/>
        <w:numPr>
          <w:ilvl w:val="0"/>
          <w:numId w:val="29"/>
        </w:numPr>
        <w:spacing w:line="276" w:lineRule="auto"/>
        <w:rPr>
          <w:rFonts w:ascii="Arial" w:hAnsi="Arial" w:cs="Arial"/>
          <w:color w:val="auto"/>
          <w:sz w:val="22"/>
          <w:szCs w:val="22"/>
        </w:rPr>
      </w:pPr>
      <w:r w:rsidRPr="00C01B9B">
        <w:rPr>
          <w:rFonts w:ascii="Arial" w:hAnsi="Arial" w:cs="Arial"/>
          <w:color w:val="auto"/>
          <w:sz w:val="22"/>
          <w:szCs w:val="22"/>
        </w:rPr>
        <w:t xml:space="preserve">Effective March 4, 2024, the following colony stimulating factor agents will no longer require PA. </w:t>
      </w:r>
    </w:p>
    <w:p w14:paraId="440689A4" w14:textId="77777777" w:rsidR="00661414" w:rsidRPr="00C01B9B" w:rsidRDefault="00661414" w:rsidP="00661414">
      <w:pPr>
        <w:pStyle w:val="Default"/>
        <w:numPr>
          <w:ilvl w:val="0"/>
          <w:numId w:val="30"/>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Granix</w:t>
      </w:r>
      <w:proofErr w:type="spellEnd"/>
      <w:r w:rsidRPr="00C01B9B">
        <w:rPr>
          <w:rFonts w:ascii="Arial" w:hAnsi="Arial" w:cs="Arial"/>
          <w:color w:val="auto"/>
          <w:sz w:val="22"/>
          <w:szCs w:val="22"/>
        </w:rPr>
        <w:t xml:space="preserve"> (TBO-filgrastim)</w:t>
      </w:r>
    </w:p>
    <w:p w14:paraId="49DB4047" w14:textId="77777777" w:rsidR="00661414" w:rsidRPr="00C01B9B" w:rsidRDefault="00661414" w:rsidP="00661414">
      <w:pPr>
        <w:pStyle w:val="Default"/>
        <w:numPr>
          <w:ilvl w:val="0"/>
          <w:numId w:val="30"/>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Nivestym</w:t>
      </w:r>
      <w:proofErr w:type="spellEnd"/>
      <w:r w:rsidRPr="00C01B9B">
        <w:rPr>
          <w:rFonts w:ascii="Arial" w:hAnsi="Arial" w:cs="Arial"/>
          <w:color w:val="auto"/>
          <w:sz w:val="22"/>
          <w:szCs w:val="22"/>
        </w:rPr>
        <w:t xml:space="preserve"> (filgrastim-</w:t>
      </w:r>
      <w:proofErr w:type="spellStart"/>
      <w:r w:rsidRPr="00C01B9B">
        <w:rPr>
          <w:rFonts w:ascii="Arial" w:hAnsi="Arial" w:cs="Arial"/>
          <w:color w:val="auto"/>
          <w:sz w:val="22"/>
          <w:szCs w:val="22"/>
        </w:rPr>
        <w:t>aafi</w:t>
      </w:r>
      <w:proofErr w:type="spellEnd"/>
      <w:r w:rsidRPr="00C01B9B">
        <w:rPr>
          <w:rFonts w:ascii="Arial" w:hAnsi="Arial" w:cs="Arial"/>
          <w:color w:val="auto"/>
          <w:sz w:val="22"/>
          <w:szCs w:val="22"/>
        </w:rPr>
        <w:t>)</w:t>
      </w:r>
    </w:p>
    <w:p w14:paraId="7B3DCC9D" w14:textId="77777777" w:rsidR="00661414" w:rsidRPr="00C01B9B" w:rsidRDefault="00661414" w:rsidP="00661414">
      <w:pPr>
        <w:pStyle w:val="Default"/>
        <w:numPr>
          <w:ilvl w:val="0"/>
          <w:numId w:val="30"/>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Releuko</w:t>
      </w:r>
      <w:proofErr w:type="spellEnd"/>
      <w:r w:rsidRPr="00C01B9B">
        <w:rPr>
          <w:rFonts w:ascii="Arial" w:hAnsi="Arial" w:cs="Arial"/>
          <w:color w:val="auto"/>
          <w:sz w:val="22"/>
          <w:szCs w:val="22"/>
        </w:rPr>
        <w:t xml:space="preserve"> (filgrastim-</w:t>
      </w:r>
      <w:proofErr w:type="spellStart"/>
      <w:r w:rsidRPr="00C01B9B">
        <w:rPr>
          <w:rFonts w:ascii="Arial" w:hAnsi="Arial" w:cs="Arial"/>
          <w:color w:val="auto"/>
          <w:sz w:val="22"/>
          <w:szCs w:val="22"/>
        </w:rPr>
        <w:t>ayow</w:t>
      </w:r>
      <w:proofErr w:type="spellEnd"/>
      <w:r w:rsidRPr="00C01B9B">
        <w:rPr>
          <w:rFonts w:ascii="Arial" w:hAnsi="Arial" w:cs="Arial"/>
          <w:color w:val="auto"/>
          <w:sz w:val="22"/>
          <w:szCs w:val="22"/>
        </w:rPr>
        <w:t>)</w:t>
      </w:r>
    </w:p>
    <w:p w14:paraId="0CDFA7A9" w14:textId="77777777" w:rsidR="00661414" w:rsidRPr="00C01B9B" w:rsidRDefault="00661414" w:rsidP="00661414">
      <w:pPr>
        <w:pStyle w:val="Default"/>
        <w:numPr>
          <w:ilvl w:val="0"/>
          <w:numId w:val="30"/>
        </w:numPr>
        <w:spacing w:line="276" w:lineRule="auto"/>
        <w:ind w:left="1080"/>
        <w:rPr>
          <w:rFonts w:ascii="Arial" w:hAnsi="Arial" w:cs="Arial"/>
          <w:color w:val="auto"/>
          <w:sz w:val="22"/>
          <w:szCs w:val="22"/>
        </w:rPr>
      </w:pPr>
      <w:proofErr w:type="spellStart"/>
      <w:r w:rsidRPr="00C01B9B">
        <w:rPr>
          <w:rFonts w:ascii="Arial" w:hAnsi="Arial" w:cs="Arial"/>
          <w:color w:val="auto"/>
          <w:sz w:val="22"/>
          <w:szCs w:val="22"/>
        </w:rPr>
        <w:t>Zarxio</w:t>
      </w:r>
      <w:proofErr w:type="spellEnd"/>
      <w:r w:rsidRPr="00C01B9B">
        <w:rPr>
          <w:rFonts w:ascii="Arial" w:hAnsi="Arial" w:cs="Arial"/>
          <w:color w:val="auto"/>
          <w:sz w:val="22"/>
          <w:szCs w:val="22"/>
        </w:rPr>
        <w:t xml:space="preserve"> (filgrastim-</w:t>
      </w:r>
      <w:proofErr w:type="spellStart"/>
      <w:r w:rsidRPr="00C01B9B">
        <w:rPr>
          <w:rFonts w:ascii="Arial" w:hAnsi="Arial" w:cs="Arial"/>
          <w:color w:val="auto"/>
          <w:sz w:val="22"/>
          <w:szCs w:val="22"/>
        </w:rPr>
        <w:t>sndz</w:t>
      </w:r>
      <w:proofErr w:type="spellEnd"/>
      <w:r w:rsidRPr="00C01B9B">
        <w:rPr>
          <w:rFonts w:ascii="Arial" w:hAnsi="Arial" w:cs="Arial"/>
          <w:color w:val="auto"/>
          <w:sz w:val="22"/>
          <w:szCs w:val="22"/>
        </w:rPr>
        <w:t>)</w:t>
      </w:r>
    </w:p>
    <w:p w14:paraId="62F06782" w14:textId="77777777" w:rsidR="0090005E" w:rsidRPr="00C01B9B" w:rsidRDefault="0090005E" w:rsidP="0090005E">
      <w:pPr>
        <w:pStyle w:val="Default"/>
        <w:numPr>
          <w:ilvl w:val="0"/>
          <w:numId w:val="29"/>
        </w:numPr>
        <w:spacing w:line="276" w:lineRule="auto"/>
        <w:rPr>
          <w:rFonts w:ascii="Arial" w:hAnsi="Arial" w:cs="Arial"/>
          <w:color w:val="auto"/>
          <w:sz w:val="22"/>
          <w:szCs w:val="22"/>
        </w:rPr>
      </w:pPr>
      <w:r w:rsidRPr="00C01B9B">
        <w:rPr>
          <w:rFonts w:ascii="Arial" w:hAnsi="Arial" w:cs="Arial"/>
          <w:color w:val="auto"/>
          <w:sz w:val="22"/>
          <w:szCs w:val="22"/>
        </w:rPr>
        <w:t>Effective March 4, 2024, the following diabetic agent will no longer require PA.</w:t>
      </w:r>
    </w:p>
    <w:p w14:paraId="3E245787" w14:textId="77777777" w:rsidR="001C40E8" w:rsidRPr="00C01B9B" w:rsidRDefault="001C40E8" w:rsidP="001C40E8">
      <w:pPr>
        <w:pStyle w:val="Default"/>
        <w:numPr>
          <w:ilvl w:val="1"/>
          <w:numId w:val="29"/>
        </w:numPr>
        <w:spacing w:line="276" w:lineRule="auto"/>
        <w:ind w:left="1080"/>
        <w:rPr>
          <w:rFonts w:ascii="Arial" w:hAnsi="Arial" w:cs="Arial"/>
          <w:color w:val="auto"/>
          <w:sz w:val="22"/>
          <w:szCs w:val="22"/>
        </w:rPr>
      </w:pPr>
      <w:r w:rsidRPr="00C01B9B">
        <w:rPr>
          <w:rFonts w:ascii="Arial" w:hAnsi="Arial" w:cs="Arial"/>
          <w:color w:val="auto"/>
          <w:sz w:val="22"/>
          <w:szCs w:val="22"/>
        </w:rPr>
        <w:t>Zegalogue (dasiglucagon)</w:t>
      </w:r>
    </w:p>
    <w:p w14:paraId="3574263C" w14:textId="77777777" w:rsidR="00D60830" w:rsidRPr="00C01B9B" w:rsidRDefault="00D60830" w:rsidP="00D60830">
      <w:pPr>
        <w:pStyle w:val="ListParagraph"/>
        <w:numPr>
          <w:ilvl w:val="0"/>
          <w:numId w:val="29"/>
        </w:numPr>
        <w:spacing w:after="160" w:line="276" w:lineRule="auto"/>
        <w:contextualSpacing/>
        <w:rPr>
          <w:rFonts w:ascii="Arial" w:hAnsi="Arial" w:cs="Arial"/>
          <w:sz w:val="22"/>
          <w:szCs w:val="22"/>
        </w:rPr>
      </w:pPr>
      <w:r w:rsidRPr="00C01B9B">
        <w:rPr>
          <w:rFonts w:ascii="Arial" w:hAnsi="Arial" w:cs="Arial"/>
          <w:sz w:val="22"/>
          <w:szCs w:val="22"/>
        </w:rPr>
        <w:t xml:space="preserve">Effective March 4, 2024, the following inhaled respiratory agent will no longer require PA. </w:t>
      </w:r>
    </w:p>
    <w:p w14:paraId="4BF3F7F0" w14:textId="77777777" w:rsidR="00983A93" w:rsidRDefault="00983A93" w:rsidP="00983A93">
      <w:pPr>
        <w:pStyle w:val="ListParagraph"/>
        <w:numPr>
          <w:ilvl w:val="1"/>
          <w:numId w:val="29"/>
        </w:numPr>
        <w:spacing w:line="276" w:lineRule="auto"/>
        <w:ind w:left="1080"/>
        <w:contextualSpacing/>
        <w:rPr>
          <w:rFonts w:ascii="Arial" w:hAnsi="Arial" w:cs="Arial"/>
          <w:sz w:val="22"/>
          <w:szCs w:val="22"/>
        </w:rPr>
      </w:pPr>
      <w:r w:rsidRPr="00C01B9B">
        <w:rPr>
          <w:rFonts w:ascii="Arial" w:hAnsi="Arial" w:cs="Arial"/>
          <w:sz w:val="22"/>
          <w:szCs w:val="22"/>
        </w:rPr>
        <w:t>Proair Respiclick (albuterol inhalation powder)</w:t>
      </w:r>
    </w:p>
    <w:p w14:paraId="051B0992" w14:textId="3BDB4BAB" w:rsidR="005F1473" w:rsidRPr="005F1473" w:rsidRDefault="005F1473" w:rsidP="005F1473">
      <w:pPr>
        <w:pStyle w:val="ListParagraph"/>
        <w:numPr>
          <w:ilvl w:val="0"/>
          <w:numId w:val="29"/>
        </w:numPr>
        <w:spacing w:line="276" w:lineRule="auto"/>
        <w:contextualSpacing/>
        <w:rPr>
          <w:rFonts w:ascii="Arial" w:hAnsi="Arial" w:cs="Arial"/>
          <w:sz w:val="22"/>
          <w:szCs w:val="22"/>
        </w:rPr>
      </w:pPr>
      <w:r w:rsidRPr="00C01B9B">
        <w:rPr>
          <w:rFonts w:ascii="Arial" w:hAnsi="Arial" w:cs="Arial"/>
          <w:sz w:val="22"/>
          <w:szCs w:val="22"/>
        </w:rPr>
        <w:t>Effective March 4, 2024, the following compounded pharmaceutical products will require PA.</w:t>
      </w:r>
    </w:p>
    <w:p w14:paraId="3065B331" w14:textId="6ABE5B95" w:rsidR="005F1473" w:rsidRPr="00AB6325" w:rsidRDefault="005F1473" w:rsidP="00AB6325">
      <w:pPr>
        <w:numPr>
          <w:ilvl w:val="0"/>
          <w:numId w:val="12"/>
        </w:numPr>
        <w:autoSpaceDE w:val="0"/>
        <w:autoSpaceDN w:val="0"/>
        <w:adjustRightInd w:val="0"/>
        <w:spacing w:line="276" w:lineRule="auto"/>
        <w:ind w:left="1080"/>
        <w:rPr>
          <w:rFonts w:ascii="Arial" w:hAnsi="Arial" w:cs="Arial"/>
          <w:color w:val="000000"/>
          <w:sz w:val="22"/>
          <w:szCs w:val="22"/>
        </w:rPr>
      </w:pPr>
      <w:bookmarkStart w:id="1" w:name="_Hlk159848566"/>
      <w:r w:rsidRPr="005F1473">
        <w:rPr>
          <w:rFonts w:ascii="Arial" w:hAnsi="Arial" w:cs="Arial"/>
          <w:color w:val="000000"/>
          <w:sz w:val="22"/>
          <w:szCs w:val="22"/>
        </w:rPr>
        <w:t xml:space="preserve">compounded pharmaceutical product with transdermal </w:t>
      </w:r>
      <w:r w:rsidR="004B4FC9">
        <w:rPr>
          <w:rFonts w:ascii="Arial" w:hAnsi="Arial" w:cs="Arial"/>
          <w:color w:val="000000"/>
          <w:sz w:val="22"/>
          <w:szCs w:val="22"/>
        </w:rPr>
        <w:t>route of administration</w:t>
      </w:r>
      <w:r w:rsidR="004B4FC9" w:rsidRPr="005F1473">
        <w:rPr>
          <w:rFonts w:ascii="Arial" w:hAnsi="Arial" w:cs="Arial"/>
          <w:color w:val="000000"/>
          <w:sz w:val="22"/>
          <w:szCs w:val="22"/>
        </w:rPr>
        <w:t xml:space="preserve"> </w:t>
      </w:r>
      <w:r w:rsidRPr="005F1473">
        <w:rPr>
          <w:rFonts w:ascii="Arial" w:hAnsi="Arial" w:cs="Arial"/>
          <w:color w:val="000000"/>
          <w:sz w:val="22"/>
          <w:szCs w:val="22"/>
        </w:rPr>
        <w:t xml:space="preserve">– </w:t>
      </w:r>
      <w:r w:rsidRPr="005F1473">
        <w:rPr>
          <w:rFonts w:ascii="Arial" w:hAnsi="Arial" w:cs="Arial"/>
          <w:b/>
          <w:bCs/>
          <w:color w:val="000000"/>
          <w:sz w:val="22"/>
          <w:szCs w:val="22"/>
        </w:rPr>
        <w:t>PA</w:t>
      </w:r>
      <w:r w:rsidRPr="005F1473">
        <w:rPr>
          <w:rFonts w:ascii="Arial" w:hAnsi="Arial" w:cs="Arial"/>
          <w:color w:val="000000"/>
          <w:sz w:val="22"/>
          <w:szCs w:val="22"/>
        </w:rPr>
        <w:t xml:space="preserve">; </w:t>
      </w:r>
      <w:proofErr w:type="gramStart"/>
      <w:r w:rsidRPr="005F1473">
        <w:rPr>
          <w:rFonts w:ascii="Arial" w:hAnsi="Arial" w:cs="Arial"/>
          <w:color w:val="000000"/>
          <w:sz w:val="22"/>
          <w:szCs w:val="22"/>
        </w:rPr>
        <w:t>CP</w:t>
      </w:r>
      <w:proofErr w:type="gramEnd"/>
      <w:r w:rsidRPr="005F1473">
        <w:rPr>
          <w:rFonts w:ascii="Arial" w:hAnsi="Arial" w:cs="Arial"/>
          <w:color w:val="000000"/>
          <w:sz w:val="22"/>
          <w:szCs w:val="22"/>
        </w:rPr>
        <w:t xml:space="preserve"> </w:t>
      </w:r>
      <w:bookmarkEnd w:id="1"/>
    </w:p>
    <w:p w14:paraId="587008C5" w14:textId="43EF7DA4" w:rsidR="00AB6325" w:rsidRDefault="00AB6325" w:rsidP="00AB6325">
      <w:pPr>
        <w:pStyle w:val="ListParagraph"/>
        <w:numPr>
          <w:ilvl w:val="0"/>
          <w:numId w:val="29"/>
        </w:numPr>
        <w:spacing w:line="276" w:lineRule="auto"/>
        <w:contextualSpacing/>
        <w:rPr>
          <w:rFonts w:ascii="Arial" w:hAnsi="Arial" w:cs="Arial"/>
          <w:sz w:val="22"/>
          <w:szCs w:val="22"/>
        </w:rPr>
      </w:pPr>
      <w:r w:rsidRPr="00AB6325">
        <w:rPr>
          <w:rFonts w:ascii="Arial" w:hAnsi="Arial" w:cs="Arial"/>
          <w:sz w:val="22"/>
          <w:szCs w:val="22"/>
        </w:rPr>
        <w:t>Effective March 4, 2024, the following inhaled agent will no longer require PA within age limits.</w:t>
      </w:r>
    </w:p>
    <w:p w14:paraId="37A1DAB5" w14:textId="438B6DEC" w:rsidR="00FD1DFD" w:rsidRPr="00FD1DFD" w:rsidRDefault="00FD1DFD" w:rsidP="00FD1DFD">
      <w:pPr>
        <w:numPr>
          <w:ilvl w:val="0"/>
          <w:numId w:val="12"/>
        </w:numPr>
        <w:autoSpaceDE w:val="0"/>
        <w:autoSpaceDN w:val="0"/>
        <w:adjustRightInd w:val="0"/>
        <w:spacing w:line="276" w:lineRule="auto"/>
        <w:ind w:left="1080"/>
        <w:rPr>
          <w:rFonts w:ascii="Arial" w:hAnsi="Arial" w:cs="Arial"/>
          <w:color w:val="000000"/>
          <w:sz w:val="22"/>
          <w:szCs w:val="22"/>
        </w:rPr>
      </w:pPr>
      <w:r w:rsidRPr="00FD1DFD">
        <w:rPr>
          <w:rFonts w:ascii="Arial" w:hAnsi="Arial" w:cs="Arial"/>
          <w:color w:val="000000"/>
          <w:sz w:val="22"/>
          <w:szCs w:val="22"/>
        </w:rPr>
        <w:t>fluticasone propionate inhalation aerosol – PA ≥ 5 years; A90</w:t>
      </w:r>
    </w:p>
    <w:p w14:paraId="28A8ED32" w14:textId="77777777" w:rsidR="00B85868" w:rsidRPr="00C01B9B" w:rsidRDefault="00B85868" w:rsidP="00B85868">
      <w:pPr>
        <w:pStyle w:val="ListParagraph"/>
        <w:numPr>
          <w:ilvl w:val="0"/>
          <w:numId w:val="29"/>
        </w:numPr>
        <w:spacing w:line="256" w:lineRule="auto"/>
        <w:contextualSpacing/>
        <w:rPr>
          <w:rFonts w:ascii="Arial" w:hAnsi="Arial" w:cs="Arial"/>
          <w:sz w:val="22"/>
          <w:szCs w:val="22"/>
        </w:rPr>
      </w:pPr>
      <w:r w:rsidRPr="00C01B9B">
        <w:rPr>
          <w:rFonts w:ascii="Arial" w:hAnsi="Arial" w:cs="Arial"/>
          <w:sz w:val="22"/>
          <w:szCs w:val="22"/>
        </w:rPr>
        <w:t>Effective March 4, 2024, the following non-stimulant ADHD agent will no longer require PA within age and quantity limits.</w:t>
      </w:r>
    </w:p>
    <w:p w14:paraId="4D499250" w14:textId="77777777" w:rsidR="00345DEC" w:rsidRDefault="00345DEC" w:rsidP="00345DEC">
      <w:pPr>
        <w:pStyle w:val="ListParagraph"/>
        <w:numPr>
          <w:ilvl w:val="1"/>
          <w:numId w:val="29"/>
        </w:numPr>
        <w:spacing w:after="160" w:line="256" w:lineRule="auto"/>
        <w:ind w:left="1080"/>
        <w:contextualSpacing/>
        <w:rPr>
          <w:rFonts w:ascii="Arial" w:hAnsi="Arial" w:cs="Arial"/>
          <w:sz w:val="22"/>
          <w:szCs w:val="22"/>
        </w:rPr>
      </w:pPr>
      <w:r w:rsidRPr="00C01B9B">
        <w:rPr>
          <w:rFonts w:ascii="Arial" w:hAnsi="Arial" w:cs="Arial"/>
          <w:sz w:val="22"/>
          <w:szCs w:val="22"/>
        </w:rPr>
        <w:t xml:space="preserve">clonidine extended-release 0.1 mg tablet – </w:t>
      </w:r>
      <w:r w:rsidRPr="00C01B9B">
        <w:rPr>
          <w:rFonts w:ascii="Arial" w:hAnsi="Arial" w:cs="Arial"/>
          <w:b/>
          <w:bCs/>
          <w:sz w:val="22"/>
          <w:szCs w:val="22"/>
        </w:rPr>
        <w:t>PA &lt; 3 years and PA &gt; 4 units/day</w:t>
      </w:r>
      <w:r w:rsidRPr="00C01B9B">
        <w:rPr>
          <w:rFonts w:ascii="Arial" w:hAnsi="Arial" w:cs="Arial"/>
          <w:sz w:val="22"/>
          <w:szCs w:val="22"/>
        </w:rPr>
        <w:t xml:space="preserve">; </w:t>
      </w:r>
      <w:proofErr w:type="gramStart"/>
      <w:r w:rsidRPr="00C01B9B">
        <w:rPr>
          <w:rFonts w:ascii="Arial" w:hAnsi="Arial" w:cs="Arial"/>
          <w:sz w:val="22"/>
          <w:szCs w:val="22"/>
        </w:rPr>
        <w:t>A90</w:t>
      </w:r>
      <w:proofErr w:type="gramEnd"/>
    </w:p>
    <w:p w14:paraId="1D757BE2" w14:textId="7D86F880" w:rsidR="0036178C" w:rsidRPr="004A160E" w:rsidRDefault="0036178C" w:rsidP="004A160E">
      <w:pPr>
        <w:pStyle w:val="ListParagraph"/>
        <w:numPr>
          <w:ilvl w:val="0"/>
          <w:numId w:val="29"/>
        </w:numPr>
        <w:spacing w:after="160" w:line="256" w:lineRule="auto"/>
        <w:contextualSpacing/>
        <w:rPr>
          <w:rFonts w:ascii="Arial" w:hAnsi="Arial" w:cs="Arial"/>
          <w:sz w:val="22"/>
          <w:szCs w:val="22"/>
        </w:rPr>
      </w:pPr>
      <w:r w:rsidRPr="00C01B9B">
        <w:rPr>
          <w:rFonts w:ascii="Arial" w:hAnsi="Arial" w:cs="Arial"/>
          <w:sz w:val="22"/>
          <w:szCs w:val="22"/>
        </w:rPr>
        <w:t>Effective March 4, 2024, the following cardiovascular agent will no longer require PA.</w:t>
      </w:r>
    </w:p>
    <w:p w14:paraId="7D47D734" w14:textId="77777777" w:rsidR="004A160E" w:rsidRPr="00C01B9B" w:rsidRDefault="004A160E" w:rsidP="004A160E">
      <w:pPr>
        <w:pStyle w:val="ListParagraph"/>
        <w:numPr>
          <w:ilvl w:val="1"/>
          <w:numId w:val="29"/>
        </w:numPr>
        <w:spacing w:line="256" w:lineRule="auto"/>
        <w:ind w:left="1080"/>
        <w:contextualSpacing/>
        <w:rPr>
          <w:rFonts w:ascii="Arial" w:hAnsi="Arial" w:cs="Arial"/>
          <w:sz w:val="22"/>
          <w:szCs w:val="22"/>
        </w:rPr>
      </w:pPr>
      <w:r w:rsidRPr="00C01B9B">
        <w:rPr>
          <w:rFonts w:ascii="Arial" w:hAnsi="Arial" w:cs="Arial"/>
          <w:sz w:val="22"/>
          <w:szCs w:val="22"/>
        </w:rPr>
        <w:t>Cardizem CD (diltiazem 360 mg); #, M90</w:t>
      </w:r>
    </w:p>
    <w:p w14:paraId="5B1A8C2D" w14:textId="7EAFCBDD" w:rsidR="00DB5DBC" w:rsidRPr="0057528C" w:rsidRDefault="00980D0C" w:rsidP="00DB5DBC">
      <w:pPr>
        <w:pStyle w:val="Subtitle"/>
        <w:spacing w:line="240" w:lineRule="auto"/>
        <w:rPr>
          <w:rFonts w:cs="Arial"/>
          <w:b/>
          <w:bCs/>
        </w:rPr>
      </w:pPr>
      <w:r>
        <w:rPr>
          <w:rFonts w:cs="Arial"/>
          <w:b/>
          <w:bCs/>
        </w:rPr>
        <w:t>Change in Coverage Status</w:t>
      </w:r>
    </w:p>
    <w:p w14:paraId="4ECC6ADE" w14:textId="77777777" w:rsidR="003300E4" w:rsidRPr="003300E4" w:rsidRDefault="003300E4" w:rsidP="003300E4">
      <w:pPr>
        <w:pStyle w:val="Default"/>
        <w:spacing w:line="276" w:lineRule="auto"/>
        <w:rPr>
          <w:rFonts w:ascii="Arial" w:hAnsi="Arial" w:cs="Arial"/>
          <w:sz w:val="22"/>
          <w:szCs w:val="22"/>
        </w:rPr>
      </w:pPr>
      <w:r w:rsidRPr="003300E4">
        <w:rPr>
          <w:rFonts w:ascii="Arial" w:hAnsi="Arial" w:cs="Arial"/>
          <w:sz w:val="22"/>
          <w:szCs w:val="22"/>
        </w:rPr>
        <w:t>Effective March 4, 2024, the following agents will be available through medical billing only and will no longer be available through pharmacy billing.</w:t>
      </w:r>
    </w:p>
    <w:p w14:paraId="279D0A25" w14:textId="77777777" w:rsidR="00024609" w:rsidRDefault="00024609" w:rsidP="00024609">
      <w:pPr>
        <w:pStyle w:val="Default"/>
        <w:numPr>
          <w:ilvl w:val="0"/>
          <w:numId w:val="31"/>
        </w:numPr>
        <w:spacing w:line="276" w:lineRule="auto"/>
        <w:rPr>
          <w:rFonts w:ascii="Arial" w:hAnsi="Arial" w:cs="Arial"/>
          <w:color w:val="auto"/>
          <w:sz w:val="22"/>
          <w:szCs w:val="22"/>
        </w:rPr>
      </w:pPr>
      <w:r>
        <w:rPr>
          <w:rFonts w:ascii="Arial" w:hAnsi="Arial" w:cs="Arial"/>
          <w:color w:val="auto"/>
          <w:sz w:val="22"/>
          <w:szCs w:val="22"/>
        </w:rPr>
        <w:t xml:space="preserve">Enhertu (fam-trastuzumab deruxtecan-nxki) – </w:t>
      </w:r>
      <w:r>
        <w:rPr>
          <w:rFonts w:ascii="Arial" w:hAnsi="Arial" w:cs="Arial"/>
          <w:b/>
          <w:color w:val="auto"/>
          <w:sz w:val="22"/>
          <w:szCs w:val="22"/>
        </w:rPr>
        <w:t>PA</w:t>
      </w:r>
      <w:r>
        <w:rPr>
          <w:rFonts w:ascii="Arial" w:hAnsi="Arial" w:cs="Arial"/>
          <w:bCs/>
          <w:color w:val="auto"/>
          <w:sz w:val="22"/>
          <w:szCs w:val="22"/>
        </w:rPr>
        <w:t>; MB</w:t>
      </w:r>
    </w:p>
    <w:p w14:paraId="4E9AF30D" w14:textId="77777777" w:rsidR="00024609" w:rsidRDefault="00024609" w:rsidP="00024609">
      <w:pPr>
        <w:pStyle w:val="Default"/>
        <w:numPr>
          <w:ilvl w:val="0"/>
          <w:numId w:val="31"/>
        </w:numPr>
        <w:spacing w:line="276" w:lineRule="auto"/>
        <w:rPr>
          <w:rFonts w:ascii="Arial" w:hAnsi="Arial" w:cs="Arial"/>
          <w:color w:val="auto"/>
          <w:sz w:val="22"/>
          <w:szCs w:val="22"/>
        </w:rPr>
      </w:pPr>
      <w:r>
        <w:rPr>
          <w:rFonts w:ascii="Arial" w:hAnsi="Arial" w:cs="Arial"/>
          <w:color w:val="auto"/>
          <w:sz w:val="22"/>
          <w:szCs w:val="22"/>
        </w:rPr>
        <w:t xml:space="preserve">Kimmtrak (tebentafusp-tebn) – </w:t>
      </w:r>
      <w:r>
        <w:rPr>
          <w:rFonts w:ascii="Arial" w:hAnsi="Arial" w:cs="Arial"/>
          <w:b/>
          <w:bCs/>
          <w:color w:val="auto"/>
          <w:sz w:val="22"/>
          <w:szCs w:val="22"/>
        </w:rPr>
        <w:t>PA</w:t>
      </w:r>
      <w:r>
        <w:rPr>
          <w:rFonts w:ascii="Arial" w:hAnsi="Arial" w:cs="Arial"/>
          <w:color w:val="auto"/>
          <w:sz w:val="22"/>
          <w:szCs w:val="22"/>
        </w:rPr>
        <w:t>; MB</w:t>
      </w:r>
    </w:p>
    <w:p w14:paraId="296B09BF" w14:textId="77777777" w:rsidR="00024609" w:rsidRDefault="00024609" w:rsidP="00024609">
      <w:pPr>
        <w:pStyle w:val="Default"/>
        <w:numPr>
          <w:ilvl w:val="0"/>
          <w:numId w:val="31"/>
        </w:numPr>
        <w:spacing w:line="276" w:lineRule="auto"/>
        <w:rPr>
          <w:rFonts w:ascii="Arial" w:hAnsi="Arial" w:cs="Arial"/>
          <w:color w:val="auto"/>
          <w:sz w:val="22"/>
          <w:szCs w:val="22"/>
        </w:rPr>
      </w:pPr>
      <w:proofErr w:type="spellStart"/>
      <w:r>
        <w:rPr>
          <w:rFonts w:ascii="Arial" w:hAnsi="Arial" w:cs="Arial"/>
          <w:color w:val="auto"/>
          <w:sz w:val="22"/>
          <w:szCs w:val="22"/>
        </w:rPr>
        <w:t>Sandimmune</w:t>
      </w:r>
      <w:proofErr w:type="spellEnd"/>
      <w:r>
        <w:rPr>
          <w:rFonts w:ascii="Arial" w:hAnsi="Arial" w:cs="Arial"/>
          <w:color w:val="auto"/>
          <w:sz w:val="22"/>
          <w:szCs w:val="22"/>
        </w:rPr>
        <w:t xml:space="preserve"> (cyclosporine injection); MB </w:t>
      </w:r>
    </w:p>
    <w:p w14:paraId="0A61BDEE" w14:textId="77777777" w:rsidR="00024609" w:rsidRDefault="00024609" w:rsidP="00024609">
      <w:pPr>
        <w:pStyle w:val="Default"/>
        <w:numPr>
          <w:ilvl w:val="0"/>
          <w:numId w:val="31"/>
        </w:numPr>
        <w:spacing w:line="276" w:lineRule="auto"/>
        <w:rPr>
          <w:rFonts w:ascii="Arial" w:hAnsi="Arial" w:cs="Arial"/>
          <w:color w:val="auto"/>
          <w:sz w:val="22"/>
          <w:szCs w:val="22"/>
        </w:rPr>
      </w:pPr>
      <w:proofErr w:type="spellStart"/>
      <w:r>
        <w:rPr>
          <w:rFonts w:ascii="Arial" w:hAnsi="Arial" w:cs="Arial"/>
          <w:color w:val="auto"/>
          <w:sz w:val="22"/>
          <w:szCs w:val="22"/>
        </w:rPr>
        <w:t>Simulect</w:t>
      </w:r>
      <w:proofErr w:type="spellEnd"/>
      <w:r>
        <w:rPr>
          <w:rFonts w:ascii="Arial" w:hAnsi="Arial" w:cs="Arial"/>
          <w:color w:val="auto"/>
          <w:sz w:val="22"/>
          <w:szCs w:val="22"/>
        </w:rPr>
        <w:t xml:space="preserve"> (</w:t>
      </w:r>
      <w:proofErr w:type="spellStart"/>
      <w:r>
        <w:rPr>
          <w:rFonts w:ascii="Arial" w:hAnsi="Arial" w:cs="Arial"/>
          <w:color w:val="auto"/>
          <w:sz w:val="22"/>
          <w:szCs w:val="22"/>
        </w:rPr>
        <w:t>basiliximab</w:t>
      </w:r>
      <w:proofErr w:type="spellEnd"/>
      <w:r>
        <w:rPr>
          <w:rFonts w:ascii="Arial" w:hAnsi="Arial" w:cs="Arial"/>
          <w:color w:val="auto"/>
          <w:sz w:val="22"/>
          <w:szCs w:val="22"/>
        </w:rPr>
        <w:t>); MB</w:t>
      </w:r>
    </w:p>
    <w:p w14:paraId="250D3BD7" w14:textId="27604534" w:rsidR="0053359A" w:rsidRDefault="005B25B1" w:rsidP="005B25B1">
      <w:pPr>
        <w:pStyle w:val="Default"/>
        <w:spacing w:before="200" w:after="80" w:line="276" w:lineRule="auto"/>
        <w:rPr>
          <w:rFonts w:ascii="Arial" w:hAnsi="Arial" w:cs="Arial"/>
          <w:color w:val="auto"/>
          <w:sz w:val="22"/>
          <w:szCs w:val="22"/>
        </w:rPr>
      </w:pPr>
      <w:r w:rsidRPr="005B25B1">
        <w:rPr>
          <w:rFonts w:cs="Arial"/>
          <w:b/>
          <w:bCs/>
          <w:sz w:val="22"/>
          <w:szCs w:val="22"/>
        </w:rPr>
        <w:t>Updated MassHealth Brand Name Preferred Over Generic Drug List</w:t>
      </w:r>
    </w:p>
    <w:p w14:paraId="4F5E2080" w14:textId="77777777" w:rsidR="00A3619B" w:rsidRPr="00A3619B" w:rsidRDefault="00A3619B" w:rsidP="00A3619B">
      <w:pPr>
        <w:pStyle w:val="Default"/>
        <w:spacing w:line="276" w:lineRule="auto"/>
        <w:rPr>
          <w:rFonts w:ascii="Arial" w:hAnsi="Arial" w:cs="Arial"/>
          <w:sz w:val="22"/>
          <w:szCs w:val="22"/>
        </w:rPr>
      </w:pPr>
      <w:r w:rsidRPr="00A3619B">
        <w:rPr>
          <w:rFonts w:ascii="Arial" w:hAnsi="Arial" w:cs="Arial"/>
          <w:sz w:val="22"/>
          <w:szCs w:val="22"/>
        </w:rPr>
        <w:t>The MassHealth Brand Name Preferred Over Generic Drug List has been updated to reflect recent changes to the MassHealth Drug List.</w:t>
      </w:r>
    </w:p>
    <w:p w14:paraId="2768C969" w14:textId="77777777" w:rsidR="0059516B" w:rsidRDefault="0059516B" w:rsidP="0059516B">
      <w:pPr>
        <w:pStyle w:val="Default"/>
        <w:numPr>
          <w:ilvl w:val="0"/>
          <w:numId w:val="32"/>
        </w:numPr>
        <w:spacing w:line="276" w:lineRule="auto"/>
        <w:rPr>
          <w:rFonts w:ascii="Arial" w:hAnsi="Arial" w:cs="Arial"/>
          <w:sz w:val="22"/>
          <w:szCs w:val="22"/>
        </w:rPr>
      </w:pPr>
      <w:r w:rsidRPr="00C01B9B">
        <w:rPr>
          <w:rFonts w:ascii="Arial" w:hAnsi="Arial" w:cs="Arial"/>
          <w:sz w:val="22"/>
          <w:szCs w:val="22"/>
        </w:rPr>
        <w:t xml:space="preserve">Effective March 4, 2024, the following agents will be added to the MassHealth Brand Name Preferred Over Generic Drug List. </w:t>
      </w:r>
    </w:p>
    <w:p w14:paraId="49339DFF" w14:textId="77777777" w:rsidR="00577107" w:rsidRPr="00C01B9B" w:rsidRDefault="00577107" w:rsidP="00577107">
      <w:pPr>
        <w:pStyle w:val="Default"/>
        <w:numPr>
          <w:ilvl w:val="0"/>
          <w:numId w:val="33"/>
        </w:numPr>
        <w:spacing w:line="276" w:lineRule="auto"/>
        <w:rPr>
          <w:rFonts w:ascii="Arial" w:hAnsi="Arial" w:cs="Arial"/>
          <w:sz w:val="22"/>
          <w:szCs w:val="22"/>
        </w:rPr>
      </w:pPr>
      <w:r w:rsidRPr="00C01B9B">
        <w:rPr>
          <w:rFonts w:ascii="Arial" w:hAnsi="Arial" w:cs="Arial"/>
          <w:sz w:val="22"/>
          <w:szCs w:val="22"/>
        </w:rPr>
        <w:t>Risperdal Consta (risperidone 12.5 mg, 25 mg, 37.5 mg, 50 mg extended-release intramuscular injection)</w:t>
      </w:r>
      <w:r w:rsidRPr="00C01B9B">
        <w:rPr>
          <w:rFonts w:ascii="Arial" w:hAnsi="Arial" w:cs="Arial"/>
          <w:b/>
          <w:bCs/>
          <w:sz w:val="22"/>
          <w:szCs w:val="22"/>
        </w:rPr>
        <w:t xml:space="preserve"> </w:t>
      </w:r>
      <w:r w:rsidRPr="00C01B9B">
        <w:rPr>
          <w:rFonts w:ascii="Arial" w:hAnsi="Arial" w:cs="Arial"/>
          <w:sz w:val="22"/>
          <w:szCs w:val="22"/>
        </w:rPr>
        <w:t xml:space="preserve">– </w:t>
      </w:r>
      <w:r w:rsidRPr="00C01B9B">
        <w:rPr>
          <w:rFonts w:ascii="Arial" w:hAnsi="Arial" w:cs="Arial"/>
          <w:b/>
          <w:bCs/>
          <w:sz w:val="22"/>
          <w:szCs w:val="22"/>
        </w:rPr>
        <w:t>PA &lt; 6 years and PA &gt; 2 injections/28 days</w:t>
      </w:r>
      <w:r w:rsidRPr="00C01B9B">
        <w:rPr>
          <w:rFonts w:ascii="Arial" w:hAnsi="Arial" w:cs="Arial"/>
          <w:sz w:val="22"/>
          <w:szCs w:val="22"/>
        </w:rPr>
        <w:t xml:space="preserve">; </w:t>
      </w:r>
      <w:proofErr w:type="gramStart"/>
      <w:r w:rsidRPr="00C01B9B">
        <w:rPr>
          <w:rFonts w:ascii="Arial" w:hAnsi="Arial" w:cs="Arial"/>
          <w:sz w:val="22"/>
          <w:szCs w:val="22"/>
        </w:rPr>
        <w:t>BP</w:t>
      </w:r>
      <w:proofErr w:type="gramEnd"/>
    </w:p>
    <w:p w14:paraId="3B9C70CA" w14:textId="77777777" w:rsidR="00F802E9" w:rsidRPr="00C01B9B" w:rsidRDefault="00F802E9" w:rsidP="00F802E9">
      <w:pPr>
        <w:pStyle w:val="Default"/>
        <w:numPr>
          <w:ilvl w:val="0"/>
          <w:numId w:val="32"/>
        </w:numPr>
        <w:spacing w:line="276" w:lineRule="auto"/>
        <w:rPr>
          <w:rFonts w:ascii="Arial" w:hAnsi="Arial" w:cs="Arial"/>
          <w:color w:val="auto"/>
          <w:sz w:val="22"/>
          <w:szCs w:val="22"/>
        </w:rPr>
      </w:pPr>
      <w:r w:rsidRPr="00C01B9B">
        <w:rPr>
          <w:rFonts w:ascii="Arial" w:hAnsi="Arial" w:cs="Arial"/>
          <w:color w:val="auto"/>
          <w:sz w:val="22"/>
          <w:szCs w:val="22"/>
        </w:rPr>
        <w:t xml:space="preserve">Effective March 4, 2024, the following agents will be removed from the MassHealth Brand Name Preferred Over Generic Drug List. </w:t>
      </w:r>
    </w:p>
    <w:p w14:paraId="568D03D5" w14:textId="77777777" w:rsidR="00F50A3D" w:rsidRPr="00C01B9B" w:rsidRDefault="00F50A3D" w:rsidP="00F50A3D">
      <w:pPr>
        <w:pStyle w:val="ListParagraph"/>
        <w:numPr>
          <w:ilvl w:val="0"/>
          <w:numId w:val="34"/>
        </w:numPr>
        <w:spacing w:line="256" w:lineRule="auto"/>
        <w:contextualSpacing/>
        <w:rPr>
          <w:rFonts w:ascii="Arial" w:hAnsi="Arial" w:cs="Arial"/>
          <w:color w:val="000000"/>
          <w:sz w:val="22"/>
          <w:szCs w:val="22"/>
        </w:rPr>
      </w:pPr>
      <w:r w:rsidRPr="00C01B9B">
        <w:rPr>
          <w:rFonts w:ascii="Arial" w:eastAsia="Calibri" w:hAnsi="Arial" w:cs="Arial"/>
          <w:sz w:val="22"/>
          <w:szCs w:val="22"/>
        </w:rPr>
        <w:t xml:space="preserve">Finacea (azelaic acid gel) – </w:t>
      </w:r>
      <w:r w:rsidRPr="00C01B9B">
        <w:rPr>
          <w:rFonts w:ascii="Arial" w:eastAsia="Calibri" w:hAnsi="Arial" w:cs="Arial"/>
          <w:b/>
          <w:bCs/>
          <w:sz w:val="22"/>
          <w:szCs w:val="22"/>
        </w:rPr>
        <w:t>PA</w:t>
      </w:r>
      <w:r w:rsidRPr="00C01B9B">
        <w:rPr>
          <w:rFonts w:ascii="Arial" w:hAnsi="Arial" w:cs="Arial"/>
          <w:sz w:val="22"/>
          <w:szCs w:val="22"/>
        </w:rPr>
        <w:t xml:space="preserve">; A90 </w:t>
      </w:r>
    </w:p>
    <w:p w14:paraId="7AD8F3F8" w14:textId="77777777" w:rsidR="00F50A3D" w:rsidRPr="00C01B9B" w:rsidRDefault="00F50A3D" w:rsidP="00F50A3D">
      <w:pPr>
        <w:pStyle w:val="ListParagraph"/>
        <w:numPr>
          <w:ilvl w:val="0"/>
          <w:numId w:val="34"/>
        </w:numPr>
        <w:spacing w:line="256" w:lineRule="auto"/>
        <w:contextualSpacing/>
        <w:rPr>
          <w:rFonts w:ascii="Arial" w:hAnsi="Arial" w:cs="Arial"/>
          <w:sz w:val="22"/>
          <w:szCs w:val="22"/>
        </w:rPr>
      </w:pPr>
      <w:proofErr w:type="spellStart"/>
      <w:r w:rsidRPr="00C01B9B">
        <w:rPr>
          <w:rFonts w:ascii="Arial" w:hAnsi="Arial" w:cs="Arial"/>
          <w:sz w:val="22"/>
          <w:szCs w:val="22"/>
        </w:rPr>
        <w:t>Lotronex</w:t>
      </w:r>
      <w:proofErr w:type="spellEnd"/>
      <w:r w:rsidRPr="00C01B9B">
        <w:rPr>
          <w:rFonts w:ascii="Arial" w:hAnsi="Arial" w:cs="Arial"/>
          <w:sz w:val="22"/>
          <w:szCs w:val="22"/>
        </w:rPr>
        <w:t xml:space="preserve"> (</w:t>
      </w:r>
      <w:proofErr w:type="spellStart"/>
      <w:r w:rsidRPr="00C01B9B">
        <w:rPr>
          <w:rFonts w:ascii="Arial" w:hAnsi="Arial" w:cs="Arial"/>
          <w:sz w:val="22"/>
          <w:szCs w:val="22"/>
        </w:rPr>
        <w:t>alosetron</w:t>
      </w:r>
      <w:proofErr w:type="spellEnd"/>
      <w:r w:rsidRPr="00C01B9B">
        <w:rPr>
          <w:rFonts w:ascii="Arial" w:hAnsi="Arial" w:cs="Arial"/>
          <w:sz w:val="22"/>
          <w:szCs w:val="22"/>
        </w:rPr>
        <w:t xml:space="preserve">) – </w:t>
      </w:r>
      <w:r w:rsidRPr="00C01B9B">
        <w:rPr>
          <w:rFonts w:ascii="Arial" w:hAnsi="Arial" w:cs="Arial"/>
          <w:b/>
          <w:bCs/>
          <w:sz w:val="22"/>
          <w:szCs w:val="22"/>
        </w:rPr>
        <w:t>PA</w:t>
      </w:r>
      <w:r w:rsidRPr="00C01B9B">
        <w:rPr>
          <w:rFonts w:ascii="Arial" w:hAnsi="Arial" w:cs="Arial"/>
          <w:sz w:val="22"/>
          <w:szCs w:val="22"/>
        </w:rPr>
        <w:t xml:space="preserve"> </w:t>
      </w:r>
    </w:p>
    <w:p w14:paraId="2EC1183E" w14:textId="77777777" w:rsidR="00577107" w:rsidRPr="00C01B9B" w:rsidRDefault="00577107" w:rsidP="00F802E9">
      <w:pPr>
        <w:pStyle w:val="Default"/>
        <w:spacing w:line="276" w:lineRule="auto"/>
        <w:ind w:left="720"/>
        <w:rPr>
          <w:rFonts w:ascii="Arial" w:hAnsi="Arial" w:cs="Arial"/>
          <w:sz w:val="22"/>
          <w:szCs w:val="22"/>
        </w:rPr>
      </w:pPr>
    </w:p>
    <w:p w14:paraId="612DE887" w14:textId="77777777" w:rsidR="005F1473" w:rsidRDefault="005F1473" w:rsidP="005F1473">
      <w:pPr>
        <w:pStyle w:val="BodyText1"/>
        <w:rPr>
          <w:sz w:val="22"/>
          <w:szCs w:val="22"/>
          <w:lang w:val="fr-FR"/>
        </w:rPr>
      </w:pPr>
    </w:p>
    <w:p w14:paraId="28DA17A3" w14:textId="77777777" w:rsidR="005F1473" w:rsidRDefault="005F1473" w:rsidP="005F1473">
      <w:pPr>
        <w:pStyle w:val="BodyText1"/>
        <w:rPr>
          <w:sz w:val="22"/>
          <w:szCs w:val="22"/>
          <w:lang w:val="fr-FR"/>
        </w:rPr>
      </w:pPr>
    </w:p>
    <w:p w14:paraId="34DE5844" w14:textId="77777777" w:rsidR="00F50A3D" w:rsidRDefault="00F50A3D" w:rsidP="005F1473">
      <w:pPr>
        <w:pStyle w:val="BodyText1"/>
        <w:rPr>
          <w:sz w:val="22"/>
          <w:szCs w:val="22"/>
          <w:lang w:val="fr-FR"/>
        </w:rPr>
      </w:pPr>
    </w:p>
    <w:p w14:paraId="5B1A8C33" w14:textId="77777777" w:rsidR="005F1473" w:rsidRPr="00BE1214" w:rsidRDefault="005F1473" w:rsidP="005F1473">
      <w:pPr>
        <w:pStyle w:val="BodyText1"/>
        <w:rPr>
          <w:sz w:val="22"/>
          <w:szCs w:val="22"/>
          <w:lang w:val="fr-FR"/>
        </w:rPr>
        <w:sectPr w:rsidR="005F1473" w:rsidRPr="00BE1214" w:rsidSect="000F28BB">
          <w:headerReference w:type="default" r:id="rId13"/>
          <w:footerReference w:type="default" r:id="rId14"/>
          <w:type w:val="continuous"/>
          <w:pgSz w:w="12240" w:h="15840" w:code="1"/>
          <w:pgMar w:top="360" w:right="907" w:bottom="446" w:left="907" w:header="720" w:footer="288" w:gutter="0"/>
          <w:cols w:num="2" w:sep="1" w:space="720"/>
          <w:docGrid w:linePitch="360"/>
        </w:sectPr>
      </w:pPr>
    </w:p>
    <w:p w14:paraId="5B1A8C46" w14:textId="77777777" w:rsidR="00F512EE" w:rsidRDefault="00F512EE" w:rsidP="00F514D1">
      <w:pPr>
        <w:shd w:val="clear" w:color="auto" w:fill="FFFFFF"/>
        <w:rPr>
          <w:rFonts w:ascii="Arial" w:hAnsi="Arial"/>
          <w:b/>
          <w:bCs/>
          <w:sz w:val="18"/>
          <w:szCs w:val="18"/>
        </w:rPr>
      </w:pPr>
    </w:p>
    <w:p w14:paraId="5B1A8C47" w14:textId="77777777" w:rsidR="00EF7C8A" w:rsidRDefault="00F512EE" w:rsidP="00B645C9">
      <w:pPr>
        <w:shd w:val="clear" w:color="auto" w:fill="FFFFFF"/>
        <w:ind w:left="729" w:hanging="630"/>
        <w:jc w:val="center"/>
        <w:rPr>
          <w:rFonts w:ascii="Arial" w:hAnsi="Arial"/>
          <w:b/>
          <w:bCs/>
          <w:sz w:val="18"/>
          <w:szCs w:val="18"/>
        </w:rPr>
      </w:pPr>
      <w:r>
        <w:rPr>
          <w:rFonts w:ascii="Arial" w:hAnsi="Arial"/>
          <w:b/>
          <w:bCs/>
          <w:sz w:val="18"/>
          <w:szCs w:val="18"/>
        </w:rPr>
        <w:t>L</w:t>
      </w:r>
      <w:r w:rsidR="00EF7C8A" w:rsidRPr="006E1C33">
        <w:rPr>
          <w:rFonts w:ascii="Arial" w:hAnsi="Arial"/>
          <w:b/>
          <w:bCs/>
          <w:sz w:val="18"/>
          <w:szCs w:val="18"/>
        </w:rPr>
        <w:t>egend</w:t>
      </w:r>
    </w:p>
    <w:p w14:paraId="5B1A8C49" w14:textId="77777777" w:rsidR="00F512EE" w:rsidRPr="006E6AFF" w:rsidRDefault="00F512EE" w:rsidP="00782BBD">
      <w:pPr>
        <w:shd w:val="clear" w:color="auto" w:fill="FFFFFF"/>
        <w:tabs>
          <w:tab w:val="left" w:pos="180"/>
          <w:tab w:val="left" w:pos="360"/>
        </w:tabs>
        <w:rPr>
          <w:rFonts w:ascii="Arial" w:hAnsi="Arial"/>
          <w:b/>
          <w:bCs/>
          <w:color w:val="FF0000"/>
          <w:sz w:val="18"/>
          <w:szCs w:val="18"/>
        </w:rPr>
      </w:pPr>
    </w:p>
    <w:p w14:paraId="5B1A8C4A" w14:textId="77777777" w:rsidR="00E50862" w:rsidRDefault="00E50862" w:rsidP="005B15B3">
      <w:pPr>
        <w:shd w:val="clear" w:color="auto" w:fill="FFFFFF"/>
        <w:tabs>
          <w:tab w:val="left" w:pos="180"/>
          <w:tab w:val="left" w:pos="360"/>
        </w:tabs>
        <w:ind w:left="270" w:hanging="360"/>
        <w:rPr>
          <w:rFonts w:ascii="Arial" w:hAnsi="Arial"/>
          <w:bCs/>
          <w:sz w:val="18"/>
          <w:szCs w:val="18"/>
        </w:rPr>
      </w:pPr>
      <w:proofErr w:type="gramStart"/>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prior authorization for the drug in order for the pharmacy to receive payment. Note: PA applies to both the brand-name and the FDA “A”-rated generic equivalent of listed product.</w:t>
      </w:r>
    </w:p>
    <w:p w14:paraId="406D52A0" w14:textId="77777777" w:rsidR="00F4479E" w:rsidRDefault="00F4479E" w:rsidP="005B15B3">
      <w:pPr>
        <w:shd w:val="clear" w:color="auto" w:fill="FFFFFF"/>
        <w:tabs>
          <w:tab w:val="left" w:pos="180"/>
          <w:tab w:val="left" w:pos="360"/>
        </w:tabs>
        <w:ind w:left="270" w:hanging="360"/>
        <w:rPr>
          <w:rFonts w:ascii="Arial" w:hAnsi="Arial"/>
          <w:bCs/>
          <w:sz w:val="18"/>
          <w:szCs w:val="18"/>
        </w:rPr>
      </w:pPr>
    </w:p>
    <w:p w14:paraId="66021865" w14:textId="40A85B47" w:rsidR="00F4479E" w:rsidRDefault="00F4479E" w:rsidP="005B15B3">
      <w:pPr>
        <w:shd w:val="clear" w:color="auto" w:fill="FFFFFF"/>
        <w:tabs>
          <w:tab w:val="left" w:pos="180"/>
          <w:tab w:val="left" w:pos="360"/>
        </w:tabs>
        <w:ind w:left="270" w:hanging="360"/>
        <w:rPr>
          <w:rFonts w:ascii="Arial" w:hAnsi="Arial"/>
          <w:bCs/>
          <w:sz w:val="18"/>
          <w:szCs w:val="18"/>
        </w:rPr>
      </w:pPr>
      <w:r w:rsidRPr="00F4479E">
        <w:rPr>
          <w:rFonts w:ascii="Arial" w:hAnsi="Arial"/>
          <w:b/>
          <w:sz w:val="22"/>
          <w:szCs w:val="22"/>
          <w:vertAlign w:val="superscript"/>
        </w:rPr>
        <w:t>CP</w:t>
      </w:r>
      <w:r w:rsidRPr="00F4479E">
        <w:rPr>
          <w:rFonts w:ascii="Arial" w:hAnsi="Arial"/>
          <w:bCs/>
          <w:sz w:val="18"/>
          <w:szCs w:val="18"/>
        </w:rPr>
        <w:t xml:space="preserve"> </w:t>
      </w:r>
      <w:r>
        <w:rPr>
          <w:rFonts w:ascii="Arial" w:hAnsi="Arial"/>
          <w:bCs/>
          <w:sz w:val="18"/>
          <w:szCs w:val="18"/>
        </w:rPr>
        <w:t xml:space="preserve">  </w:t>
      </w:r>
      <w:r w:rsidRPr="00F4479E">
        <w:rPr>
          <w:rFonts w:ascii="Arial" w:hAnsi="Arial"/>
          <w:bCs/>
          <w:sz w:val="18"/>
          <w:szCs w:val="18"/>
        </w:rPr>
        <w:t>Compounded pharmaceutical products with a total allowed ingredient cost greater than or equal to $100 require PA. In addition, compounded pharmaceutical products with topical route or transdermal route of administration (ROA) require PA. The following ROAs are excluded from the PA requirement for products with a total allowed ingredient cost greater than or equal to $100: infusion, intravenous, intravenous piggyback, intravenous push, subcutaneous. Compounded pharmaceutical products utilizing any PA-requiring agent or not covered ingredient as part of the compound require PA.</w:t>
      </w:r>
    </w:p>
    <w:p w14:paraId="22946059" w14:textId="77777777" w:rsidR="00105959" w:rsidRDefault="00105959" w:rsidP="005B15B3">
      <w:pPr>
        <w:shd w:val="clear" w:color="auto" w:fill="FFFFFF"/>
        <w:tabs>
          <w:tab w:val="left" w:pos="180"/>
          <w:tab w:val="left" w:pos="360"/>
        </w:tabs>
        <w:ind w:left="270" w:hanging="360"/>
        <w:rPr>
          <w:rFonts w:ascii="Arial" w:hAnsi="Arial"/>
          <w:bCs/>
          <w:sz w:val="18"/>
          <w:szCs w:val="18"/>
        </w:rPr>
      </w:pPr>
    </w:p>
    <w:p w14:paraId="53F8D74F" w14:textId="174496C9" w:rsidR="00105959" w:rsidRPr="00105959" w:rsidRDefault="00105959" w:rsidP="00105959">
      <w:pPr>
        <w:shd w:val="clear" w:color="auto" w:fill="FFFFFF"/>
        <w:tabs>
          <w:tab w:val="left" w:pos="180"/>
          <w:tab w:val="left" w:pos="360"/>
        </w:tabs>
        <w:ind w:left="270" w:hanging="360"/>
        <w:rPr>
          <w:rFonts w:ascii="Arial" w:hAnsi="Arial"/>
          <w:b/>
          <w:bCs/>
          <w:sz w:val="18"/>
          <w:szCs w:val="18"/>
        </w:rPr>
      </w:pPr>
      <w:proofErr w:type="gramStart"/>
      <w:r w:rsidRPr="00105959">
        <w:rPr>
          <w:rFonts w:ascii="Arial" w:hAnsi="Arial"/>
          <w:b/>
          <w:sz w:val="22"/>
          <w:szCs w:val="22"/>
          <w:vertAlign w:val="superscript"/>
        </w:rPr>
        <w:t>MB</w:t>
      </w:r>
      <w:r w:rsidRPr="00105959">
        <w:rPr>
          <w:rFonts w:ascii="Arial" w:hAnsi="Arial"/>
          <w:b/>
          <w:bCs/>
          <w:sz w:val="18"/>
          <w:szCs w:val="18"/>
        </w:rPr>
        <w:t xml:space="preserve"> </w:t>
      </w:r>
      <w:r>
        <w:rPr>
          <w:rFonts w:ascii="Arial" w:hAnsi="Arial"/>
          <w:b/>
          <w:bCs/>
          <w:sz w:val="18"/>
          <w:szCs w:val="18"/>
        </w:rPr>
        <w:t xml:space="preserve"> </w:t>
      </w:r>
      <w:r w:rsidRPr="00105959">
        <w:rPr>
          <w:rFonts w:ascii="Arial" w:hAnsi="Arial"/>
          <w:bCs/>
          <w:sz w:val="18"/>
          <w:szCs w:val="18"/>
        </w:rPr>
        <w:t>This</w:t>
      </w:r>
      <w:proofErr w:type="gramEnd"/>
      <w:r w:rsidRPr="00105959">
        <w:rPr>
          <w:rFonts w:ascii="Arial" w:hAnsi="Arial"/>
          <w:bCs/>
          <w:sz w:val="18"/>
          <w:szCs w:val="18"/>
        </w:rPr>
        <w:t xml:space="preserve">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w:t>
      </w:r>
      <w:r w:rsidRPr="00105959">
        <w:rPr>
          <w:rFonts w:ascii="Arial" w:hAnsi="Arial"/>
          <w:bCs/>
          <w:sz w:val="18"/>
          <w:szCs w:val="18"/>
        </w:rPr>
        <w:t>respective MassHealth Accountable Care Partnership Plans (ACPPs) and Managed Care Organizations (MCOs) for PA status and criteria, if applicable.</w:t>
      </w:r>
    </w:p>
    <w:p w14:paraId="5B1A8C4B" w14:textId="77777777" w:rsidR="009D6D73" w:rsidRDefault="009D6D73" w:rsidP="00105959">
      <w:pPr>
        <w:shd w:val="clear" w:color="auto" w:fill="FFFFFF"/>
        <w:tabs>
          <w:tab w:val="left" w:pos="360"/>
        </w:tabs>
        <w:rPr>
          <w:rFonts w:ascii="Arial" w:hAnsi="Arial"/>
          <w:bCs/>
          <w:sz w:val="18"/>
          <w:szCs w:val="18"/>
        </w:rPr>
      </w:pPr>
    </w:p>
    <w:p w14:paraId="5B1A8C4C" w14:textId="77777777"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D</w:t>
      </w:r>
      <w:r w:rsidRPr="009D6D73">
        <w:rPr>
          <w:rFonts w:ascii="Arial" w:hAnsi="Arial"/>
          <w:bCs/>
          <w:sz w:val="18"/>
          <w:szCs w:val="18"/>
        </w:rPr>
        <w:t>esignates a brand-name drug with FDA “A”-rated generic equivalents. </w:t>
      </w:r>
      <w:bookmarkStart w:id="2" w:name="Prior_Authorization"/>
      <w:r w:rsidRPr="009D6D73">
        <w:rPr>
          <w:rFonts w:ascii="Arial" w:hAnsi="Arial"/>
          <w:bCs/>
          <w:sz w:val="18"/>
          <w:szCs w:val="18"/>
        </w:rPr>
        <w:t>Prior authorization</w:t>
      </w:r>
      <w:bookmarkEnd w:id="2"/>
      <w:r w:rsidRPr="009D6D73">
        <w:rPr>
          <w:rFonts w:ascii="Arial" w:hAnsi="Arial"/>
          <w:bCs/>
          <w:sz w:val="18"/>
          <w:szCs w:val="18"/>
        </w:rPr>
        <w:t xml:space="preserve"> is required for the brand, unless a particular form of that drug (for example, tablet, capsule, or liquid) does not have an FDA “A”-rated generic equivalent. </w:t>
      </w:r>
    </w:p>
    <w:p w14:paraId="5B1A8C4D"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5B1A8C4E" w14:textId="77777777" w:rsidR="00212622" w:rsidRDefault="00E50862" w:rsidP="00212622">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5B1A8C4F" w14:textId="77777777" w:rsidR="00212622" w:rsidRPr="00B7371B" w:rsidRDefault="00212622" w:rsidP="00212622">
      <w:pPr>
        <w:shd w:val="clear" w:color="auto" w:fill="FFFFFF"/>
        <w:ind w:left="270" w:hanging="441"/>
        <w:rPr>
          <w:rFonts w:ascii="Arial" w:hAnsi="Arial"/>
          <w:b/>
          <w:sz w:val="22"/>
          <w:szCs w:val="22"/>
          <w:vertAlign w:val="superscript"/>
        </w:rPr>
      </w:pPr>
    </w:p>
    <w:p w14:paraId="5B1A8C51" w14:textId="48B60380" w:rsidR="00212622" w:rsidRPr="00B7371B" w:rsidRDefault="00B7371B" w:rsidP="00B7371B">
      <w:pPr>
        <w:shd w:val="clear" w:color="auto" w:fill="FFFFFF"/>
        <w:ind w:left="270" w:hanging="441"/>
        <w:rPr>
          <w:rFonts w:ascii="Arial" w:hAnsi="Arial"/>
          <w:b/>
          <w:sz w:val="22"/>
          <w:szCs w:val="22"/>
          <w:vertAlign w:val="superscript"/>
        </w:rPr>
      </w:pPr>
      <w:r w:rsidRPr="00B7371B">
        <w:rPr>
          <w:rFonts w:ascii="Arial" w:hAnsi="Arial"/>
          <w:b/>
          <w:sz w:val="22"/>
          <w:szCs w:val="22"/>
          <w:vertAlign w:val="superscript"/>
        </w:rPr>
        <w:t>A90</w:t>
      </w:r>
      <w:r>
        <w:rPr>
          <w:rFonts w:ascii="Arial" w:hAnsi="Arial"/>
          <w:b/>
          <w:sz w:val="22"/>
          <w:szCs w:val="22"/>
          <w:vertAlign w:val="superscript"/>
        </w:rPr>
        <w:t xml:space="preserve">   </w:t>
      </w:r>
      <w:r w:rsidRPr="00B7371B">
        <w:rPr>
          <w:rFonts w:ascii="Arial" w:hAnsi="Arial"/>
          <w:b/>
          <w:sz w:val="22"/>
          <w:szCs w:val="22"/>
          <w:vertAlign w:val="superscript"/>
        </w:rPr>
        <w:t xml:space="preserve"> </w:t>
      </w:r>
      <w:r w:rsidRPr="00B7371B">
        <w:rPr>
          <w:rFonts w:ascii="Arial" w:hAnsi="Arial"/>
          <w:bCs/>
          <w:sz w:val="18"/>
          <w:szCs w:val="18"/>
        </w:rPr>
        <w:t>Allowable 90-day supply. Dispensing in up to a 90-day supply is allowed. May not include all strengths or formulations. Quantity limits and other restrictions may apply.</w:t>
      </w:r>
    </w:p>
    <w:p w14:paraId="5B1A8C52" w14:textId="0EE31233" w:rsidR="00212622" w:rsidRPr="00336083" w:rsidRDefault="00EA65AE" w:rsidP="00336083">
      <w:pPr>
        <w:shd w:val="clear" w:color="auto" w:fill="FFFFFF"/>
        <w:ind w:left="270" w:hanging="441"/>
        <w:rPr>
          <w:rFonts w:ascii="Arial" w:eastAsia="Calibri" w:hAnsi="Arial" w:cs="Arial"/>
          <w:sz w:val="18"/>
          <w:szCs w:val="18"/>
        </w:rPr>
      </w:pPr>
      <w:r w:rsidRPr="00194A9F">
        <w:rPr>
          <w:rFonts w:cs="Arial"/>
          <w:b/>
          <w:sz w:val="22"/>
          <w:szCs w:val="22"/>
          <w:vertAlign w:val="superscript"/>
        </w:rPr>
        <w:t>CO</w:t>
      </w:r>
      <w:r w:rsidR="00212622" w:rsidRPr="00B645C9">
        <w:rPr>
          <w:rFonts w:ascii="Arial" w:hAnsi="Arial"/>
          <w:b/>
          <w:sz w:val="18"/>
          <w:szCs w:val="18"/>
          <w:vertAlign w:val="superscript"/>
        </w:rPr>
        <w:t xml:space="preserve">    </w:t>
      </w:r>
      <w:r w:rsidR="00212622">
        <w:rPr>
          <w:rFonts w:ascii="Arial" w:hAnsi="Arial"/>
          <w:bCs/>
          <w:sz w:val="18"/>
          <w:szCs w:val="18"/>
          <w:vertAlign w:val="superscript"/>
        </w:rPr>
        <w:tab/>
      </w:r>
      <w:r w:rsidR="00336083" w:rsidRPr="00336083">
        <w:rPr>
          <w:rFonts w:ascii="Arial" w:eastAsia="Calibri" w:hAnsi="Arial" w:cs="Arial"/>
          <w:sz w:val="18"/>
          <w:szCs w:val="18"/>
        </w:rPr>
        <w:t>Carve-Out. This agent is listed on the Acute Hospital Carve-Out Drugs List and is subject to additional monitoring and billing requirements.</w:t>
      </w:r>
    </w:p>
    <w:p w14:paraId="5B1A8C53" w14:textId="77777777" w:rsidR="00212622" w:rsidRPr="0041065E" w:rsidRDefault="00212622" w:rsidP="00212622">
      <w:pPr>
        <w:shd w:val="clear" w:color="auto" w:fill="FFFFFF"/>
        <w:ind w:left="270" w:hanging="441"/>
        <w:rPr>
          <w:rFonts w:ascii="Arial" w:hAnsi="Arial" w:cs="Arial"/>
          <w:b/>
          <w:sz w:val="18"/>
          <w:szCs w:val="18"/>
          <w:vertAlign w:val="superscript"/>
        </w:rPr>
      </w:pPr>
    </w:p>
    <w:p w14:paraId="5B1A8C54" w14:textId="44C65D91" w:rsidR="00212622" w:rsidRPr="005B15B3" w:rsidRDefault="00C10424" w:rsidP="00212622">
      <w:pPr>
        <w:shd w:val="clear" w:color="auto" w:fill="FFFFFF"/>
        <w:ind w:left="270" w:hanging="441"/>
        <w:rPr>
          <w:rFonts w:ascii="Arial" w:hAnsi="Arial"/>
          <w:bCs/>
          <w:sz w:val="18"/>
          <w:szCs w:val="18"/>
        </w:rPr>
      </w:pPr>
      <w:r w:rsidRPr="00194A9F">
        <w:rPr>
          <w:rFonts w:cs="Arial"/>
          <w:b/>
          <w:sz w:val="22"/>
          <w:szCs w:val="22"/>
          <w:vertAlign w:val="superscript"/>
        </w:rPr>
        <w:t>M90</w:t>
      </w:r>
      <w:r w:rsidR="00212622">
        <w:rPr>
          <w:rFonts w:ascii="Arial" w:hAnsi="Arial" w:cs="Arial"/>
          <w:sz w:val="18"/>
          <w:szCs w:val="18"/>
          <w:vertAlign w:val="superscript"/>
        </w:rPr>
        <w:t xml:space="preserve">    </w:t>
      </w:r>
      <w:r w:rsidR="00212622">
        <w:rPr>
          <w:rFonts w:ascii="Arial" w:hAnsi="Arial" w:cs="Arial"/>
          <w:bCs/>
          <w:sz w:val="18"/>
          <w:szCs w:val="18"/>
        </w:rPr>
        <w:t xml:space="preserve"> </w:t>
      </w:r>
      <w:r w:rsidR="00F514D1" w:rsidRPr="00F514D1">
        <w:rPr>
          <w:rFonts w:ascii="Arial" w:eastAsia="Calibri" w:hAnsi="Arial" w:cs="Arial"/>
          <w:sz w:val="18"/>
          <w:szCs w:val="18"/>
        </w:rPr>
        <w:t>Mandatory 90-day supply. After dispensing up to a 30-day supply initial fill, dispensing in a 90-day supply is required. May not include all strengths or formulations. Quantity limits and other restrictions may also apply.</w:t>
      </w:r>
    </w:p>
    <w:p w14:paraId="5B1A8C55" w14:textId="77777777" w:rsidR="00212622" w:rsidRDefault="00212622" w:rsidP="00212622">
      <w:pPr>
        <w:shd w:val="clear" w:color="auto" w:fill="FFFFFF"/>
        <w:tabs>
          <w:tab w:val="left" w:pos="360"/>
        </w:tabs>
        <w:ind w:left="729" w:hanging="630"/>
        <w:rPr>
          <w:rFonts w:ascii="Arial" w:hAnsi="Arial"/>
          <w:bCs/>
          <w:sz w:val="18"/>
          <w:szCs w:val="18"/>
        </w:rPr>
      </w:pPr>
    </w:p>
    <w:p w14:paraId="5B1A8C59" w14:textId="77777777" w:rsidR="0041065E" w:rsidRPr="0041065E" w:rsidRDefault="0041065E" w:rsidP="0041065E">
      <w:pPr>
        <w:shd w:val="clear" w:color="auto" w:fill="FFFFFF"/>
        <w:ind w:left="270" w:hanging="441"/>
        <w:rPr>
          <w:bCs/>
          <w:sz w:val="18"/>
          <w:szCs w:val="18"/>
        </w:rPr>
      </w:pPr>
    </w:p>
    <w:p w14:paraId="5B1A8C5A" w14:textId="77777777" w:rsidR="0041065E" w:rsidRDefault="0041065E" w:rsidP="00212622">
      <w:pPr>
        <w:shd w:val="clear" w:color="auto" w:fill="FFFFFF"/>
        <w:ind w:left="270" w:hanging="441"/>
        <w:rPr>
          <w:bCs/>
          <w:sz w:val="18"/>
          <w:szCs w:val="18"/>
        </w:rPr>
        <w:sectPr w:rsidR="0041065E" w:rsidSect="000F28BB">
          <w:footerReference w:type="default" r:id="rId15"/>
          <w:type w:val="continuous"/>
          <w:pgSz w:w="12240" w:h="15840" w:code="1"/>
          <w:pgMar w:top="360" w:right="907" w:bottom="432" w:left="907" w:header="720" w:footer="576" w:gutter="0"/>
          <w:cols w:num="2" w:sep="1" w:space="720"/>
          <w:docGrid w:linePitch="360"/>
        </w:sectPr>
      </w:pPr>
    </w:p>
    <w:p w14:paraId="5B1A8C5B" w14:textId="77777777" w:rsidR="00A650DC" w:rsidRPr="001721D8" w:rsidRDefault="00A650DC" w:rsidP="00375713">
      <w:pPr>
        <w:tabs>
          <w:tab w:val="left" w:pos="1606"/>
        </w:tabs>
      </w:pPr>
    </w:p>
    <w:sectPr w:rsidR="00A650DC" w:rsidRPr="001721D8" w:rsidSect="000F28BB">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3A4B" w14:textId="77777777" w:rsidR="000F28BB" w:rsidRDefault="000F28BB" w:rsidP="00492602">
      <w:r>
        <w:separator/>
      </w:r>
    </w:p>
  </w:endnote>
  <w:endnote w:type="continuationSeparator" w:id="0">
    <w:p w14:paraId="6F5DE6EF" w14:textId="77777777" w:rsidR="000F28BB" w:rsidRDefault="000F28BB"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B" w14:textId="77777777" w:rsidR="00637A67" w:rsidRPr="003C1739" w:rsidRDefault="00637A67" w:rsidP="003C1739">
    <w:pPr>
      <w:pStyle w:val="Footer"/>
      <w:pBdr>
        <w:top w:val="single" w:sz="18" w:space="1" w:color="auto"/>
      </w:pBdr>
      <w:tabs>
        <w:tab w:val="clear" w:pos="4680"/>
        <w:tab w:val="clear" w:pos="9360"/>
        <w:tab w:val="left" w:pos="3840"/>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C" w14:textId="77777777"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5B1A8C6D" w14:textId="77777777" w:rsidR="003C1739" w:rsidRPr="00E95805" w:rsidRDefault="00F4479E" w:rsidP="00E95805">
    <w:pPr>
      <w:pStyle w:val="Footer"/>
      <w:jc w:val="center"/>
    </w:pPr>
    <w:hyperlink r:id="rId1" w:history="1">
      <w:r w:rsidR="00E95805" w:rsidRPr="00386AF8">
        <w:rPr>
          <w:rStyle w:val="Hyperlink"/>
          <w:rFonts w:ascii="Arial" w:hAnsi="Arial" w:cs="Arial"/>
          <w:iCs/>
          <w:sz w:val="18"/>
          <w:szCs w:val="18"/>
        </w:rPr>
        <w:t>PharmFactsMA@Conduent.com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270B" w14:textId="77777777" w:rsidR="000F28BB" w:rsidRDefault="000F28BB" w:rsidP="00492602">
      <w:r>
        <w:separator/>
      </w:r>
    </w:p>
  </w:footnote>
  <w:footnote w:type="continuationSeparator" w:id="0">
    <w:p w14:paraId="7AAC2A11" w14:textId="77777777" w:rsidR="000F28BB" w:rsidRDefault="000F28BB"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Default="00492602" w:rsidP="00492602">
    <w:pPr>
      <w:pStyle w:val="Header"/>
    </w:pPr>
  </w:p>
  <w:p w14:paraId="5B1A8C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A" w14:textId="7C5A1612"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4104D5" w:rsidRPr="005B56D4">
      <w:rPr>
        <w:color w:val="auto"/>
        <w:sz w:val="18"/>
        <w:szCs w:val="18"/>
      </w:rPr>
      <w:t>222</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D44E8">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683872">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209FE"/>
    <w:multiLevelType w:val="hybridMultilevel"/>
    <w:tmpl w:val="F0D6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26BBF"/>
    <w:multiLevelType w:val="hybridMultilevel"/>
    <w:tmpl w:val="0130D3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88255C"/>
    <w:multiLevelType w:val="hybridMultilevel"/>
    <w:tmpl w:val="90605E26"/>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92D18"/>
    <w:multiLevelType w:val="hybridMultilevel"/>
    <w:tmpl w:val="E6803D9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C4BB8"/>
    <w:multiLevelType w:val="hybridMultilevel"/>
    <w:tmpl w:val="8266E9C2"/>
    <w:lvl w:ilvl="0" w:tplc="8020DB58">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27707"/>
    <w:multiLevelType w:val="hybridMultilevel"/>
    <w:tmpl w:val="A7365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8432135">
    <w:abstractNumId w:val="13"/>
  </w:num>
  <w:num w:numId="2" w16cid:durableId="485777596">
    <w:abstractNumId w:val="18"/>
  </w:num>
  <w:num w:numId="3" w16cid:durableId="2124108017">
    <w:abstractNumId w:val="22"/>
  </w:num>
  <w:num w:numId="4" w16cid:durableId="2130008051">
    <w:abstractNumId w:val="9"/>
  </w:num>
  <w:num w:numId="5" w16cid:durableId="1205603724">
    <w:abstractNumId w:val="12"/>
  </w:num>
  <w:num w:numId="6" w16cid:durableId="2010867690">
    <w:abstractNumId w:val="17"/>
  </w:num>
  <w:num w:numId="7" w16cid:durableId="816608610">
    <w:abstractNumId w:val="23"/>
  </w:num>
  <w:num w:numId="8" w16cid:durableId="2076660891">
    <w:abstractNumId w:val="4"/>
  </w:num>
  <w:num w:numId="9" w16cid:durableId="1939360783">
    <w:abstractNumId w:val="0"/>
  </w:num>
  <w:num w:numId="10" w16cid:durableId="425537424">
    <w:abstractNumId w:val="20"/>
  </w:num>
  <w:num w:numId="11" w16cid:durableId="80307940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108511">
    <w:abstractNumId w:val="6"/>
  </w:num>
  <w:num w:numId="13" w16cid:durableId="161245177">
    <w:abstractNumId w:val="22"/>
  </w:num>
  <w:num w:numId="14" w16cid:durableId="179490683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763806">
    <w:abstractNumId w:val="17"/>
  </w:num>
  <w:num w:numId="16" w16cid:durableId="109932532">
    <w:abstractNumId w:val="19"/>
  </w:num>
  <w:num w:numId="17" w16cid:durableId="500629838">
    <w:abstractNumId w:val="3"/>
  </w:num>
  <w:num w:numId="18" w16cid:durableId="380635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3273">
    <w:abstractNumId w:val="7"/>
  </w:num>
  <w:num w:numId="20" w16cid:durableId="1964537488">
    <w:abstractNumId w:val="5"/>
  </w:num>
  <w:num w:numId="21" w16cid:durableId="576017535">
    <w:abstractNumId w:val="11"/>
  </w:num>
  <w:num w:numId="22" w16cid:durableId="909194736">
    <w:abstractNumId w:val="24"/>
  </w:num>
  <w:num w:numId="23" w16cid:durableId="345792937">
    <w:abstractNumId w:val="25"/>
  </w:num>
  <w:num w:numId="24" w16cid:durableId="338586529">
    <w:abstractNumId w:val="16"/>
  </w:num>
  <w:num w:numId="25" w16cid:durableId="1477721350">
    <w:abstractNumId w:val="21"/>
  </w:num>
  <w:num w:numId="26" w16cid:durableId="333996613">
    <w:abstractNumId w:val="2"/>
  </w:num>
  <w:num w:numId="27" w16cid:durableId="750473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8682357">
    <w:abstractNumId w:val="18"/>
  </w:num>
  <w:num w:numId="29" w16cid:durableId="727458331">
    <w:abstractNumId w:val="9"/>
  </w:num>
  <w:num w:numId="30" w16cid:durableId="409885557">
    <w:abstractNumId w:val="26"/>
  </w:num>
  <w:num w:numId="31" w16cid:durableId="145694722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256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3911172">
    <w:abstractNumId w:val="17"/>
  </w:num>
  <w:num w:numId="34" w16cid:durableId="655764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609"/>
    <w:rsid w:val="0003148F"/>
    <w:rsid w:val="00054839"/>
    <w:rsid w:val="000579EB"/>
    <w:rsid w:val="00063DDE"/>
    <w:rsid w:val="000713D3"/>
    <w:rsid w:val="000735C4"/>
    <w:rsid w:val="00074014"/>
    <w:rsid w:val="00081E8E"/>
    <w:rsid w:val="000A440A"/>
    <w:rsid w:val="000A6318"/>
    <w:rsid w:val="000A6674"/>
    <w:rsid w:val="000D1502"/>
    <w:rsid w:val="000F28BB"/>
    <w:rsid w:val="000F5C22"/>
    <w:rsid w:val="00105959"/>
    <w:rsid w:val="0012267D"/>
    <w:rsid w:val="00123D58"/>
    <w:rsid w:val="00137D3D"/>
    <w:rsid w:val="00140D08"/>
    <w:rsid w:val="00147437"/>
    <w:rsid w:val="00157A49"/>
    <w:rsid w:val="00171445"/>
    <w:rsid w:val="001721D8"/>
    <w:rsid w:val="00172862"/>
    <w:rsid w:val="0018357E"/>
    <w:rsid w:val="001864A9"/>
    <w:rsid w:val="001A125B"/>
    <w:rsid w:val="001C1481"/>
    <w:rsid w:val="001C40E8"/>
    <w:rsid w:val="001E4560"/>
    <w:rsid w:val="001E779F"/>
    <w:rsid w:val="0021214A"/>
    <w:rsid w:val="00212622"/>
    <w:rsid w:val="0021661A"/>
    <w:rsid w:val="002275AE"/>
    <w:rsid w:val="00230996"/>
    <w:rsid w:val="002509E9"/>
    <w:rsid w:val="00265457"/>
    <w:rsid w:val="002727AB"/>
    <w:rsid w:val="00276F3A"/>
    <w:rsid w:val="00286CBE"/>
    <w:rsid w:val="00291397"/>
    <w:rsid w:val="002C0462"/>
    <w:rsid w:val="002C7C67"/>
    <w:rsid w:val="002D390F"/>
    <w:rsid w:val="002D3BB5"/>
    <w:rsid w:val="002D3C44"/>
    <w:rsid w:val="002D738C"/>
    <w:rsid w:val="002E2F9E"/>
    <w:rsid w:val="002E3C7E"/>
    <w:rsid w:val="002F4E7B"/>
    <w:rsid w:val="003152DA"/>
    <w:rsid w:val="003300E4"/>
    <w:rsid w:val="0033053B"/>
    <w:rsid w:val="00334D14"/>
    <w:rsid w:val="00336083"/>
    <w:rsid w:val="00345DEC"/>
    <w:rsid w:val="00360067"/>
    <w:rsid w:val="0036178C"/>
    <w:rsid w:val="0036343A"/>
    <w:rsid w:val="0037373E"/>
    <w:rsid w:val="00375713"/>
    <w:rsid w:val="00380D6D"/>
    <w:rsid w:val="00382054"/>
    <w:rsid w:val="00387C1F"/>
    <w:rsid w:val="003911FC"/>
    <w:rsid w:val="003A2BC9"/>
    <w:rsid w:val="003B6839"/>
    <w:rsid w:val="003C1739"/>
    <w:rsid w:val="003D2B74"/>
    <w:rsid w:val="003F533B"/>
    <w:rsid w:val="004104D5"/>
    <w:rsid w:val="0041065E"/>
    <w:rsid w:val="00447A5F"/>
    <w:rsid w:val="00453E30"/>
    <w:rsid w:val="00453F3E"/>
    <w:rsid w:val="00456B5A"/>
    <w:rsid w:val="004664D3"/>
    <w:rsid w:val="00477916"/>
    <w:rsid w:val="0048302A"/>
    <w:rsid w:val="004910B8"/>
    <w:rsid w:val="00492602"/>
    <w:rsid w:val="004A160E"/>
    <w:rsid w:val="004A3BAA"/>
    <w:rsid w:val="004A7395"/>
    <w:rsid w:val="004B4FC9"/>
    <w:rsid w:val="004C18F4"/>
    <w:rsid w:val="004D1BC7"/>
    <w:rsid w:val="004D79B2"/>
    <w:rsid w:val="004F5612"/>
    <w:rsid w:val="005052D9"/>
    <w:rsid w:val="00513E46"/>
    <w:rsid w:val="00516394"/>
    <w:rsid w:val="00516764"/>
    <w:rsid w:val="0052118E"/>
    <w:rsid w:val="00527F95"/>
    <w:rsid w:val="005314A6"/>
    <w:rsid w:val="0053359A"/>
    <w:rsid w:val="005502E1"/>
    <w:rsid w:val="0056481B"/>
    <w:rsid w:val="0057156C"/>
    <w:rsid w:val="00571898"/>
    <w:rsid w:val="00574ECE"/>
    <w:rsid w:val="00574F07"/>
    <w:rsid w:val="0057528C"/>
    <w:rsid w:val="00577107"/>
    <w:rsid w:val="00581E50"/>
    <w:rsid w:val="005835F0"/>
    <w:rsid w:val="005842A0"/>
    <w:rsid w:val="0059516B"/>
    <w:rsid w:val="005958DD"/>
    <w:rsid w:val="005A57BA"/>
    <w:rsid w:val="005B15B3"/>
    <w:rsid w:val="005B25B1"/>
    <w:rsid w:val="005B56D4"/>
    <w:rsid w:val="005C7622"/>
    <w:rsid w:val="005D723D"/>
    <w:rsid w:val="005D7AFE"/>
    <w:rsid w:val="005F1473"/>
    <w:rsid w:val="005F1DD0"/>
    <w:rsid w:val="00607CFA"/>
    <w:rsid w:val="00623469"/>
    <w:rsid w:val="00634C49"/>
    <w:rsid w:val="00637A67"/>
    <w:rsid w:val="00650095"/>
    <w:rsid w:val="00651CA7"/>
    <w:rsid w:val="00661414"/>
    <w:rsid w:val="006615EC"/>
    <w:rsid w:val="00673F96"/>
    <w:rsid w:val="00674418"/>
    <w:rsid w:val="00674428"/>
    <w:rsid w:val="00683872"/>
    <w:rsid w:val="00686C26"/>
    <w:rsid w:val="00690023"/>
    <w:rsid w:val="00696F48"/>
    <w:rsid w:val="0069772F"/>
    <w:rsid w:val="006D3B5F"/>
    <w:rsid w:val="006E0C20"/>
    <w:rsid w:val="006E22A3"/>
    <w:rsid w:val="006E5D46"/>
    <w:rsid w:val="006E6AFF"/>
    <w:rsid w:val="006E6EB3"/>
    <w:rsid w:val="006E7A9B"/>
    <w:rsid w:val="006F35F9"/>
    <w:rsid w:val="00704A67"/>
    <w:rsid w:val="007319D7"/>
    <w:rsid w:val="00731FAF"/>
    <w:rsid w:val="007400F4"/>
    <w:rsid w:val="007426BF"/>
    <w:rsid w:val="00760FDF"/>
    <w:rsid w:val="007757E7"/>
    <w:rsid w:val="00781D3B"/>
    <w:rsid w:val="00782BBD"/>
    <w:rsid w:val="007A41F5"/>
    <w:rsid w:val="007B2F2D"/>
    <w:rsid w:val="007B4429"/>
    <w:rsid w:val="007B7425"/>
    <w:rsid w:val="007E4380"/>
    <w:rsid w:val="007F5417"/>
    <w:rsid w:val="00804116"/>
    <w:rsid w:val="00812480"/>
    <w:rsid w:val="00821937"/>
    <w:rsid w:val="008340D0"/>
    <w:rsid w:val="008403CA"/>
    <w:rsid w:val="0085395A"/>
    <w:rsid w:val="00853F8E"/>
    <w:rsid w:val="0086142C"/>
    <w:rsid w:val="008712B3"/>
    <w:rsid w:val="00872E7F"/>
    <w:rsid w:val="00880FA9"/>
    <w:rsid w:val="008930F1"/>
    <w:rsid w:val="00893F45"/>
    <w:rsid w:val="008C5414"/>
    <w:rsid w:val="008E5BD3"/>
    <w:rsid w:val="008F0130"/>
    <w:rsid w:val="008F2E4C"/>
    <w:rsid w:val="0090005E"/>
    <w:rsid w:val="00905C46"/>
    <w:rsid w:val="00906EEC"/>
    <w:rsid w:val="009166DF"/>
    <w:rsid w:val="009204C7"/>
    <w:rsid w:val="00922030"/>
    <w:rsid w:val="0093532E"/>
    <w:rsid w:val="00941258"/>
    <w:rsid w:val="00942245"/>
    <w:rsid w:val="00945279"/>
    <w:rsid w:val="00956812"/>
    <w:rsid w:val="00963957"/>
    <w:rsid w:val="009725E5"/>
    <w:rsid w:val="00974CFD"/>
    <w:rsid w:val="00980D0C"/>
    <w:rsid w:val="00981567"/>
    <w:rsid w:val="00983A93"/>
    <w:rsid w:val="009C3981"/>
    <w:rsid w:val="009C3CFF"/>
    <w:rsid w:val="009D1341"/>
    <w:rsid w:val="009D6D73"/>
    <w:rsid w:val="009D79C6"/>
    <w:rsid w:val="009E55A1"/>
    <w:rsid w:val="009F0440"/>
    <w:rsid w:val="009F0526"/>
    <w:rsid w:val="00A01DE3"/>
    <w:rsid w:val="00A11371"/>
    <w:rsid w:val="00A120E1"/>
    <w:rsid w:val="00A31FAA"/>
    <w:rsid w:val="00A343A9"/>
    <w:rsid w:val="00A3619B"/>
    <w:rsid w:val="00A37FDB"/>
    <w:rsid w:val="00A5239C"/>
    <w:rsid w:val="00A53DE5"/>
    <w:rsid w:val="00A650DC"/>
    <w:rsid w:val="00A6764A"/>
    <w:rsid w:val="00A84255"/>
    <w:rsid w:val="00A93734"/>
    <w:rsid w:val="00AA7FBC"/>
    <w:rsid w:val="00AB6325"/>
    <w:rsid w:val="00AC1AC7"/>
    <w:rsid w:val="00AD18B8"/>
    <w:rsid w:val="00AD33D5"/>
    <w:rsid w:val="00AE21FC"/>
    <w:rsid w:val="00AE7072"/>
    <w:rsid w:val="00B01BAA"/>
    <w:rsid w:val="00B07BD7"/>
    <w:rsid w:val="00B13AA5"/>
    <w:rsid w:val="00B3099B"/>
    <w:rsid w:val="00B40A71"/>
    <w:rsid w:val="00B41B0C"/>
    <w:rsid w:val="00B45C2D"/>
    <w:rsid w:val="00B503C7"/>
    <w:rsid w:val="00B532CC"/>
    <w:rsid w:val="00B54AB5"/>
    <w:rsid w:val="00B645C9"/>
    <w:rsid w:val="00B7371B"/>
    <w:rsid w:val="00B85868"/>
    <w:rsid w:val="00B92C96"/>
    <w:rsid w:val="00B94D4E"/>
    <w:rsid w:val="00BA68F0"/>
    <w:rsid w:val="00BD08CA"/>
    <w:rsid w:val="00BE1214"/>
    <w:rsid w:val="00BE3015"/>
    <w:rsid w:val="00BF5EFB"/>
    <w:rsid w:val="00C10424"/>
    <w:rsid w:val="00C15672"/>
    <w:rsid w:val="00C31421"/>
    <w:rsid w:val="00C3270D"/>
    <w:rsid w:val="00C33753"/>
    <w:rsid w:val="00C35B94"/>
    <w:rsid w:val="00C408D3"/>
    <w:rsid w:val="00C65BD6"/>
    <w:rsid w:val="00C82FA4"/>
    <w:rsid w:val="00CA0669"/>
    <w:rsid w:val="00CA1E7C"/>
    <w:rsid w:val="00CB0030"/>
    <w:rsid w:val="00CB7521"/>
    <w:rsid w:val="00CC57AC"/>
    <w:rsid w:val="00CC776C"/>
    <w:rsid w:val="00CD6D68"/>
    <w:rsid w:val="00CE3864"/>
    <w:rsid w:val="00CF383E"/>
    <w:rsid w:val="00D0584B"/>
    <w:rsid w:val="00D12764"/>
    <w:rsid w:val="00D14BF1"/>
    <w:rsid w:val="00D2467C"/>
    <w:rsid w:val="00D2695E"/>
    <w:rsid w:val="00D335C5"/>
    <w:rsid w:val="00D521FA"/>
    <w:rsid w:val="00D5685A"/>
    <w:rsid w:val="00D60830"/>
    <w:rsid w:val="00D805DA"/>
    <w:rsid w:val="00D81121"/>
    <w:rsid w:val="00D83FDF"/>
    <w:rsid w:val="00DB5DBC"/>
    <w:rsid w:val="00DB6A12"/>
    <w:rsid w:val="00DD44E8"/>
    <w:rsid w:val="00DF3D6F"/>
    <w:rsid w:val="00E02354"/>
    <w:rsid w:val="00E03FF7"/>
    <w:rsid w:val="00E10EA0"/>
    <w:rsid w:val="00E203F5"/>
    <w:rsid w:val="00E24139"/>
    <w:rsid w:val="00E34C02"/>
    <w:rsid w:val="00E3616D"/>
    <w:rsid w:val="00E44D32"/>
    <w:rsid w:val="00E50862"/>
    <w:rsid w:val="00E535E6"/>
    <w:rsid w:val="00E60ABB"/>
    <w:rsid w:val="00E62D91"/>
    <w:rsid w:val="00E67611"/>
    <w:rsid w:val="00E67713"/>
    <w:rsid w:val="00E72DFF"/>
    <w:rsid w:val="00E92E47"/>
    <w:rsid w:val="00E9576D"/>
    <w:rsid w:val="00E95805"/>
    <w:rsid w:val="00EA65AE"/>
    <w:rsid w:val="00EC08AC"/>
    <w:rsid w:val="00EC1948"/>
    <w:rsid w:val="00ED4639"/>
    <w:rsid w:val="00EE54D2"/>
    <w:rsid w:val="00EF7C8A"/>
    <w:rsid w:val="00F25E7F"/>
    <w:rsid w:val="00F307D6"/>
    <w:rsid w:val="00F41BD9"/>
    <w:rsid w:val="00F4479E"/>
    <w:rsid w:val="00F45E31"/>
    <w:rsid w:val="00F50A3D"/>
    <w:rsid w:val="00F512EE"/>
    <w:rsid w:val="00F514D1"/>
    <w:rsid w:val="00F643E6"/>
    <w:rsid w:val="00F76D69"/>
    <w:rsid w:val="00F802E9"/>
    <w:rsid w:val="00F80E73"/>
    <w:rsid w:val="00F9012C"/>
    <w:rsid w:val="00F9097E"/>
    <w:rsid w:val="00F93C6C"/>
    <w:rsid w:val="00FA5147"/>
    <w:rsid w:val="00FB0C11"/>
    <w:rsid w:val="00FD1DFD"/>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UnresolvedMention">
    <w:name w:val="Unresolved Mention"/>
    <w:basedOn w:val="DefaultParagraphFont"/>
    <w:uiPriority w:val="99"/>
    <w:semiHidden/>
    <w:unhideWhenUsed/>
    <w:rsid w:val="00C408D3"/>
    <w:rPr>
      <w:color w:val="605E5C"/>
      <w:shd w:val="clear" w:color="auto" w:fill="E1DFDD"/>
    </w:rPr>
  </w:style>
  <w:style w:type="character" w:customStyle="1" w:styleId="NoSpacingChar">
    <w:name w:val="No Spacing Char"/>
    <w:link w:val="NoSpacing"/>
    <w:uiPriority w:val="1"/>
    <w:locked/>
    <w:rsid w:val="002C0462"/>
    <w:rPr>
      <w:sz w:val="22"/>
      <w:szCs w:val="22"/>
    </w:rPr>
  </w:style>
  <w:style w:type="paragraph" w:styleId="NoSpacing">
    <w:name w:val="No Spacing"/>
    <w:basedOn w:val="Normal"/>
    <w:link w:val="NoSpacingChar"/>
    <w:uiPriority w:val="1"/>
    <w:qFormat/>
    <w:rsid w:val="002C0462"/>
    <w:rPr>
      <w:sz w:val="22"/>
      <w:szCs w:val="22"/>
    </w:rPr>
  </w:style>
  <w:style w:type="paragraph" w:styleId="Revision">
    <w:name w:val="Revision"/>
    <w:hidden/>
    <w:uiPriority w:val="99"/>
    <w:semiHidden/>
    <w:rsid w:val="000A6674"/>
    <w:rPr>
      <w:sz w:val="24"/>
      <w:szCs w:val="24"/>
    </w:rPr>
  </w:style>
  <w:style w:type="character" w:styleId="CommentReference">
    <w:name w:val="annotation reference"/>
    <w:basedOn w:val="DefaultParagraphFont"/>
    <w:semiHidden/>
    <w:unhideWhenUsed/>
    <w:rsid w:val="003A2BC9"/>
    <w:rPr>
      <w:sz w:val="16"/>
      <w:szCs w:val="16"/>
    </w:rPr>
  </w:style>
  <w:style w:type="paragraph" w:styleId="CommentText">
    <w:name w:val="annotation text"/>
    <w:basedOn w:val="Normal"/>
    <w:link w:val="CommentTextChar"/>
    <w:unhideWhenUsed/>
    <w:rsid w:val="003A2BC9"/>
    <w:rPr>
      <w:sz w:val="20"/>
      <w:szCs w:val="20"/>
    </w:rPr>
  </w:style>
  <w:style w:type="character" w:customStyle="1" w:styleId="CommentTextChar">
    <w:name w:val="Comment Text Char"/>
    <w:basedOn w:val="DefaultParagraphFont"/>
    <w:link w:val="CommentText"/>
    <w:rsid w:val="003A2BC9"/>
  </w:style>
  <w:style w:type="paragraph" w:styleId="CommentSubject">
    <w:name w:val="annotation subject"/>
    <w:basedOn w:val="CommentText"/>
    <w:next w:val="CommentText"/>
    <w:link w:val="CommentSubjectChar"/>
    <w:semiHidden/>
    <w:unhideWhenUsed/>
    <w:rsid w:val="003A2BC9"/>
    <w:rPr>
      <w:b/>
      <w:bCs/>
    </w:rPr>
  </w:style>
  <w:style w:type="character" w:customStyle="1" w:styleId="CommentSubjectChar">
    <w:name w:val="Comment Subject Char"/>
    <w:basedOn w:val="CommentTextChar"/>
    <w:link w:val="CommentSubject"/>
    <w:semiHidden/>
    <w:rsid w:val="003A2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anaged-care-entity-bulletin-109-obesity-drugs-and-the-340b-drug-pricing-program-0/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2024-02-27T16:48:00Z</dcterms:created>
  <dcterms:modified xsi:type="dcterms:W3CDTF">2024-02-27T19:28:00Z</dcterms:modified>
</cp:coreProperties>
</file>