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993E2" w14:textId="7FC58D85" w:rsidR="00C559C9" w:rsidRPr="00234B83" w:rsidRDefault="00C559C9" w:rsidP="00C559C9">
      <w:pPr>
        <w:pStyle w:val="Noparagraphstyle"/>
        <w:rPr>
          <w:rFonts w:ascii="Arial Narrow" w:hAnsi="Arial Narrow"/>
          <w:b/>
          <w:color w:val="auto"/>
          <w:sz w:val="20"/>
          <w:szCs w:val="20"/>
        </w:rPr>
      </w:pPr>
      <w:r>
        <w:rPr>
          <w:rFonts w:ascii="Arial Narrow" w:hAnsi="Arial Narrow"/>
          <w:b/>
          <w:sz w:val="20"/>
          <w:szCs w:val="20"/>
        </w:rPr>
        <w:t xml:space="preserve">Number </w:t>
      </w:r>
      <w:r w:rsidR="00234B83" w:rsidRPr="00234B83">
        <w:rPr>
          <w:rFonts w:ascii="Arial Narrow" w:hAnsi="Arial Narrow"/>
          <w:b/>
          <w:color w:val="auto"/>
          <w:sz w:val="20"/>
          <w:szCs w:val="20"/>
        </w:rPr>
        <w:t>223</w:t>
      </w:r>
      <w:r w:rsidRPr="00234B83">
        <w:rPr>
          <w:rFonts w:ascii="Arial Narrow" w:hAnsi="Arial Narrow"/>
          <w:b/>
          <w:color w:val="auto"/>
          <w:sz w:val="20"/>
          <w:szCs w:val="20"/>
        </w:rPr>
        <w:t xml:space="preserve">, </w:t>
      </w:r>
      <w:r w:rsidR="00234B83" w:rsidRPr="00234B83">
        <w:rPr>
          <w:rFonts w:ascii="Arial Narrow" w:hAnsi="Arial Narrow"/>
          <w:b/>
          <w:color w:val="auto"/>
          <w:sz w:val="20"/>
          <w:szCs w:val="20"/>
        </w:rPr>
        <w:t>March 2024</w:t>
      </w:r>
    </w:p>
    <w:p w14:paraId="539B08B0" w14:textId="7DFF5D98" w:rsidR="006F35F9" w:rsidRDefault="0094076D" w:rsidP="00212477">
      <w:pPr>
        <w:pStyle w:val="NormalWeb"/>
        <w:shd w:val="clear" w:color="auto" w:fill="FFFFFF"/>
        <w:spacing w:before="0" w:beforeAutospacing="0" w:after="225" w:afterAutospacing="0"/>
        <w:ind w:left="-90"/>
        <w:jc w:val="both"/>
        <w:rPr>
          <w:rFonts w:ascii="Arial" w:hAnsi="Arial" w:cs="Arial"/>
          <w:color w:val="000000"/>
          <w:sz w:val="21"/>
          <w:szCs w:val="21"/>
        </w:rPr>
        <w:sectPr w:rsidR="006F35F9" w:rsidSect="00CD5705">
          <w:headerReference w:type="default" r:id="rId8"/>
          <w:footerReference w:type="default" r:id="rId9"/>
          <w:footerReference w:type="first" r:id="rId10"/>
          <w:pgSz w:w="12240" w:h="15840" w:code="1"/>
          <w:pgMar w:top="360" w:right="907" w:bottom="446" w:left="907" w:header="0" w:footer="288" w:gutter="0"/>
          <w:cols w:space="720"/>
          <w:docGrid w:linePitch="360"/>
        </w:sectPr>
      </w:pPr>
      <w:r>
        <w:rPr>
          <w:rFonts w:ascii="Arial" w:hAnsi="Arial" w:cs="Arial"/>
          <w:noProof/>
          <w:color w:val="000000"/>
          <w:sz w:val="21"/>
          <w:szCs w:val="21"/>
        </w:rPr>
        <w:drawing>
          <wp:inline distT="0" distB="0" distL="0" distR="0" wp14:anchorId="48B6939B" wp14:editId="20AFC057">
            <wp:extent cx="6772940" cy="1708501"/>
            <wp:effectExtent l="0" t="0" r="0" b="6350"/>
            <wp:docPr id="772776727"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776727" name="Picture 1"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88182" cy="1712346"/>
                    </a:xfrm>
                    <a:prstGeom prst="rect">
                      <a:avLst/>
                    </a:prstGeom>
                  </pic:spPr>
                </pic:pic>
              </a:graphicData>
            </a:graphic>
          </wp:inline>
        </w:drawing>
      </w:r>
    </w:p>
    <w:p w14:paraId="5B95EB91" w14:textId="3DF723DF" w:rsidR="00CD6D68" w:rsidRPr="00C60193" w:rsidRDefault="00234B83" w:rsidP="00CD6D68">
      <w:pPr>
        <w:rPr>
          <w:sz w:val="22"/>
          <w:szCs w:val="22"/>
        </w:rPr>
      </w:pPr>
      <w:r w:rsidRPr="00234B83">
        <w:rPr>
          <w:rFonts w:ascii="Arial Black" w:hAnsi="Arial Black" w:cs="Arial"/>
          <w:b/>
        </w:rPr>
        <w:t>Managed Care Update to GLP-1 Agonist Drugs Purchased Through the 340B Drug Pricing Program – Change in Effective Date</w:t>
      </w:r>
    </w:p>
    <w:p w14:paraId="2BB77E19" w14:textId="6EA4A804" w:rsidR="00B503C7" w:rsidRPr="00234B83" w:rsidRDefault="00234B83" w:rsidP="00234B83">
      <w:pPr>
        <w:pStyle w:val="Default"/>
        <w:spacing w:after="120"/>
        <w:rPr>
          <w:rFonts w:ascii="Arial" w:hAnsi="Arial" w:cs="Arial"/>
          <w:sz w:val="22"/>
          <w:szCs w:val="22"/>
        </w:rPr>
      </w:pPr>
      <w:r w:rsidRPr="00234B83">
        <w:rPr>
          <w:rFonts w:ascii="Arial" w:hAnsi="Arial" w:cs="Arial"/>
          <w:color w:val="auto"/>
          <w:sz w:val="22"/>
          <w:szCs w:val="22"/>
        </w:rPr>
        <w:t xml:space="preserve">This section concerns Accountable Care Partnership Plans (ACPPs), Managed Care Organizations (MCOs), One Care Plans, and Senior Care Organizations (SCOs) (collectively referred to as “Managed Care Entities”). As described in </w:t>
      </w:r>
      <w:hyperlink r:id="rId12" w:history="1">
        <w:r w:rsidRPr="00BD1C5A">
          <w:rPr>
            <w:rStyle w:val="Hyperlink"/>
            <w:rFonts w:ascii="Arial" w:hAnsi="Arial" w:cs="Arial"/>
            <w:sz w:val="22"/>
            <w:szCs w:val="22"/>
          </w:rPr>
          <w:t>Pharmacy Facts 222</w:t>
        </w:r>
      </w:hyperlink>
      <w:r w:rsidRPr="00234B83">
        <w:rPr>
          <w:rFonts w:ascii="Arial" w:hAnsi="Arial" w:cs="Arial"/>
          <w:color w:val="auto"/>
          <w:sz w:val="22"/>
          <w:szCs w:val="22"/>
        </w:rPr>
        <w:t xml:space="preserve"> and </w:t>
      </w:r>
      <w:hyperlink r:id="rId13" w:history="1">
        <w:r w:rsidRPr="00BD1C5A">
          <w:rPr>
            <w:rStyle w:val="Hyperlink"/>
            <w:rFonts w:ascii="Arial" w:hAnsi="Arial" w:cs="Arial"/>
            <w:sz w:val="22"/>
            <w:szCs w:val="22"/>
          </w:rPr>
          <w:t>Managed Care Entity Bulletin 109</w:t>
        </w:r>
      </w:hyperlink>
      <w:r w:rsidRPr="00234B83">
        <w:rPr>
          <w:rFonts w:ascii="Arial" w:hAnsi="Arial" w:cs="Arial"/>
          <w:color w:val="auto"/>
          <w:sz w:val="22"/>
          <w:szCs w:val="22"/>
        </w:rPr>
        <w:t xml:space="preserve">, the Executive Office of Health and Human Services (EOHHS) directed Managed Care Entities not to pay for specified GLP-1 Agonist Drugs if those drugs were purchased through the 340B Drug Pricing Program, effective April 1, 2024. EOHHS has announced that the effective date of this policy will be changed from April 1, 2024, to July 1, 2024. EOHHS is making no other changes to the policy. For more information, please see </w:t>
      </w:r>
      <w:hyperlink r:id="rId14" w:history="1">
        <w:r w:rsidRPr="00C76BCE">
          <w:rPr>
            <w:rStyle w:val="Hyperlink"/>
            <w:rFonts w:ascii="Arial" w:hAnsi="Arial" w:cs="Arial"/>
            <w:sz w:val="22"/>
            <w:szCs w:val="22"/>
          </w:rPr>
          <w:t>Managed Care Entity Bulletin 1</w:t>
        </w:r>
        <w:r w:rsidR="00CD4651" w:rsidRPr="00C76BCE">
          <w:rPr>
            <w:rStyle w:val="Hyperlink"/>
            <w:rFonts w:ascii="Arial" w:hAnsi="Arial" w:cs="Arial"/>
            <w:sz w:val="22"/>
            <w:szCs w:val="22"/>
          </w:rPr>
          <w:t>12</w:t>
        </w:r>
      </w:hyperlink>
      <w:r w:rsidRPr="00234B83">
        <w:rPr>
          <w:rFonts w:ascii="Arial" w:hAnsi="Arial" w:cs="Arial"/>
          <w:color w:val="auto"/>
          <w:sz w:val="22"/>
          <w:szCs w:val="22"/>
        </w:rPr>
        <w:t>.</w:t>
      </w:r>
    </w:p>
    <w:p w14:paraId="396D527C" w14:textId="7601D423" w:rsidR="00CD6D68" w:rsidRPr="00140D3B" w:rsidRDefault="00234B83" w:rsidP="00CD6D68">
      <w:pPr>
        <w:pStyle w:val="Default"/>
        <w:tabs>
          <w:tab w:val="left" w:pos="90"/>
        </w:tabs>
        <w:spacing w:line="276" w:lineRule="auto"/>
        <w:ind w:left="360" w:hanging="360"/>
        <w:rPr>
          <w:rFonts w:ascii="Arial" w:hAnsi="Arial" w:cs="Arial"/>
          <w:color w:val="auto"/>
          <w:sz w:val="22"/>
          <w:szCs w:val="22"/>
        </w:rPr>
      </w:pPr>
      <w:r>
        <w:t>MHDL Update</w:t>
      </w:r>
    </w:p>
    <w:p w14:paraId="4B7109B9" w14:textId="3DCE8E66" w:rsidR="00B503C7" w:rsidRPr="009F0526" w:rsidRDefault="00234B83" w:rsidP="00234B83">
      <w:pPr>
        <w:autoSpaceDE w:val="0"/>
        <w:autoSpaceDN w:val="0"/>
        <w:adjustRightInd w:val="0"/>
        <w:spacing w:line="276" w:lineRule="auto"/>
        <w:rPr>
          <w:rFonts w:ascii="Arial" w:hAnsi="Arial" w:cs="Arial"/>
          <w:sz w:val="22"/>
          <w:szCs w:val="22"/>
        </w:rPr>
      </w:pPr>
      <w:proofErr w:type="spellStart"/>
      <w:r w:rsidRPr="00234B83">
        <w:rPr>
          <w:rFonts w:ascii="Arial" w:hAnsi="Arial" w:cs="Arial"/>
          <w:sz w:val="22"/>
          <w:szCs w:val="22"/>
          <w:lang w:val="fr-FR"/>
        </w:rPr>
        <w:t>Below</w:t>
      </w:r>
      <w:proofErr w:type="spellEnd"/>
      <w:r w:rsidRPr="00234B83">
        <w:rPr>
          <w:rFonts w:ascii="Arial" w:hAnsi="Arial" w:cs="Arial"/>
          <w:sz w:val="22"/>
          <w:szCs w:val="22"/>
          <w:lang w:val="fr-FR"/>
        </w:rPr>
        <w:t xml:space="preserve"> are certain updates to the </w:t>
      </w:r>
      <w:proofErr w:type="spellStart"/>
      <w:r w:rsidRPr="00234B83">
        <w:rPr>
          <w:rFonts w:ascii="Arial" w:hAnsi="Arial" w:cs="Arial"/>
          <w:sz w:val="22"/>
          <w:szCs w:val="22"/>
          <w:lang w:val="fr-FR"/>
        </w:rPr>
        <w:t>MassHealth</w:t>
      </w:r>
      <w:proofErr w:type="spellEnd"/>
      <w:r w:rsidRPr="00234B83">
        <w:rPr>
          <w:rFonts w:ascii="Arial" w:hAnsi="Arial" w:cs="Arial"/>
          <w:sz w:val="22"/>
          <w:szCs w:val="22"/>
          <w:lang w:val="fr-FR"/>
        </w:rPr>
        <w:t xml:space="preserve"> Drug List (MHDL). </w:t>
      </w:r>
      <w:proofErr w:type="spellStart"/>
      <w:r w:rsidRPr="00234B83">
        <w:rPr>
          <w:rFonts w:ascii="Arial" w:hAnsi="Arial" w:cs="Arial"/>
          <w:sz w:val="22"/>
          <w:szCs w:val="22"/>
          <w:lang w:val="fr-FR"/>
        </w:rPr>
        <w:t>See</w:t>
      </w:r>
      <w:proofErr w:type="spellEnd"/>
      <w:r w:rsidRPr="00234B83">
        <w:rPr>
          <w:rFonts w:ascii="Arial" w:hAnsi="Arial" w:cs="Arial"/>
          <w:sz w:val="22"/>
          <w:szCs w:val="22"/>
          <w:lang w:val="fr-FR"/>
        </w:rPr>
        <w:t xml:space="preserve"> the MHDL for a </w:t>
      </w:r>
      <w:proofErr w:type="spellStart"/>
      <w:r w:rsidRPr="00234B83">
        <w:rPr>
          <w:rFonts w:ascii="Arial" w:hAnsi="Arial" w:cs="Arial"/>
          <w:sz w:val="22"/>
          <w:szCs w:val="22"/>
          <w:lang w:val="fr-FR"/>
        </w:rPr>
        <w:t>complete</w:t>
      </w:r>
      <w:proofErr w:type="spellEnd"/>
      <w:r w:rsidRPr="00234B83">
        <w:rPr>
          <w:rFonts w:ascii="Arial" w:hAnsi="Arial" w:cs="Arial"/>
          <w:sz w:val="22"/>
          <w:szCs w:val="22"/>
          <w:lang w:val="fr-FR"/>
        </w:rPr>
        <w:t xml:space="preserve"> </w:t>
      </w:r>
      <w:proofErr w:type="gramStart"/>
      <w:r w:rsidRPr="00234B83">
        <w:rPr>
          <w:rFonts w:ascii="Arial" w:hAnsi="Arial" w:cs="Arial"/>
          <w:sz w:val="22"/>
          <w:szCs w:val="22"/>
          <w:lang w:val="fr-FR"/>
        </w:rPr>
        <w:t>listing</w:t>
      </w:r>
      <w:proofErr w:type="gramEnd"/>
      <w:r w:rsidRPr="00234B83">
        <w:rPr>
          <w:rFonts w:ascii="Arial" w:hAnsi="Arial" w:cs="Arial"/>
          <w:sz w:val="22"/>
          <w:szCs w:val="22"/>
          <w:lang w:val="fr-FR"/>
        </w:rPr>
        <w:t xml:space="preserve"> of updates</w:t>
      </w:r>
      <w:r w:rsidR="00C76BCE">
        <w:rPr>
          <w:rFonts w:ascii="Arial" w:hAnsi="Arial" w:cs="Arial"/>
          <w:sz w:val="22"/>
          <w:szCs w:val="22"/>
          <w:lang w:val="fr-FR"/>
        </w:rPr>
        <w:t>.</w:t>
      </w:r>
    </w:p>
    <w:p w14:paraId="4A8EDFFD" w14:textId="6C7B4F58" w:rsidR="00905C46" w:rsidRPr="00905C46" w:rsidRDefault="00234B83" w:rsidP="00905C46">
      <w:pPr>
        <w:pStyle w:val="Subtitle"/>
        <w:spacing w:line="240" w:lineRule="auto"/>
        <w:rPr>
          <w:rFonts w:cs="Arial"/>
          <w:b/>
          <w:sz w:val="24"/>
          <w:szCs w:val="24"/>
        </w:rPr>
      </w:pPr>
      <w:r>
        <w:rPr>
          <w:rFonts w:cs="Arial"/>
          <w:b/>
          <w:sz w:val="24"/>
          <w:szCs w:val="24"/>
        </w:rPr>
        <w:t>Additions</w:t>
      </w:r>
    </w:p>
    <w:p w14:paraId="2D3201DA" w14:textId="77777777" w:rsidR="00234B83" w:rsidRPr="00141857" w:rsidRDefault="00234B83" w:rsidP="00234B83">
      <w:pPr>
        <w:pStyle w:val="Default"/>
        <w:rPr>
          <w:rFonts w:ascii="Arial" w:hAnsi="Arial" w:cs="Arial"/>
          <w:color w:val="auto"/>
          <w:sz w:val="22"/>
          <w:szCs w:val="21"/>
        </w:rPr>
      </w:pPr>
      <w:r w:rsidRPr="00141857">
        <w:rPr>
          <w:rFonts w:ascii="Arial" w:hAnsi="Arial" w:cs="Arial"/>
          <w:color w:val="auto"/>
          <w:sz w:val="22"/>
          <w:szCs w:val="22"/>
        </w:rPr>
        <w:t xml:space="preserve">Effective April 1, 2024, the following newly marketed drug </w:t>
      </w:r>
      <w:r>
        <w:rPr>
          <w:rFonts w:ascii="Arial" w:hAnsi="Arial" w:cs="Arial"/>
          <w:color w:val="auto"/>
          <w:sz w:val="22"/>
          <w:szCs w:val="22"/>
        </w:rPr>
        <w:t>has</w:t>
      </w:r>
      <w:r w:rsidRPr="00141857">
        <w:rPr>
          <w:rFonts w:ascii="Arial" w:hAnsi="Arial" w:cs="Arial"/>
          <w:color w:val="auto"/>
          <w:sz w:val="22"/>
          <w:szCs w:val="22"/>
        </w:rPr>
        <w:t xml:space="preserve"> been added to the MassHealth Drug List.</w:t>
      </w:r>
    </w:p>
    <w:p w14:paraId="727DC40F" w14:textId="77777777" w:rsidR="00234B83" w:rsidRPr="00141857" w:rsidRDefault="00234B83" w:rsidP="00234B83">
      <w:pPr>
        <w:numPr>
          <w:ilvl w:val="0"/>
          <w:numId w:val="26"/>
        </w:numPr>
        <w:autoSpaceDE w:val="0"/>
        <w:autoSpaceDN w:val="0"/>
        <w:adjustRightInd w:val="0"/>
        <w:ind w:left="360"/>
        <w:rPr>
          <w:rFonts w:cs="Arial"/>
          <w:color w:val="000000"/>
          <w:sz w:val="22"/>
          <w:szCs w:val="22"/>
        </w:rPr>
      </w:pPr>
      <w:proofErr w:type="spellStart"/>
      <w:r w:rsidRPr="00234B83">
        <w:rPr>
          <w:rFonts w:ascii="Arial" w:hAnsi="Arial" w:cs="Arial"/>
          <w:color w:val="000000"/>
          <w:sz w:val="22"/>
          <w:szCs w:val="22"/>
        </w:rPr>
        <w:t>Casgevy</w:t>
      </w:r>
      <w:proofErr w:type="spellEnd"/>
      <w:r w:rsidRPr="00234B83">
        <w:rPr>
          <w:rFonts w:ascii="Arial" w:hAnsi="Arial" w:cs="Arial"/>
          <w:color w:val="000000"/>
          <w:sz w:val="22"/>
          <w:szCs w:val="22"/>
        </w:rPr>
        <w:t xml:space="preserve"> (</w:t>
      </w:r>
      <w:proofErr w:type="spellStart"/>
      <w:r w:rsidRPr="00234B83">
        <w:rPr>
          <w:rFonts w:ascii="Arial" w:hAnsi="Arial" w:cs="Arial"/>
          <w:color w:val="000000"/>
          <w:sz w:val="22"/>
          <w:szCs w:val="22"/>
        </w:rPr>
        <w:t>exagamglogene</w:t>
      </w:r>
      <w:proofErr w:type="spellEnd"/>
      <w:r w:rsidRPr="00234B83">
        <w:rPr>
          <w:rFonts w:ascii="Arial" w:hAnsi="Arial" w:cs="Arial"/>
          <w:color w:val="000000"/>
          <w:sz w:val="22"/>
          <w:szCs w:val="22"/>
        </w:rPr>
        <w:t xml:space="preserve"> </w:t>
      </w:r>
      <w:proofErr w:type="spellStart"/>
      <w:r w:rsidRPr="00234B83">
        <w:rPr>
          <w:rFonts w:ascii="Arial" w:hAnsi="Arial" w:cs="Arial"/>
          <w:color w:val="000000"/>
          <w:sz w:val="22"/>
          <w:szCs w:val="22"/>
        </w:rPr>
        <w:t>autotemcel</w:t>
      </w:r>
      <w:proofErr w:type="spellEnd"/>
      <w:r w:rsidRPr="00234B83">
        <w:rPr>
          <w:rFonts w:ascii="Arial" w:hAnsi="Arial" w:cs="Arial"/>
          <w:color w:val="000000"/>
          <w:sz w:val="22"/>
          <w:szCs w:val="22"/>
        </w:rPr>
        <w:t xml:space="preserve"> for sickle cell disease)</w:t>
      </w:r>
      <w:r w:rsidRPr="00141857">
        <w:rPr>
          <w:rFonts w:cs="Arial"/>
          <w:color w:val="000000"/>
          <w:sz w:val="22"/>
          <w:szCs w:val="22"/>
        </w:rPr>
        <w:t xml:space="preserve"> </w:t>
      </w:r>
      <w:r w:rsidRPr="00631627">
        <w:rPr>
          <w:rFonts w:ascii="Arial" w:hAnsi="Arial" w:cs="Arial"/>
          <w:color w:val="000000"/>
          <w:sz w:val="22"/>
          <w:szCs w:val="22"/>
          <w:vertAlign w:val="superscript"/>
        </w:rPr>
        <w:t>PD</w:t>
      </w:r>
      <w:r w:rsidRPr="00631627">
        <w:rPr>
          <w:rFonts w:ascii="Arial" w:hAnsi="Arial" w:cs="Arial"/>
          <w:color w:val="000000"/>
          <w:sz w:val="14"/>
          <w:szCs w:val="14"/>
        </w:rPr>
        <w:t xml:space="preserve"> </w:t>
      </w:r>
      <w:r w:rsidRPr="00631627">
        <w:rPr>
          <w:rFonts w:ascii="Arial" w:hAnsi="Arial" w:cs="Arial"/>
          <w:color w:val="000000"/>
          <w:sz w:val="22"/>
          <w:szCs w:val="22"/>
        </w:rPr>
        <w:t xml:space="preserve">– </w:t>
      </w:r>
      <w:r w:rsidRPr="00631627">
        <w:rPr>
          <w:rFonts w:ascii="Arial" w:hAnsi="Arial" w:cs="Arial"/>
          <w:b/>
          <w:bCs/>
          <w:color w:val="000000"/>
          <w:sz w:val="22"/>
          <w:szCs w:val="22"/>
        </w:rPr>
        <w:t>PA</w:t>
      </w:r>
      <w:r w:rsidRPr="00631627">
        <w:rPr>
          <w:rFonts w:ascii="Arial" w:hAnsi="Arial" w:cs="Arial"/>
          <w:color w:val="000000"/>
          <w:sz w:val="22"/>
          <w:szCs w:val="22"/>
        </w:rPr>
        <w:t>; CO, MB</w:t>
      </w:r>
      <w:r w:rsidRPr="00141857">
        <w:rPr>
          <w:rFonts w:cs="Arial"/>
          <w:color w:val="000000"/>
          <w:sz w:val="22"/>
          <w:szCs w:val="22"/>
        </w:rPr>
        <w:t xml:space="preserve"> </w:t>
      </w:r>
    </w:p>
    <w:p w14:paraId="61F735C1" w14:textId="7E452930" w:rsidR="000A6318" w:rsidRDefault="00234B83" w:rsidP="000A6318">
      <w:pPr>
        <w:pStyle w:val="Subtitle"/>
        <w:spacing w:line="240" w:lineRule="auto"/>
        <w:rPr>
          <w:rFonts w:cs="Arial"/>
          <w:b/>
          <w:bCs/>
        </w:rPr>
      </w:pPr>
      <w:r>
        <w:rPr>
          <w:rFonts w:cs="Arial"/>
          <w:b/>
          <w:bCs/>
        </w:rPr>
        <w:t>Updated MassHealth Supplemental Rebate/Preferred Drug List</w:t>
      </w:r>
    </w:p>
    <w:p w14:paraId="34633E33" w14:textId="002835F4" w:rsidR="00234B83" w:rsidRPr="00234B83" w:rsidRDefault="00234B83" w:rsidP="00234B83">
      <w:pPr>
        <w:pStyle w:val="Default"/>
        <w:rPr>
          <w:rFonts w:ascii="Arial" w:hAnsi="Arial" w:cs="Arial"/>
          <w:color w:val="auto"/>
          <w:sz w:val="22"/>
          <w:szCs w:val="22"/>
        </w:rPr>
      </w:pPr>
      <w:r w:rsidRPr="00234B83">
        <w:rPr>
          <w:rFonts w:ascii="Arial" w:hAnsi="Arial" w:cs="Arial"/>
          <w:color w:val="auto"/>
          <w:sz w:val="22"/>
          <w:szCs w:val="22"/>
        </w:rPr>
        <w:t>The MassHealth Supplemental Rebate/Preferred Drug List has been updated to reflect recent changes to the MassHealth Drug List.</w:t>
      </w:r>
    </w:p>
    <w:p w14:paraId="63D622E6" w14:textId="0961E196" w:rsidR="000A6318" w:rsidRPr="00234B83" w:rsidRDefault="00234B83" w:rsidP="00234B83">
      <w:pPr>
        <w:pStyle w:val="ListParagraph"/>
        <w:numPr>
          <w:ilvl w:val="0"/>
          <w:numId w:val="22"/>
        </w:numPr>
        <w:spacing w:line="256" w:lineRule="auto"/>
        <w:contextualSpacing/>
        <w:rPr>
          <w:rFonts w:ascii="Arial" w:hAnsi="Arial" w:cs="Arial"/>
          <w:sz w:val="22"/>
          <w:szCs w:val="22"/>
        </w:rPr>
      </w:pPr>
      <w:r w:rsidRPr="00141857">
        <w:rPr>
          <w:rFonts w:ascii="Arial" w:hAnsi="Arial" w:cs="Arial"/>
          <w:sz w:val="22"/>
          <w:szCs w:val="22"/>
        </w:rPr>
        <w:t xml:space="preserve">Effective April 1, 2024, the following anti-hemophilia agent will be added to the </w:t>
      </w:r>
      <w:r w:rsidRPr="00141857">
        <w:rPr>
          <w:rFonts w:ascii="Arial" w:hAnsi="Arial" w:cs="Arial"/>
          <w:sz w:val="22"/>
          <w:szCs w:val="22"/>
        </w:rPr>
        <w:t>MassHealth Supplemental Rebate/Preferred Drug List.</w:t>
      </w:r>
    </w:p>
    <w:p w14:paraId="29C6C912" w14:textId="77777777" w:rsidR="00234B83" w:rsidRPr="00141857" w:rsidRDefault="00234B83" w:rsidP="00234B83">
      <w:pPr>
        <w:pStyle w:val="ListParagraph"/>
        <w:numPr>
          <w:ilvl w:val="0"/>
          <w:numId w:val="28"/>
        </w:numPr>
        <w:spacing w:line="256" w:lineRule="auto"/>
        <w:contextualSpacing/>
        <w:rPr>
          <w:rFonts w:ascii="Arial" w:hAnsi="Arial" w:cs="Arial"/>
          <w:sz w:val="22"/>
          <w:szCs w:val="22"/>
        </w:rPr>
      </w:pPr>
      <w:proofErr w:type="spellStart"/>
      <w:r w:rsidRPr="00141857">
        <w:rPr>
          <w:rFonts w:ascii="Arial" w:hAnsi="Arial" w:cs="Arial"/>
          <w:sz w:val="22"/>
          <w:szCs w:val="22"/>
        </w:rPr>
        <w:t>Hemlibra</w:t>
      </w:r>
      <w:proofErr w:type="spellEnd"/>
      <w:r w:rsidRPr="00141857">
        <w:rPr>
          <w:rFonts w:ascii="Arial" w:hAnsi="Arial" w:cs="Arial"/>
          <w:sz w:val="22"/>
          <w:szCs w:val="22"/>
        </w:rPr>
        <w:t xml:space="preserve"> (</w:t>
      </w:r>
      <w:proofErr w:type="spellStart"/>
      <w:r w:rsidRPr="00141857">
        <w:rPr>
          <w:rFonts w:ascii="Arial" w:hAnsi="Arial" w:cs="Arial"/>
          <w:sz w:val="22"/>
          <w:szCs w:val="22"/>
        </w:rPr>
        <w:t>emicizumab-kxwh</w:t>
      </w:r>
      <w:proofErr w:type="spellEnd"/>
      <w:r w:rsidRPr="00141857">
        <w:rPr>
          <w:rFonts w:ascii="Arial" w:hAnsi="Arial" w:cs="Arial"/>
          <w:sz w:val="22"/>
          <w:szCs w:val="22"/>
        </w:rPr>
        <w:t xml:space="preserve">) </w:t>
      </w:r>
      <w:r w:rsidRPr="007F4258">
        <w:rPr>
          <w:rFonts w:ascii="Arial" w:hAnsi="Arial" w:cs="Arial"/>
          <w:sz w:val="22"/>
          <w:szCs w:val="22"/>
          <w:vertAlign w:val="superscript"/>
        </w:rPr>
        <w:t>PD</w:t>
      </w:r>
      <w:r w:rsidRPr="00141857">
        <w:rPr>
          <w:rFonts w:ascii="Arial" w:hAnsi="Arial" w:cs="Arial"/>
          <w:sz w:val="22"/>
          <w:szCs w:val="22"/>
        </w:rPr>
        <w:t xml:space="preserve"> </w:t>
      </w:r>
    </w:p>
    <w:p w14:paraId="14A07589" w14:textId="2E5CD076" w:rsidR="00234B83" w:rsidRPr="00234B83" w:rsidRDefault="00234B83" w:rsidP="00234B83">
      <w:pPr>
        <w:pStyle w:val="ListParagraph"/>
        <w:numPr>
          <w:ilvl w:val="0"/>
          <w:numId w:val="22"/>
        </w:numPr>
        <w:spacing w:line="256" w:lineRule="auto"/>
        <w:contextualSpacing/>
        <w:rPr>
          <w:rFonts w:ascii="Arial" w:hAnsi="Arial" w:cs="Arial"/>
          <w:sz w:val="22"/>
          <w:szCs w:val="22"/>
        </w:rPr>
      </w:pPr>
      <w:r w:rsidRPr="00234B83">
        <w:rPr>
          <w:rFonts w:ascii="Arial" w:hAnsi="Arial" w:cs="Arial"/>
          <w:sz w:val="22"/>
          <w:szCs w:val="22"/>
        </w:rPr>
        <w:t xml:space="preserve">Effective April 1, 2024, the following diabetic agent will be added to the MassHealth Supplemental Rebate/Preferred Drug List. </w:t>
      </w:r>
    </w:p>
    <w:p w14:paraId="59F4EA27" w14:textId="77777777" w:rsidR="00234B83" w:rsidRPr="00141857" w:rsidRDefault="00234B83" w:rsidP="00234B83">
      <w:pPr>
        <w:pStyle w:val="ListParagraph"/>
        <w:numPr>
          <w:ilvl w:val="0"/>
          <w:numId w:val="29"/>
        </w:numPr>
        <w:spacing w:line="256" w:lineRule="auto"/>
        <w:contextualSpacing/>
        <w:rPr>
          <w:rFonts w:ascii="Arial" w:hAnsi="Arial" w:cs="Arial"/>
          <w:sz w:val="22"/>
          <w:szCs w:val="22"/>
        </w:rPr>
      </w:pPr>
      <w:r w:rsidRPr="00141857">
        <w:rPr>
          <w:rFonts w:ascii="Arial" w:hAnsi="Arial" w:cs="Arial"/>
          <w:sz w:val="22"/>
          <w:szCs w:val="22"/>
        </w:rPr>
        <w:t xml:space="preserve">Lantus (insulin glargine) </w:t>
      </w:r>
      <w:r w:rsidRPr="00234B83">
        <w:rPr>
          <w:rFonts w:ascii="Arial" w:hAnsi="Arial" w:cs="Arial"/>
          <w:b/>
          <w:bCs/>
          <w:sz w:val="22"/>
          <w:szCs w:val="22"/>
          <w:vertAlign w:val="superscript"/>
        </w:rPr>
        <w:t>PD</w:t>
      </w:r>
      <w:r w:rsidRPr="00631627">
        <w:rPr>
          <w:rFonts w:ascii="Arial" w:hAnsi="Arial" w:cs="Arial"/>
          <w:sz w:val="22"/>
          <w:szCs w:val="22"/>
        </w:rPr>
        <w:t>;</w:t>
      </w:r>
      <w:r w:rsidRPr="00234B83">
        <w:rPr>
          <w:rFonts w:ascii="Arial" w:hAnsi="Arial" w:cs="Arial"/>
          <w:b/>
          <w:bCs/>
          <w:sz w:val="22"/>
          <w:szCs w:val="22"/>
        </w:rPr>
        <w:t xml:space="preserve"> BP</w:t>
      </w:r>
      <w:r w:rsidRPr="00141857">
        <w:rPr>
          <w:rFonts w:ascii="Arial" w:hAnsi="Arial" w:cs="Arial"/>
          <w:sz w:val="22"/>
          <w:szCs w:val="22"/>
        </w:rPr>
        <w:t xml:space="preserve"> </w:t>
      </w:r>
    </w:p>
    <w:p w14:paraId="4431840D" w14:textId="0391527A" w:rsidR="00234B83" w:rsidRPr="00234B83" w:rsidRDefault="00234B83" w:rsidP="00234B83">
      <w:pPr>
        <w:pStyle w:val="ListParagraph"/>
        <w:numPr>
          <w:ilvl w:val="0"/>
          <w:numId w:val="22"/>
        </w:numPr>
        <w:spacing w:line="256" w:lineRule="auto"/>
        <w:contextualSpacing/>
        <w:rPr>
          <w:rFonts w:ascii="Arial" w:hAnsi="Arial" w:cs="Arial"/>
          <w:sz w:val="22"/>
          <w:szCs w:val="22"/>
        </w:rPr>
      </w:pPr>
      <w:r w:rsidRPr="00234B83">
        <w:rPr>
          <w:rFonts w:ascii="Arial" w:hAnsi="Arial" w:cs="Arial"/>
          <w:sz w:val="22"/>
          <w:szCs w:val="22"/>
        </w:rPr>
        <w:t xml:space="preserve">Effective April 1, 2024, the following anti-obesity agent will be added to the MassHealth Supplemental Rebate/Preferred Drug List. </w:t>
      </w:r>
    </w:p>
    <w:p w14:paraId="3187617A" w14:textId="77777777" w:rsidR="00234B83" w:rsidRPr="00141857" w:rsidRDefault="00234B83" w:rsidP="00234B83">
      <w:pPr>
        <w:pStyle w:val="ListParagraph"/>
        <w:numPr>
          <w:ilvl w:val="0"/>
          <w:numId w:val="30"/>
        </w:numPr>
        <w:spacing w:line="256" w:lineRule="auto"/>
        <w:contextualSpacing/>
        <w:rPr>
          <w:rFonts w:ascii="Arial" w:hAnsi="Arial" w:cs="Arial"/>
          <w:sz w:val="22"/>
          <w:szCs w:val="22"/>
        </w:rPr>
      </w:pPr>
      <w:proofErr w:type="spellStart"/>
      <w:r w:rsidRPr="00141857">
        <w:rPr>
          <w:rFonts w:ascii="Arial" w:hAnsi="Arial" w:cs="Arial"/>
          <w:sz w:val="22"/>
          <w:szCs w:val="22"/>
        </w:rPr>
        <w:t>Saxenda</w:t>
      </w:r>
      <w:proofErr w:type="spellEnd"/>
      <w:r w:rsidRPr="00141857">
        <w:rPr>
          <w:rFonts w:ascii="Arial" w:hAnsi="Arial" w:cs="Arial"/>
          <w:sz w:val="22"/>
          <w:szCs w:val="22"/>
        </w:rPr>
        <w:t xml:space="preserve"> (liraglutide) </w:t>
      </w:r>
      <w:r w:rsidRPr="00141857">
        <w:rPr>
          <w:rFonts w:ascii="Arial" w:hAnsi="Arial" w:cs="Arial"/>
          <w:sz w:val="22"/>
          <w:szCs w:val="22"/>
          <w:vertAlign w:val="superscript"/>
        </w:rPr>
        <w:t>PD</w:t>
      </w:r>
      <w:r w:rsidRPr="00141857">
        <w:rPr>
          <w:rFonts w:ascii="Arial" w:hAnsi="Arial" w:cs="Arial"/>
          <w:sz w:val="22"/>
          <w:szCs w:val="22"/>
        </w:rPr>
        <w:t xml:space="preserve"> – </w:t>
      </w:r>
      <w:r w:rsidRPr="00141857">
        <w:rPr>
          <w:rFonts w:ascii="Arial" w:hAnsi="Arial" w:cs="Arial"/>
          <w:b/>
          <w:bCs/>
          <w:sz w:val="22"/>
          <w:szCs w:val="22"/>
        </w:rPr>
        <w:t>PA</w:t>
      </w:r>
      <w:r w:rsidRPr="00141857">
        <w:rPr>
          <w:rFonts w:ascii="Arial" w:hAnsi="Arial" w:cs="Arial"/>
          <w:sz w:val="22"/>
          <w:szCs w:val="22"/>
        </w:rPr>
        <w:t xml:space="preserve"> </w:t>
      </w:r>
    </w:p>
    <w:p w14:paraId="612B25DA" w14:textId="4B5E9E79" w:rsidR="00234B83" w:rsidRPr="00234B83" w:rsidRDefault="00234B83" w:rsidP="00234B83">
      <w:pPr>
        <w:pStyle w:val="ListParagraph"/>
        <w:numPr>
          <w:ilvl w:val="0"/>
          <w:numId w:val="22"/>
        </w:numPr>
        <w:spacing w:line="256" w:lineRule="auto"/>
        <w:contextualSpacing/>
        <w:rPr>
          <w:rFonts w:ascii="Arial" w:hAnsi="Arial" w:cs="Arial"/>
          <w:sz w:val="22"/>
          <w:szCs w:val="22"/>
        </w:rPr>
      </w:pPr>
      <w:r w:rsidRPr="00234B83">
        <w:rPr>
          <w:rFonts w:ascii="Arial" w:hAnsi="Arial" w:cs="Arial"/>
          <w:sz w:val="22"/>
          <w:szCs w:val="22"/>
        </w:rPr>
        <w:t xml:space="preserve">Effective April 1, 2024, the following sickle cell disease agent will be added to the MassHealth Supplemental Rebate/Preferred Drug List. </w:t>
      </w:r>
    </w:p>
    <w:p w14:paraId="055E35CE" w14:textId="77777777" w:rsidR="00234B83" w:rsidRPr="00141857" w:rsidRDefault="00234B83" w:rsidP="00234B83">
      <w:pPr>
        <w:pStyle w:val="ListParagraph"/>
        <w:numPr>
          <w:ilvl w:val="0"/>
          <w:numId w:val="31"/>
        </w:numPr>
        <w:pBdr>
          <w:bottom w:val="single" w:sz="12" w:space="1" w:color="auto"/>
        </w:pBdr>
        <w:spacing w:line="256" w:lineRule="auto"/>
        <w:contextualSpacing/>
        <w:rPr>
          <w:rFonts w:ascii="Arial" w:hAnsi="Arial" w:cs="Arial"/>
          <w:sz w:val="22"/>
          <w:szCs w:val="22"/>
        </w:rPr>
      </w:pPr>
      <w:proofErr w:type="spellStart"/>
      <w:r w:rsidRPr="00141857">
        <w:rPr>
          <w:rFonts w:ascii="Arial" w:hAnsi="Arial" w:cs="Arial"/>
          <w:sz w:val="22"/>
          <w:szCs w:val="22"/>
        </w:rPr>
        <w:t>Casgevy</w:t>
      </w:r>
      <w:proofErr w:type="spellEnd"/>
      <w:r w:rsidRPr="00141857">
        <w:rPr>
          <w:rFonts w:ascii="Arial" w:hAnsi="Arial" w:cs="Arial"/>
          <w:sz w:val="22"/>
          <w:szCs w:val="22"/>
        </w:rPr>
        <w:t xml:space="preserve"> (</w:t>
      </w:r>
      <w:proofErr w:type="spellStart"/>
      <w:r w:rsidRPr="00141857">
        <w:rPr>
          <w:rFonts w:ascii="Arial" w:hAnsi="Arial" w:cs="Arial"/>
          <w:sz w:val="22"/>
          <w:szCs w:val="22"/>
        </w:rPr>
        <w:t>exagamglogene</w:t>
      </w:r>
      <w:proofErr w:type="spellEnd"/>
      <w:r w:rsidRPr="00141857">
        <w:rPr>
          <w:rFonts w:ascii="Arial" w:hAnsi="Arial" w:cs="Arial"/>
          <w:sz w:val="22"/>
          <w:szCs w:val="22"/>
        </w:rPr>
        <w:t xml:space="preserve"> </w:t>
      </w:r>
      <w:proofErr w:type="spellStart"/>
      <w:r w:rsidRPr="00141857">
        <w:rPr>
          <w:rFonts w:ascii="Arial" w:hAnsi="Arial" w:cs="Arial"/>
          <w:sz w:val="22"/>
          <w:szCs w:val="22"/>
        </w:rPr>
        <w:t>autotemcel</w:t>
      </w:r>
      <w:proofErr w:type="spellEnd"/>
      <w:r w:rsidRPr="00141857">
        <w:rPr>
          <w:rFonts w:ascii="Arial" w:hAnsi="Arial" w:cs="Arial"/>
          <w:sz w:val="22"/>
          <w:szCs w:val="22"/>
        </w:rPr>
        <w:t xml:space="preserve"> for sickle cell disease) </w:t>
      </w:r>
      <w:r w:rsidRPr="00141857">
        <w:rPr>
          <w:rFonts w:ascii="Arial" w:hAnsi="Arial" w:cs="Arial"/>
          <w:sz w:val="22"/>
          <w:szCs w:val="22"/>
          <w:vertAlign w:val="superscript"/>
        </w:rPr>
        <w:t>PD</w:t>
      </w:r>
      <w:r w:rsidRPr="00141857">
        <w:rPr>
          <w:rFonts w:ascii="Arial" w:hAnsi="Arial" w:cs="Arial"/>
          <w:sz w:val="22"/>
          <w:szCs w:val="22"/>
        </w:rPr>
        <w:t xml:space="preserve"> – </w:t>
      </w:r>
      <w:r w:rsidRPr="00141857">
        <w:rPr>
          <w:rFonts w:ascii="Arial" w:hAnsi="Arial" w:cs="Arial"/>
          <w:b/>
          <w:bCs/>
          <w:sz w:val="22"/>
          <w:szCs w:val="22"/>
        </w:rPr>
        <w:t>PA</w:t>
      </w:r>
      <w:r w:rsidRPr="00141857">
        <w:rPr>
          <w:rFonts w:ascii="Arial" w:hAnsi="Arial" w:cs="Arial"/>
          <w:sz w:val="22"/>
          <w:szCs w:val="22"/>
        </w:rPr>
        <w:t xml:space="preserve">; CO, MB </w:t>
      </w:r>
    </w:p>
    <w:p w14:paraId="4E641336" w14:textId="77777777" w:rsidR="00234B83" w:rsidRDefault="00234B83" w:rsidP="00234B83">
      <w:pPr>
        <w:shd w:val="clear" w:color="auto" w:fill="FFFFFF"/>
        <w:ind w:left="729" w:hanging="630"/>
        <w:jc w:val="center"/>
        <w:rPr>
          <w:rFonts w:ascii="Arial" w:hAnsi="Arial"/>
          <w:b/>
          <w:bCs/>
          <w:sz w:val="18"/>
          <w:szCs w:val="18"/>
        </w:rPr>
      </w:pPr>
      <w:r w:rsidRPr="006E1C33">
        <w:rPr>
          <w:rFonts w:ascii="Arial" w:hAnsi="Arial"/>
          <w:b/>
          <w:bCs/>
          <w:sz w:val="18"/>
          <w:szCs w:val="18"/>
        </w:rPr>
        <w:t>Legend</w:t>
      </w:r>
    </w:p>
    <w:p w14:paraId="1196CFD8" w14:textId="77777777" w:rsidR="00E50862" w:rsidRDefault="00E50862" w:rsidP="005B15B3">
      <w:pPr>
        <w:shd w:val="clear" w:color="auto" w:fill="FFFFFF"/>
        <w:tabs>
          <w:tab w:val="left" w:pos="180"/>
          <w:tab w:val="left" w:pos="360"/>
        </w:tabs>
        <w:ind w:left="270" w:hanging="360"/>
        <w:rPr>
          <w:rFonts w:ascii="Arial" w:hAnsi="Arial"/>
          <w:bCs/>
          <w:sz w:val="18"/>
          <w:szCs w:val="18"/>
        </w:rPr>
      </w:pPr>
      <w:proofErr w:type="gramStart"/>
      <w:r w:rsidRPr="00B645C9">
        <w:rPr>
          <w:rFonts w:ascii="Arial" w:hAnsi="Arial"/>
          <w:b/>
          <w:bCs/>
          <w:sz w:val="18"/>
          <w:szCs w:val="18"/>
        </w:rPr>
        <w:t>PA</w:t>
      </w:r>
      <w:r w:rsidR="009F0526">
        <w:rPr>
          <w:rFonts w:ascii="Arial" w:hAnsi="Arial"/>
          <w:b/>
          <w:bCs/>
          <w:sz w:val="18"/>
          <w:szCs w:val="18"/>
        </w:rPr>
        <w:t xml:space="preserve"> </w:t>
      </w:r>
      <w:r>
        <w:rPr>
          <w:rFonts w:ascii="Arial" w:hAnsi="Arial"/>
          <w:b/>
          <w:bCs/>
          <w:sz w:val="18"/>
          <w:szCs w:val="18"/>
        </w:rPr>
        <w:t xml:space="preserve"> </w:t>
      </w:r>
      <w:r>
        <w:rPr>
          <w:rFonts w:ascii="Arial" w:hAnsi="Arial"/>
          <w:bCs/>
          <w:sz w:val="18"/>
          <w:szCs w:val="18"/>
        </w:rPr>
        <w:t>Prior</w:t>
      </w:r>
      <w:proofErr w:type="gramEnd"/>
      <w:r>
        <w:rPr>
          <w:rFonts w:ascii="Arial" w:hAnsi="Arial"/>
          <w:bCs/>
          <w:sz w:val="18"/>
          <w:szCs w:val="18"/>
        </w:rPr>
        <w:t xml:space="preserve"> authorization is required. The prescriber must obtain prior authorization for the drug </w:t>
      </w:r>
      <w:proofErr w:type="gramStart"/>
      <w:r>
        <w:rPr>
          <w:rFonts w:ascii="Arial" w:hAnsi="Arial"/>
          <w:bCs/>
          <w:sz w:val="18"/>
          <w:szCs w:val="18"/>
        </w:rPr>
        <w:t>in order for</w:t>
      </w:r>
      <w:proofErr w:type="gramEnd"/>
      <w:r>
        <w:rPr>
          <w:rFonts w:ascii="Arial" w:hAnsi="Arial"/>
          <w:bCs/>
          <w:sz w:val="18"/>
          <w:szCs w:val="18"/>
        </w:rPr>
        <w:t xml:space="preserve"> the pharmacy to receive payment. Note: PA applies to both the brand-name and the FDA “A”-rated generic equivalent of listed product.</w:t>
      </w:r>
    </w:p>
    <w:p w14:paraId="61B0514E" w14:textId="77777777" w:rsidR="003240F1" w:rsidRDefault="003240F1" w:rsidP="005B15B3">
      <w:pPr>
        <w:shd w:val="clear" w:color="auto" w:fill="FFFFFF"/>
        <w:tabs>
          <w:tab w:val="left" w:pos="180"/>
          <w:tab w:val="left" w:pos="360"/>
        </w:tabs>
        <w:ind w:left="270" w:hanging="360"/>
        <w:rPr>
          <w:rFonts w:ascii="Arial" w:hAnsi="Arial"/>
          <w:bCs/>
          <w:sz w:val="18"/>
          <w:szCs w:val="18"/>
        </w:rPr>
      </w:pPr>
    </w:p>
    <w:p w14:paraId="442C143F" w14:textId="5BB48867" w:rsidR="009D6D73" w:rsidRPr="009D6D73" w:rsidRDefault="00234B83" w:rsidP="009D6D73">
      <w:pPr>
        <w:shd w:val="clear" w:color="auto" w:fill="FFFFFF"/>
        <w:tabs>
          <w:tab w:val="left" w:pos="270"/>
          <w:tab w:val="left" w:pos="360"/>
        </w:tabs>
        <w:ind w:left="270" w:hanging="360"/>
        <w:rPr>
          <w:rFonts w:ascii="Arial" w:hAnsi="Arial"/>
          <w:bCs/>
          <w:sz w:val="18"/>
          <w:szCs w:val="18"/>
        </w:rPr>
      </w:pPr>
      <w:proofErr w:type="gramStart"/>
      <w:r w:rsidRPr="007F4258">
        <w:rPr>
          <w:rFonts w:ascii="Arial" w:hAnsi="Arial"/>
          <w:b/>
          <w:bCs/>
          <w:sz w:val="18"/>
          <w:szCs w:val="18"/>
        </w:rPr>
        <w:t>MB</w:t>
      </w:r>
      <w:r w:rsidR="009D6D73" w:rsidRPr="007F4258">
        <w:rPr>
          <w:rFonts w:ascii="Arial" w:hAnsi="Arial"/>
          <w:b/>
          <w:bCs/>
          <w:sz w:val="18"/>
          <w:szCs w:val="18"/>
        </w:rPr>
        <w:t xml:space="preserve"> </w:t>
      </w:r>
      <w:r w:rsidR="009D6D73" w:rsidRPr="009D6D73">
        <w:rPr>
          <w:rFonts w:ascii="Arial" w:hAnsi="Arial"/>
          <w:bCs/>
          <w:sz w:val="18"/>
          <w:szCs w:val="18"/>
        </w:rPr>
        <w:t xml:space="preserve"> </w:t>
      </w:r>
      <w:r w:rsidRPr="00234B83">
        <w:rPr>
          <w:rFonts w:ascii="Arial" w:hAnsi="Arial"/>
          <w:bCs/>
          <w:sz w:val="18"/>
          <w:szCs w:val="18"/>
        </w:rPr>
        <w:t>This</w:t>
      </w:r>
      <w:proofErr w:type="gramEnd"/>
      <w:r w:rsidRPr="00234B83">
        <w:rPr>
          <w:rFonts w:ascii="Arial" w:hAnsi="Arial"/>
          <w:bCs/>
          <w:sz w:val="18"/>
          <w:szCs w:val="18"/>
        </w:rPr>
        <w:t xml:space="preserve"> drug is available through the health care professional who administers the drug or in an outpatient or inpatient hospital setting. MassHealth does not pay for this drug to be dispensed through the retail pharmacy. If listed, PA does not apply through the hospital outpatient and inpatient settings. Please refer to 130 CMR 433.408 for PA requirements for other health care professionals. Notwithstanding the above, this drug may be an exception to the unified pharmacy policy; please refer to respective MassHealth Accountable Care Partnership Plans (ACPPs) and Managed Care Organizations (MCOs) for PA status and criteria, if applicable.</w:t>
      </w:r>
    </w:p>
    <w:p w14:paraId="6A1198D7" w14:textId="77777777" w:rsidR="009D6D73" w:rsidRPr="005B15B3" w:rsidRDefault="009D6D73" w:rsidP="00E50862">
      <w:pPr>
        <w:shd w:val="clear" w:color="auto" w:fill="FFFFFF"/>
        <w:tabs>
          <w:tab w:val="left" w:pos="360"/>
        </w:tabs>
        <w:ind w:left="540" w:hanging="630"/>
        <w:rPr>
          <w:rFonts w:ascii="Arial" w:hAnsi="Arial"/>
          <w:bCs/>
          <w:sz w:val="22"/>
          <w:szCs w:val="22"/>
        </w:rPr>
      </w:pPr>
    </w:p>
    <w:p w14:paraId="402155C9" w14:textId="77777777" w:rsidR="00212622" w:rsidRDefault="00E50862" w:rsidP="00212622">
      <w:pPr>
        <w:shd w:val="clear" w:color="auto" w:fill="FFFFFF"/>
        <w:ind w:left="270" w:hanging="441"/>
        <w:rPr>
          <w:rFonts w:ascii="Arial" w:hAnsi="Arial"/>
          <w:bCs/>
          <w:sz w:val="18"/>
          <w:szCs w:val="18"/>
        </w:rPr>
      </w:pPr>
      <w:r w:rsidRPr="005B15B3">
        <w:rPr>
          <w:rFonts w:ascii="Arial" w:hAnsi="Arial"/>
          <w:b/>
          <w:sz w:val="22"/>
          <w:szCs w:val="22"/>
          <w:vertAlign w:val="superscript"/>
        </w:rPr>
        <w:t>BP</w:t>
      </w:r>
      <w:r w:rsidR="004D79B2" w:rsidRPr="005B15B3">
        <w:rPr>
          <w:rFonts w:ascii="Arial" w:hAnsi="Arial"/>
          <w:b/>
          <w:sz w:val="22"/>
          <w:szCs w:val="22"/>
          <w:vertAlign w:val="superscript"/>
        </w:rPr>
        <w:t xml:space="preserve"> </w:t>
      </w:r>
      <w:r w:rsidR="004D79B2">
        <w:rPr>
          <w:rFonts w:ascii="Arial" w:hAnsi="Arial"/>
          <w:b/>
          <w:sz w:val="18"/>
          <w:szCs w:val="18"/>
          <w:vertAlign w:val="superscript"/>
        </w:rPr>
        <w:t xml:space="preserve">  </w:t>
      </w:r>
      <w:r w:rsidR="004D79B2">
        <w:rPr>
          <w:rFonts w:ascii="Arial" w:hAnsi="Arial"/>
          <w:bCs/>
          <w:sz w:val="18"/>
          <w:szCs w:val="18"/>
        </w:rPr>
        <w:t xml:space="preserve">  </w:t>
      </w:r>
      <w:r w:rsidR="009F0526">
        <w:rPr>
          <w:rFonts w:ascii="Arial" w:hAnsi="Arial"/>
          <w:bCs/>
          <w:sz w:val="18"/>
          <w:szCs w:val="18"/>
        </w:rPr>
        <w:tab/>
      </w:r>
      <w:r>
        <w:rPr>
          <w:rFonts w:ascii="Arial" w:hAnsi="Arial"/>
          <w:bCs/>
          <w:sz w:val="18"/>
          <w:szCs w:val="18"/>
        </w:rPr>
        <w:t>Brand preferred over generic equivalents.</w:t>
      </w:r>
      <w:r w:rsidR="005B15B3">
        <w:rPr>
          <w:rFonts w:ascii="Arial" w:hAnsi="Arial"/>
          <w:bCs/>
          <w:sz w:val="18"/>
          <w:szCs w:val="18"/>
        </w:rPr>
        <w:t xml:space="preserve"> </w:t>
      </w:r>
      <w:r>
        <w:rPr>
          <w:rFonts w:ascii="Arial" w:hAnsi="Arial"/>
          <w:bCs/>
          <w:sz w:val="18"/>
          <w:szCs w:val="18"/>
        </w:rPr>
        <w:t>In general, MassHealth requires a trial of the preferred drug or clinical rationale for prescribing the nonpreferred drug generic equivalent</w:t>
      </w:r>
      <w:r w:rsidR="00212622">
        <w:rPr>
          <w:rFonts w:ascii="Arial" w:hAnsi="Arial"/>
          <w:bCs/>
          <w:sz w:val="18"/>
          <w:szCs w:val="18"/>
        </w:rPr>
        <w:t>.</w:t>
      </w:r>
    </w:p>
    <w:p w14:paraId="15C9043E" w14:textId="77777777" w:rsidR="007F4258" w:rsidRDefault="007F4258" w:rsidP="00212622">
      <w:pPr>
        <w:shd w:val="clear" w:color="auto" w:fill="FFFFFF"/>
        <w:ind w:left="270" w:hanging="441"/>
        <w:rPr>
          <w:rFonts w:ascii="Arial" w:hAnsi="Arial"/>
          <w:bCs/>
          <w:sz w:val="18"/>
          <w:szCs w:val="18"/>
        </w:rPr>
      </w:pPr>
    </w:p>
    <w:p w14:paraId="6C283D5D" w14:textId="439506A4" w:rsidR="00212622" w:rsidRDefault="00234B83" w:rsidP="00234B83">
      <w:pPr>
        <w:shd w:val="clear" w:color="auto" w:fill="FFFFFF"/>
        <w:ind w:left="270" w:hanging="441"/>
        <w:rPr>
          <w:rFonts w:ascii="Arial" w:hAnsi="Arial"/>
          <w:bCs/>
          <w:sz w:val="18"/>
          <w:szCs w:val="18"/>
        </w:rPr>
      </w:pPr>
      <w:r w:rsidRPr="007F4258">
        <w:rPr>
          <w:rFonts w:ascii="Arial" w:hAnsi="Arial"/>
          <w:b/>
          <w:bCs/>
          <w:sz w:val="18"/>
          <w:szCs w:val="18"/>
        </w:rPr>
        <w:lastRenderedPageBreak/>
        <w:t>CO</w:t>
      </w:r>
      <w:r w:rsidR="00212622">
        <w:rPr>
          <w:rFonts w:ascii="Arial" w:hAnsi="Arial" w:cs="Arial"/>
          <w:sz w:val="18"/>
          <w:szCs w:val="18"/>
          <w:vertAlign w:val="superscript"/>
        </w:rPr>
        <w:t xml:space="preserve">    </w:t>
      </w:r>
      <w:r w:rsidR="00212622">
        <w:rPr>
          <w:rFonts w:ascii="Arial" w:hAnsi="Arial" w:cs="Arial"/>
          <w:bCs/>
          <w:sz w:val="18"/>
          <w:szCs w:val="18"/>
        </w:rPr>
        <w:t xml:space="preserve"> </w:t>
      </w:r>
      <w:r w:rsidRPr="00234B83">
        <w:rPr>
          <w:rFonts w:ascii="Arial" w:eastAsia="Calibri" w:hAnsi="Arial" w:cs="Arial"/>
          <w:sz w:val="18"/>
          <w:szCs w:val="18"/>
        </w:rPr>
        <w:t>Carve-Out. This agent is listed on the Acute Hospital Carve-Out Drugs List and is subject to additional monitoring and billing requirements.</w:t>
      </w:r>
    </w:p>
    <w:p w14:paraId="5EC6F791" w14:textId="77777777" w:rsidR="00212622" w:rsidRDefault="00212622" w:rsidP="00212622">
      <w:pPr>
        <w:shd w:val="clear" w:color="auto" w:fill="FFFFFF"/>
        <w:ind w:left="270" w:hanging="441"/>
        <w:rPr>
          <w:rFonts w:ascii="Arial" w:hAnsi="Arial"/>
          <w:bCs/>
          <w:sz w:val="18"/>
          <w:szCs w:val="18"/>
        </w:rPr>
      </w:pPr>
      <w:r w:rsidRPr="00B645C9">
        <w:rPr>
          <w:rFonts w:ascii="Arial" w:hAnsi="Arial"/>
          <w:b/>
          <w:sz w:val="22"/>
          <w:szCs w:val="22"/>
          <w:vertAlign w:val="superscript"/>
        </w:rPr>
        <w:t>PD</w:t>
      </w:r>
      <w:r w:rsidRPr="00B645C9">
        <w:rPr>
          <w:rFonts w:ascii="Arial" w:hAnsi="Arial"/>
          <w:b/>
          <w:sz w:val="18"/>
          <w:szCs w:val="18"/>
          <w:vertAlign w:val="superscript"/>
        </w:rPr>
        <w:t xml:space="preserve">    </w:t>
      </w:r>
      <w:r>
        <w:rPr>
          <w:rFonts w:ascii="Arial" w:hAnsi="Arial"/>
          <w:bCs/>
          <w:sz w:val="18"/>
          <w:szCs w:val="18"/>
          <w:vertAlign w:val="superscript"/>
        </w:rPr>
        <w:tab/>
      </w:r>
      <w:r w:rsidRPr="004D79B2">
        <w:rPr>
          <w:rFonts w:ascii="Arial" w:eastAsia="Calibri" w:hAnsi="Arial" w:cs="Arial"/>
          <w:sz w:val="18"/>
          <w:szCs w:val="18"/>
        </w:rPr>
        <w:t>In general, MassHealth requires a trial of the preferred drug (PD) or a clinical rationale for prescribing a nonpreferred drug within a therapeutic class.</w:t>
      </w:r>
      <w:r w:rsidRPr="00212622">
        <w:rPr>
          <w:rFonts w:ascii="Arial" w:hAnsi="Arial"/>
          <w:bCs/>
          <w:sz w:val="18"/>
          <w:szCs w:val="18"/>
        </w:rPr>
        <w:t xml:space="preserve"> </w:t>
      </w:r>
    </w:p>
    <w:p w14:paraId="12146D57" w14:textId="77777777" w:rsidR="00212622" w:rsidRDefault="00212622" w:rsidP="00212622">
      <w:pPr>
        <w:shd w:val="clear" w:color="auto" w:fill="FFFFFF"/>
        <w:ind w:left="270" w:hanging="441"/>
        <w:rPr>
          <w:rFonts w:ascii="Arial" w:hAnsi="Arial" w:cs="Arial"/>
          <w:b/>
          <w:sz w:val="22"/>
          <w:szCs w:val="22"/>
          <w:vertAlign w:val="superscript"/>
        </w:rPr>
      </w:pPr>
    </w:p>
    <w:p w14:paraId="4A40C99C" w14:textId="77777777" w:rsidR="00D66801" w:rsidRDefault="00D66801" w:rsidP="00212622">
      <w:pPr>
        <w:shd w:val="clear" w:color="auto" w:fill="FFFFFF"/>
        <w:ind w:left="270" w:hanging="441"/>
        <w:rPr>
          <w:rFonts w:ascii="Arial" w:eastAsia="Calibri" w:hAnsi="Arial" w:cs="Arial"/>
          <w:sz w:val="18"/>
          <w:szCs w:val="18"/>
        </w:rPr>
      </w:pPr>
    </w:p>
    <w:p w14:paraId="328346A1" w14:textId="77777777" w:rsidR="00D66801" w:rsidRDefault="00D66801" w:rsidP="00212622">
      <w:pPr>
        <w:shd w:val="clear" w:color="auto" w:fill="FFFFFF"/>
        <w:ind w:left="270" w:hanging="441"/>
        <w:rPr>
          <w:bCs/>
          <w:sz w:val="18"/>
          <w:szCs w:val="18"/>
        </w:rPr>
        <w:sectPr w:rsidR="00D66801" w:rsidSect="00CD5705">
          <w:headerReference w:type="default" r:id="rId15"/>
          <w:footerReference w:type="default" r:id="rId16"/>
          <w:type w:val="continuous"/>
          <w:pgSz w:w="12240" w:h="15840" w:code="1"/>
          <w:pgMar w:top="360" w:right="907" w:bottom="720" w:left="907" w:header="720" w:footer="576" w:gutter="0"/>
          <w:cols w:num="2" w:sep="1" w:space="720"/>
          <w:docGrid w:linePitch="360"/>
        </w:sectPr>
      </w:pPr>
    </w:p>
    <w:p w14:paraId="713969F9" w14:textId="77777777" w:rsidR="00A650DC" w:rsidRPr="001721D8" w:rsidRDefault="00A650DC" w:rsidP="00375713">
      <w:pPr>
        <w:tabs>
          <w:tab w:val="left" w:pos="1606"/>
        </w:tabs>
      </w:pPr>
    </w:p>
    <w:sectPr w:rsidR="00A650DC" w:rsidRPr="001721D8" w:rsidSect="00CD5705">
      <w:type w:val="continuous"/>
      <w:pgSz w:w="12240" w:h="15840" w:code="1"/>
      <w:pgMar w:top="1267" w:right="346" w:bottom="288" w:left="907"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C4183" w14:textId="77777777" w:rsidR="00CD5705" w:rsidRDefault="00CD5705" w:rsidP="00492602">
      <w:r>
        <w:separator/>
      </w:r>
    </w:p>
  </w:endnote>
  <w:endnote w:type="continuationSeparator" w:id="0">
    <w:p w14:paraId="1543C755" w14:textId="77777777" w:rsidR="00CD5705" w:rsidRDefault="00CD5705"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7278A" w14:textId="77777777" w:rsidR="00637A67" w:rsidRDefault="006D3B5F" w:rsidP="006D3B5F">
    <w:pPr>
      <w:pStyle w:val="Footer"/>
      <w:pBdr>
        <w:top w:val="single" w:sz="18" w:space="1" w:color="auto"/>
      </w:pBdr>
      <w:tabs>
        <w:tab w:val="clear" w:pos="4680"/>
        <w:tab w:val="clear" w:pos="9360"/>
        <w:tab w:val="left" w:pos="3840"/>
      </w:tabs>
      <w:spacing w:before="12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0B35B" w14:textId="77777777" w:rsidR="00637A67" w:rsidRDefault="00637A67">
    <w:pPr>
      <w:pStyle w:val="Footer"/>
    </w:pPr>
    <w:r>
      <w:t>[Type text]</w:t>
    </w:r>
  </w:p>
  <w:p w14:paraId="06CD7D62" w14:textId="77777777" w:rsidR="00637A67" w:rsidRDefault="00637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F0CE2" w14:textId="77777777" w:rsidR="00FE5811" w:rsidRDefault="00FE5811" w:rsidP="00FE5811">
    <w:pPr>
      <w:pBdr>
        <w:top w:val="single" w:sz="18" w:space="1" w:color="auto"/>
      </w:pBdr>
      <w:tabs>
        <w:tab w:val="left" w:pos="-90"/>
        <w:tab w:val="left" w:pos="530"/>
        <w:tab w:val="center" w:pos="5400"/>
      </w:tabs>
      <w:autoSpaceDE w:val="0"/>
      <w:autoSpaceDN w:val="0"/>
      <w:adjustRightInd w:val="0"/>
      <w:jc w:val="center"/>
      <w:textAlignment w:val="baseline"/>
      <w:rPr>
        <w:rFonts w:ascii="Arial" w:hAnsi="Arial" w:cs="Arial"/>
        <w:iCs/>
        <w:sz w:val="18"/>
        <w:szCs w:val="18"/>
      </w:rPr>
    </w:pPr>
    <w:r>
      <w:rPr>
        <w:rFonts w:ascii="Arial" w:hAnsi="Arial" w:cs="Arial"/>
        <w:iCs/>
        <w:sz w:val="18"/>
        <w:szCs w:val="18"/>
      </w:rPr>
      <w:t>Please direct any</w:t>
    </w:r>
    <w:r w:rsidRPr="002D3600">
      <w:rPr>
        <w:rFonts w:ascii="Arial" w:hAnsi="Arial" w:cs="Arial"/>
        <w:iCs/>
        <w:sz w:val="18"/>
        <w:szCs w:val="18"/>
      </w:rPr>
      <w:t xml:space="preserve"> questions or comments</w:t>
    </w:r>
    <w:r>
      <w:rPr>
        <w:rFonts w:ascii="Arial" w:hAnsi="Arial" w:cs="Arial"/>
        <w:iCs/>
        <w:sz w:val="18"/>
        <w:szCs w:val="18"/>
      </w:rPr>
      <w:t xml:space="preserve"> (or </w:t>
    </w:r>
    <w:r w:rsidRPr="002D3600">
      <w:rPr>
        <w:rFonts w:ascii="Arial" w:hAnsi="Arial" w:cs="Arial"/>
        <w:iCs/>
        <w:sz w:val="18"/>
        <w:szCs w:val="18"/>
      </w:rPr>
      <w:t>to be removed from this fax distribution</w:t>
    </w:r>
    <w:r>
      <w:rPr>
        <w:rFonts w:ascii="Arial" w:hAnsi="Arial" w:cs="Arial"/>
        <w:iCs/>
        <w:sz w:val="18"/>
        <w:szCs w:val="18"/>
      </w:rPr>
      <w:t>)</w:t>
    </w:r>
    <w:r w:rsidRPr="002D3600">
      <w:rPr>
        <w:rFonts w:ascii="Arial" w:hAnsi="Arial" w:cs="Arial"/>
        <w:iCs/>
        <w:sz w:val="18"/>
        <w:szCs w:val="18"/>
      </w:rPr>
      <w:t xml:space="preserve"> </w:t>
    </w:r>
    <w:r>
      <w:rPr>
        <w:rFonts w:ascii="Arial" w:hAnsi="Arial" w:cs="Arial"/>
        <w:iCs/>
        <w:sz w:val="18"/>
        <w:szCs w:val="18"/>
      </w:rPr>
      <w:t>to</w:t>
    </w:r>
  </w:p>
  <w:p w14:paraId="080F3C14" w14:textId="0F4FAACF" w:rsidR="00637A67" w:rsidRPr="00FE5811" w:rsidRDefault="00C76BCE" w:rsidP="00FE5811">
    <w:pPr>
      <w:tabs>
        <w:tab w:val="left" w:pos="-90"/>
      </w:tabs>
      <w:autoSpaceDE w:val="0"/>
      <w:autoSpaceDN w:val="0"/>
      <w:adjustRightInd w:val="0"/>
      <w:jc w:val="center"/>
      <w:textAlignment w:val="baseline"/>
    </w:pPr>
    <w:hyperlink r:id="rId1" w:history="1">
      <w:r w:rsidR="00FE5811" w:rsidRPr="00386AF8">
        <w:rPr>
          <w:rStyle w:val="Hyperlink"/>
          <w:rFonts w:ascii="Arial" w:hAnsi="Arial" w:cs="Arial"/>
          <w:iCs/>
          <w:sz w:val="18"/>
          <w:szCs w:val="18"/>
        </w:rPr>
        <w:t>PharmFactsMA@Conduent.com</w:t>
      </w:r>
    </w:hyperlink>
    <w:r w:rsidR="00FE5811">
      <w:rPr>
        <w:rFonts w:ascii="Arial" w:hAnsi="Arial" w:cs="Arial"/>
        <w:i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4AEC7" w14:textId="77777777" w:rsidR="00CD5705" w:rsidRDefault="00CD5705" w:rsidP="00492602">
      <w:r>
        <w:separator/>
      </w:r>
    </w:p>
  </w:footnote>
  <w:footnote w:type="continuationSeparator" w:id="0">
    <w:p w14:paraId="218B7A15" w14:textId="77777777" w:rsidR="00CD5705" w:rsidRDefault="00CD5705" w:rsidP="00492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8CA5C" w14:textId="77777777" w:rsidR="00492602" w:rsidRDefault="00492602" w:rsidP="00492602">
    <w:pPr>
      <w:pStyle w:val="Header"/>
    </w:pPr>
  </w:p>
  <w:p w14:paraId="70381DC3" w14:textId="77777777" w:rsidR="00492602" w:rsidRDefault="004926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DEDF9" w14:textId="5666A53B" w:rsidR="00492602" w:rsidRDefault="00492602" w:rsidP="006D3B5F">
    <w:pPr>
      <w:pStyle w:val="Default"/>
      <w:pBdr>
        <w:bottom w:val="single" w:sz="18" w:space="1" w:color="auto"/>
      </w:pBdr>
      <w:tabs>
        <w:tab w:val="right" w:pos="10440"/>
      </w:tabs>
      <w:spacing w:after="240"/>
      <w:rPr>
        <w:color w:val="FF0000"/>
        <w:sz w:val="18"/>
        <w:szCs w:val="18"/>
      </w:rPr>
    </w:pPr>
    <w:r w:rsidRPr="00AD18B8">
      <w:rPr>
        <w:sz w:val="18"/>
        <w:szCs w:val="18"/>
      </w:rPr>
      <w:t>P</w:t>
    </w:r>
    <w:r>
      <w:rPr>
        <w:sz w:val="18"/>
        <w:szCs w:val="18"/>
      </w:rPr>
      <w:t xml:space="preserve">harmacy Facts, Number </w:t>
    </w:r>
    <w:r w:rsidR="00631627" w:rsidRPr="00631627">
      <w:rPr>
        <w:color w:val="auto"/>
        <w:sz w:val="18"/>
        <w:szCs w:val="18"/>
      </w:rPr>
      <w:t>223</w:t>
    </w:r>
    <w:r>
      <w:rPr>
        <w:color w:val="FF0000"/>
        <w:sz w:val="18"/>
        <w:szCs w:val="18"/>
      </w:rPr>
      <w:tab/>
    </w:r>
    <w:r w:rsidRPr="00EC1948">
      <w:rPr>
        <w:color w:val="auto"/>
        <w:sz w:val="18"/>
        <w:szCs w:val="18"/>
      </w:rPr>
      <w:t xml:space="preserve">Page </w:t>
    </w:r>
    <w:r w:rsidR="005A57BA" w:rsidRPr="00EC1948">
      <w:rPr>
        <w:color w:val="auto"/>
        <w:sz w:val="18"/>
        <w:szCs w:val="18"/>
      </w:rPr>
      <w:fldChar w:fldCharType="begin"/>
    </w:r>
    <w:r w:rsidR="005A57BA" w:rsidRPr="00EC1948">
      <w:rPr>
        <w:color w:val="auto"/>
        <w:sz w:val="18"/>
        <w:szCs w:val="18"/>
      </w:rPr>
      <w:instrText xml:space="preserve"> PAGE   \* MERGEFORMAT </w:instrText>
    </w:r>
    <w:r w:rsidR="005A57BA" w:rsidRPr="00EC1948">
      <w:rPr>
        <w:color w:val="auto"/>
        <w:sz w:val="18"/>
        <w:szCs w:val="18"/>
      </w:rPr>
      <w:fldChar w:fldCharType="separate"/>
    </w:r>
    <w:r w:rsidR="001378CB">
      <w:rPr>
        <w:noProof/>
        <w:color w:val="auto"/>
        <w:sz w:val="18"/>
        <w:szCs w:val="18"/>
      </w:rPr>
      <w:t>2</w:t>
    </w:r>
    <w:r w:rsidR="005A57BA" w:rsidRPr="00EC1948">
      <w:rPr>
        <w:noProof/>
        <w:color w:val="auto"/>
        <w:sz w:val="18"/>
        <w:szCs w:val="18"/>
      </w:rPr>
      <w:fldChar w:fldCharType="end"/>
    </w:r>
    <w:r w:rsidR="005A57BA" w:rsidRPr="00EC1948">
      <w:rPr>
        <w:noProof/>
        <w:color w:val="auto"/>
        <w:sz w:val="18"/>
        <w:szCs w:val="18"/>
      </w:rPr>
      <w:t xml:space="preserve"> of </w:t>
    </w:r>
    <w:r w:rsidR="00375713">
      <w:rPr>
        <w:noProof/>
        <w:color w:val="auto"/>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B6E0A"/>
    <w:multiLevelType w:val="hybridMultilevel"/>
    <w:tmpl w:val="1714C2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8374FF"/>
    <w:multiLevelType w:val="hybridMultilevel"/>
    <w:tmpl w:val="CF8A7ED4"/>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61608BA"/>
    <w:multiLevelType w:val="hybridMultilevel"/>
    <w:tmpl w:val="DA8259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DF7073"/>
    <w:multiLevelType w:val="hybridMultilevel"/>
    <w:tmpl w:val="5D304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F1C32E7"/>
    <w:multiLevelType w:val="hybridMultilevel"/>
    <w:tmpl w:val="A04AB496"/>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5C1C2E"/>
    <w:multiLevelType w:val="hybridMultilevel"/>
    <w:tmpl w:val="5B982D1A"/>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32CB5B2D"/>
    <w:multiLevelType w:val="hybridMultilevel"/>
    <w:tmpl w:val="2976D676"/>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388255C"/>
    <w:multiLevelType w:val="hybridMultilevel"/>
    <w:tmpl w:val="C11E1E12"/>
    <w:lvl w:ilvl="0" w:tplc="04090019">
      <w:start w:val="1"/>
      <w:numFmt w:val="lowerLetter"/>
      <w:lvlText w:val="%1."/>
      <w:lvlJc w:val="left"/>
      <w:pPr>
        <w:ind w:left="72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632898"/>
    <w:multiLevelType w:val="hybridMultilevel"/>
    <w:tmpl w:val="F05A61BA"/>
    <w:lvl w:ilvl="0" w:tplc="8020DB58">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491F7C70"/>
    <w:multiLevelType w:val="hybridMultilevel"/>
    <w:tmpl w:val="2A00940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9FC0B0C"/>
    <w:multiLevelType w:val="hybridMultilevel"/>
    <w:tmpl w:val="00586DCA"/>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ACC2FEB"/>
    <w:multiLevelType w:val="hybridMultilevel"/>
    <w:tmpl w:val="2DA09A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4616417"/>
    <w:multiLevelType w:val="hybridMultilevel"/>
    <w:tmpl w:val="3C1EC3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F71DBF"/>
    <w:multiLevelType w:val="hybridMultilevel"/>
    <w:tmpl w:val="C240A4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692164E8"/>
    <w:multiLevelType w:val="hybridMultilevel"/>
    <w:tmpl w:val="C510893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6C0C5364"/>
    <w:multiLevelType w:val="hybridMultilevel"/>
    <w:tmpl w:val="F4807D2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AC4BB8"/>
    <w:multiLevelType w:val="hybridMultilevel"/>
    <w:tmpl w:val="1AB28AAE"/>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237D44"/>
    <w:multiLevelType w:val="hybridMultilevel"/>
    <w:tmpl w:val="F3FA3D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6482787">
    <w:abstractNumId w:val="12"/>
  </w:num>
  <w:num w:numId="2" w16cid:durableId="678387703">
    <w:abstractNumId w:val="18"/>
  </w:num>
  <w:num w:numId="3" w16cid:durableId="171258805">
    <w:abstractNumId w:val="23"/>
  </w:num>
  <w:num w:numId="4" w16cid:durableId="933971704">
    <w:abstractNumId w:val="9"/>
  </w:num>
  <w:num w:numId="5" w16cid:durableId="1146894553">
    <w:abstractNumId w:val="11"/>
  </w:num>
  <w:num w:numId="6" w16cid:durableId="1099835229">
    <w:abstractNumId w:val="17"/>
  </w:num>
  <w:num w:numId="7" w16cid:durableId="1091773746">
    <w:abstractNumId w:val="24"/>
  </w:num>
  <w:num w:numId="8" w16cid:durableId="775977178">
    <w:abstractNumId w:val="2"/>
  </w:num>
  <w:num w:numId="9" w16cid:durableId="1192911353">
    <w:abstractNumId w:val="0"/>
  </w:num>
  <w:num w:numId="10" w16cid:durableId="1998994280">
    <w:abstractNumId w:val="21"/>
  </w:num>
  <w:num w:numId="11" w16cid:durableId="775295628">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2849363">
    <w:abstractNumId w:val="5"/>
  </w:num>
  <w:num w:numId="13" w16cid:durableId="489909912">
    <w:abstractNumId w:val="23"/>
  </w:num>
  <w:num w:numId="14" w16cid:durableId="1277714414">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3933419">
    <w:abstractNumId w:val="17"/>
  </w:num>
  <w:num w:numId="16" w16cid:durableId="1632830456">
    <w:abstractNumId w:val="20"/>
  </w:num>
  <w:num w:numId="17" w16cid:durableId="1271858877">
    <w:abstractNumId w:val="1"/>
  </w:num>
  <w:num w:numId="18" w16cid:durableId="12856954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5621985">
    <w:abstractNumId w:val="6"/>
  </w:num>
  <w:num w:numId="20" w16cid:durableId="155609916">
    <w:abstractNumId w:val="4"/>
  </w:num>
  <w:num w:numId="21" w16cid:durableId="749011242">
    <w:abstractNumId w:val="10"/>
  </w:num>
  <w:num w:numId="22" w16cid:durableId="2135520725">
    <w:abstractNumId w:val="25"/>
  </w:num>
  <w:num w:numId="23" w16cid:durableId="1269894124">
    <w:abstractNumId w:val="26"/>
  </w:num>
  <w:num w:numId="24" w16cid:durableId="1534229008">
    <w:abstractNumId w:val="16"/>
  </w:num>
  <w:num w:numId="25" w16cid:durableId="480999597">
    <w:abstractNumId w:val="22"/>
  </w:num>
  <w:num w:numId="26" w16cid:durableId="1315139087">
    <w:abstractNumId w:val="18"/>
  </w:num>
  <w:num w:numId="27" w16cid:durableId="1267928792">
    <w:abstractNumId w:val="19"/>
  </w:num>
  <w:num w:numId="28" w16cid:durableId="936526456">
    <w:abstractNumId w:val="7"/>
  </w:num>
  <w:num w:numId="29" w16cid:durableId="873735204">
    <w:abstractNumId w:val="8"/>
  </w:num>
  <w:num w:numId="30" w16cid:durableId="921723998">
    <w:abstractNumId w:val="3"/>
  </w:num>
  <w:num w:numId="31" w16cid:durableId="8422077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39"/>
    <w:rsid w:val="0002450C"/>
    <w:rsid w:val="00054839"/>
    <w:rsid w:val="00061F50"/>
    <w:rsid w:val="000658A5"/>
    <w:rsid w:val="000713D3"/>
    <w:rsid w:val="00074014"/>
    <w:rsid w:val="00081E8E"/>
    <w:rsid w:val="000A6318"/>
    <w:rsid w:val="000D1502"/>
    <w:rsid w:val="00123D58"/>
    <w:rsid w:val="0012682D"/>
    <w:rsid w:val="001378CB"/>
    <w:rsid w:val="00137D3D"/>
    <w:rsid w:val="00140D08"/>
    <w:rsid w:val="00147437"/>
    <w:rsid w:val="00157A49"/>
    <w:rsid w:val="00171445"/>
    <w:rsid w:val="001721D8"/>
    <w:rsid w:val="0018357E"/>
    <w:rsid w:val="001864A9"/>
    <w:rsid w:val="001A125B"/>
    <w:rsid w:val="001C1481"/>
    <w:rsid w:val="001E779F"/>
    <w:rsid w:val="0021214A"/>
    <w:rsid w:val="00212477"/>
    <w:rsid w:val="00212622"/>
    <w:rsid w:val="002275AE"/>
    <w:rsid w:val="00234B83"/>
    <w:rsid w:val="002509E9"/>
    <w:rsid w:val="00274F3E"/>
    <w:rsid w:val="00276F3A"/>
    <w:rsid w:val="00282226"/>
    <w:rsid w:val="00286CBE"/>
    <w:rsid w:val="00291397"/>
    <w:rsid w:val="002C7C67"/>
    <w:rsid w:val="002D390F"/>
    <w:rsid w:val="002D738C"/>
    <w:rsid w:val="002E2F9E"/>
    <w:rsid w:val="002F459B"/>
    <w:rsid w:val="003152DA"/>
    <w:rsid w:val="003240F1"/>
    <w:rsid w:val="0033053B"/>
    <w:rsid w:val="00351497"/>
    <w:rsid w:val="00360067"/>
    <w:rsid w:val="00361733"/>
    <w:rsid w:val="0036343A"/>
    <w:rsid w:val="00372195"/>
    <w:rsid w:val="0037373E"/>
    <w:rsid w:val="00375713"/>
    <w:rsid w:val="00382054"/>
    <w:rsid w:val="003911FC"/>
    <w:rsid w:val="003B6839"/>
    <w:rsid w:val="003C45A1"/>
    <w:rsid w:val="003D3B27"/>
    <w:rsid w:val="003F533B"/>
    <w:rsid w:val="00447A5F"/>
    <w:rsid w:val="00456B5A"/>
    <w:rsid w:val="00457528"/>
    <w:rsid w:val="004664D3"/>
    <w:rsid w:val="00492602"/>
    <w:rsid w:val="0049423D"/>
    <w:rsid w:val="00494D38"/>
    <w:rsid w:val="004A3BAA"/>
    <w:rsid w:val="004A7395"/>
    <w:rsid w:val="004C1DAD"/>
    <w:rsid w:val="004D1BC7"/>
    <w:rsid w:val="004D20D7"/>
    <w:rsid w:val="004D79B2"/>
    <w:rsid w:val="004F5506"/>
    <w:rsid w:val="004F5612"/>
    <w:rsid w:val="005052D9"/>
    <w:rsid w:val="00516394"/>
    <w:rsid w:val="0052118E"/>
    <w:rsid w:val="00527F95"/>
    <w:rsid w:val="005314A6"/>
    <w:rsid w:val="005502E1"/>
    <w:rsid w:val="0055514F"/>
    <w:rsid w:val="0056481B"/>
    <w:rsid w:val="0057156C"/>
    <w:rsid w:val="00571898"/>
    <w:rsid w:val="00574ECE"/>
    <w:rsid w:val="00574F07"/>
    <w:rsid w:val="0057528C"/>
    <w:rsid w:val="00581E50"/>
    <w:rsid w:val="005835F0"/>
    <w:rsid w:val="005842A0"/>
    <w:rsid w:val="005958DD"/>
    <w:rsid w:val="005A57BA"/>
    <w:rsid w:val="005B15B3"/>
    <w:rsid w:val="005D723D"/>
    <w:rsid w:val="005F0C17"/>
    <w:rsid w:val="005F2371"/>
    <w:rsid w:val="00623469"/>
    <w:rsid w:val="00631627"/>
    <w:rsid w:val="00634C49"/>
    <w:rsid w:val="00637A67"/>
    <w:rsid w:val="00644AAF"/>
    <w:rsid w:val="00650095"/>
    <w:rsid w:val="00651CA7"/>
    <w:rsid w:val="00656A01"/>
    <w:rsid w:val="00657D21"/>
    <w:rsid w:val="006615EC"/>
    <w:rsid w:val="00673F96"/>
    <w:rsid w:val="00674418"/>
    <w:rsid w:val="00674428"/>
    <w:rsid w:val="006753A6"/>
    <w:rsid w:val="00686C26"/>
    <w:rsid w:val="00690023"/>
    <w:rsid w:val="00696F48"/>
    <w:rsid w:val="0069772F"/>
    <w:rsid w:val="006A7D28"/>
    <w:rsid w:val="006D3B5F"/>
    <w:rsid w:val="006E0C20"/>
    <w:rsid w:val="006E22A3"/>
    <w:rsid w:val="006F35F9"/>
    <w:rsid w:val="007319D7"/>
    <w:rsid w:val="00731FAF"/>
    <w:rsid w:val="007426BF"/>
    <w:rsid w:val="00760FDF"/>
    <w:rsid w:val="007757E7"/>
    <w:rsid w:val="00781D3B"/>
    <w:rsid w:val="007A038A"/>
    <w:rsid w:val="007A41F5"/>
    <w:rsid w:val="007B2F2D"/>
    <w:rsid w:val="007B4429"/>
    <w:rsid w:val="007B7425"/>
    <w:rsid w:val="007F4258"/>
    <w:rsid w:val="007F5417"/>
    <w:rsid w:val="00804116"/>
    <w:rsid w:val="00812480"/>
    <w:rsid w:val="00816CE2"/>
    <w:rsid w:val="00821937"/>
    <w:rsid w:val="008340D0"/>
    <w:rsid w:val="008403CA"/>
    <w:rsid w:val="008474A5"/>
    <w:rsid w:val="0085395A"/>
    <w:rsid w:val="00853F8E"/>
    <w:rsid w:val="0086142C"/>
    <w:rsid w:val="00870F52"/>
    <w:rsid w:val="00872E7F"/>
    <w:rsid w:val="00880FA9"/>
    <w:rsid w:val="008930F1"/>
    <w:rsid w:val="00893F45"/>
    <w:rsid w:val="008C5414"/>
    <w:rsid w:val="008C66D8"/>
    <w:rsid w:val="008E4B33"/>
    <w:rsid w:val="008F0130"/>
    <w:rsid w:val="008F2E4C"/>
    <w:rsid w:val="00905C46"/>
    <w:rsid w:val="00906EEC"/>
    <w:rsid w:val="009166DF"/>
    <w:rsid w:val="009204C7"/>
    <w:rsid w:val="00922030"/>
    <w:rsid w:val="009365C7"/>
    <w:rsid w:val="0094076D"/>
    <w:rsid w:val="00941258"/>
    <w:rsid w:val="00942245"/>
    <w:rsid w:val="00956812"/>
    <w:rsid w:val="0095770E"/>
    <w:rsid w:val="009725E5"/>
    <w:rsid w:val="00974CFD"/>
    <w:rsid w:val="00981567"/>
    <w:rsid w:val="009C3981"/>
    <w:rsid w:val="009D1341"/>
    <w:rsid w:val="009D6D73"/>
    <w:rsid w:val="009D79C6"/>
    <w:rsid w:val="009F0440"/>
    <w:rsid w:val="009F0526"/>
    <w:rsid w:val="00A01DE3"/>
    <w:rsid w:val="00A06542"/>
    <w:rsid w:val="00A11371"/>
    <w:rsid w:val="00A120E1"/>
    <w:rsid w:val="00A31FAA"/>
    <w:rsid w:val="00A343A9"/>
    <w:rsid w:val="00A5239C"/>
    <w:rsid w:val="00A56A33"/>
    <w:rsid w:val="00A571F6"/>
    <w:rsid w:val="00A650DC"/>
    <w:rsid w:val="00A6764A"/>
    <w:rsid w:val="00A84255"/>
    <w:rsid w:val="00AC1AC7"/>
    <w:rsid w:val="00AD18B8"/>
    <w:rsid w:val="00AD33D5"/>
    <w:rsid w:val="00AE21FC"/>
    <w:rsid w:val="00B01BAA"/>
    <w:rsid w:val="00B07BD7"/>
    <w:rsid w:val="00B10600"/>
    <w:rsid w:val="00B13AA5"/>
    <w:rsid w:val="00B3099B"/>
    <w:rsid w:val="00B40A71"/>
    <w:rsid w:val="00B503C7"/>
    <w:rsid w:val="00B54AB5"/>
    <w:rsid w:val="00B645C9"/>
    <w:rsid w:val="00B86F04"/>
    <w:rsid w:val="00B92C96"/>
    <w:rsid w:val="00BA64D7"/>
    <w:rsid w:val="00BA68F0"/>
    <w:rsid w:val="00BD08CA"/>
    <w:rsid w:val="00BD1C5A"/>
    <w:rsid w:val="00BF0DF4"/>
    <w:rsid w:val="00C00CF2"/>
    <w:rsid w:val="00C15672"/>
    <w:rsid w:val="00C21680"/>
    <w:rsid w:val="00C31421"/>
    <w:rsid w:val="00C33753"/>
    <w:rsid w:val="00C35B94"/>
    <w:rsid w:val="00C559C9"/>
    <w:rsid w:val="00C76BCE"/>
    <w:rsid w:val="00C82FA4"/>
    <w:rsid w:val="00CA0669"/>
    <w:rsid w:val="00CA1E7C"/>
    <w:rsid w:val="00CB0030"/>
    <w:rsid w:val="00CB7521"/>
    <w:rsid w:val="00CC57AC"/>
    <w:rsid w:val="00CC776C"/>
    <w:rsid w:val="00CD4651"/>
    <w:rsid w:val="00CD5705"/>
    <w:rsid w:val="00CD6D68"/>
    <w:rsid w:val="00CF2057"/>
    <w:rsid w:val="00D0584B"/>
    <w:rsid w:val="00D213BF"/>
    <w:rsid w:val="00D2695E"/>
    <w:rsid w:val="00D450C8"/>
    <w:rsid w:val="00D521FA"/>
    <w:rsid w:val="00D66801"/>
    <w:rsid w:val="00D779F2"/>
    <w:rsid w:val="00D81121"/>
    <w:rsid w:val="00D939D0"/>
    <w:rsid w:val="00DA6A55"/>
    <w:rsid w:val="00E06F7D"/>
    <w:rsid w:val="00E24139"/>
    <w:rsid w:val="00E3616D"/>
    <w:rsid w:val="00E50862"/>
    <w:rsid w:val="00E60ABB"/>
    <w:rsid w:val="00E62D91"/>
    <w:rsid w:val="00E67611"/>
    <w:rsid w:val="00E67713"/>
    <w:rsid w:val="00E72DFF"/>
    <w:rsid w:val="00E92E47"/>
    <w:rsid w:val="00E9576D"/>
    <w:rsid w:val="00EC08AC"/>
    <w:rsid w:val="00EC1948"/>
    <w:rsid w:val="00ED4639"/>
    <w:rsid w:val="00EE54D2"/>
    <w:rsid w:val="00EF7C8A"/>
    <w:rsid w:val="00F2514F"/>
    <w:rsid w:val="00F25E7F"/>
    <w:rsid w:val="00F274DE"/>
    <w:rsid w:val="00F6038A"/>
    <w:rsid w:val="00F643E6"/>
    <w:rsid w:val="00F76D69"/>
    <w:rsid w:val="00F9012C"/>
    <w:rsid w:val="00F9097E"/>
    <w:rsid w:val="00F92D22"/>
    <w:rsid w:val="00F93C6C"/>
    <w:rsid w:val="00FA5147"/>
    <w:rsid w:val="00FB0C11"/>
    <w:rsid w:val="00FB5301"/>
    <w:rsid w:val="00FD4894"/>
    <w:rsid w:val="00FE5811"/>
    <w:rsid w:val="00FE6B9E"/>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7C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
    <w:basedOn w:val="Normal"/>
    <w:rsid w:val="00E50862"/>
    <w:pPr>
      <w:tabs>
        <w:tab w:val="left" w:pos="-90"/>
      </w:tabs>
      <w:autoSpaceDE w:val="0"/>
      <w:autoSpaceDN w:val="0"/>
      <w:adjustRightInd w:val="0"/>
      <w:spacing w:after="122" w:line="292" w:lineRule="atLeast"/>
    </w:pPr>
    <w:rPr>
      <w:rFonts w:ascii="Arial" w:hAnsi="Arial" w:cs="Arial"/>
      <w:color w:val="000000"/>
      <w:sz w:val="21"/>
      <w:szCs w:val="21"/>
    </w:rPr>
  </w:style>
  <w:style w:type="paragraph" w:styleId="ListParagraph">
    <w:name w:val="List Paragraph"/>
    <w:basedOn w:val="Normal"/>
    <w:uiPriority w:val="34"/>
    <w:qFormat/>
    <w:rsid w:val="00AD33D5"/>
    <w:pPr>
      <w:ind w:left="720"/>
    </w:pPr>
  </w:style>
  <w:style w:type="character" w:styleId="Hyperlink">
    <w:name w:val="Hyperlink"/>
    <w:basedOn w:val="DefaultParagraphFont"/>
    <w:unhideWhenUsed/>
    <w:rsid w:val="00FE5811"/>
    <w:rPr>
      <w:color w:val="0000FF" w:themeColor="hyperlink"/>
      <w:u w:val="single"/>
    </w:rPr>
  </w:style>
  <w:style w:type="character" w:styleId="UnresolvedMention">
    <w:name w:val="Unresolved Mention"/>
    <w:basedOn w:val="DefaultParagraphFont"/>
    <w:uiPriority w:val="99"/>
    <w:semiHidden/>
    <w:unhideWhenUsed/>
    <w:rsid w:val="00BD1C5A"/>
    <w:rPr>
      <w:color w:val="605E5C"/>
      <w:shd w:val="clear" w:color="auto" w:fill="E1DFDD"/>
    </w:rPr>
  </w:style>
  <w:style w:type="paragraph" w:styleId="Revision">
    <w:name w:val="Revision"/>
    <w:hidden/>
    <w:uiPriority w:val="99"/>
    <w:semiHidden/>
    <w:rsid w:val="00A56A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683172592">
      <w:bodyDiv w:val="1"/>
      <w:marLeft w:val="0"/>
      <w:marRight w:val="0"/>
      <w:marTop w:val="0"/>
      <w:marBottom w:val="0"/>
      <w:divBdr>
        <w:top w:val="none" w:sz="0" w:space="0" w:color="auto"/>
        <w:left w:val="none" w:sz="0" w:space="0" w:color="auto"/>
        <w:bottom w:val="none" w:sz="0" w:space="0" w:color="auto"/>
        <w:right w:val="none" w:sz="0" w:space="0" w:color="auto"/>
      </w:divBdr>
    </w:div>
    <w:div w:id="1503013182">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 w:id="175597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mass.gov/doc/managed-care-entity-bulletin-109-obesity-drugs-and-the-340b-drug-pricing-program-0/downloa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doc/pharmacy-facts-222-february-27-2024-0/downloa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ass.gov/doc/managed-care-entity-bulletin-112-obesity-drugs-and-the-340b-drug-pricing-program-change-in-effective-date-0/downloa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5BC3F-4FDF-49AF-86C5-B2B9F468E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2024-03-26T15:41:00Z</dcterms:created>
  <dcterms:modified xsi:type="dcterms:W3CDTF">2024-03-28T11:35:00Z</dcterms:modified>
</cp:coreProperties>
</file>