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BE7" w14:textId="77C8188E" w:rsidR="007E4380" w:rsidRPr="002F086F" w:rsidRDefault="007E4380" w:rsidP="007E4380">
      <w:pPr>
        <w:pStyle w:val="Noparagraphstyle"/>
        <w:rPr>
          <w:rFonts w:ascii="Arial Narrow" w:hAnsi="Arial Narrow"/>
          <w:b/>
          <w:sz w:val="20"/>
          <w:szCs w:val="20"/>
        </w:rPr>
      </w:pPr>
      <w:r w:rsidRPr="002F086F">
        <w:rPr>
          <w:rFonts w:ascii="Arial Narrow" w:hAnsi="Arial Narrow"/>
          <w:b/>
          <w:sz w:val="20"/>
          <w:szCs w:val="20"/>
        </w:rPr>
        <w:t xml:space="preserve">Number </w:t>
      </w:r>
      <w:r w:rsidR="002F086F" w:rsidRPr="002F086F">
        <w:rPr>
          <w:rFonts w:ascii="Arial Narrow" w:hAnsi="Arial Narrow"/>
          <w:b/>
          <w:color w:val="auto"/>
          <w:sz w:val="20"/>
          <w:szCs w:val="20"/>
        </w:rPr>
        <w:t>226</w:t>
      </w:r>
      <w:r w:rsidRPr="002F086F">
        <w:rPr>
          <w:rFonts w:ascii="Arial Narrow" w:hAnsi="Arial Narrow"/>
          <w:b/>
          <w:color w:val="auto"/>
          <w:sz w:val="20"/>
          <w:szCs w:val="20"/>
        </w:rPr>
        <w:t xml:space="preserve">, </w:t>
      </w:r>
      <w:r w:rsidR="006215FA" w:rsidRPr="002F086F">
        <w:rPr>
          <w:rFonts w:ascii="Arial Narrow" w:hAnsi="Arial Narrow"/>
          <w:b/>
          <w:color w:val="auto"/>
          <w:sz w:val="20"/>
          <w:szCs w:val="20"/>
        </w:rPr>
        <w:t>April 22, 2024</w:t>
      </w:r>
    </w:p>
    <w:p w14:paraId="5B1A8BE8" w14:textId="36508A1C" w:rsidR="006F35F9" w:rsidRPr="002F086F" w:rsidRDefault="00172862" w:rsidP="00E44D32">
      <w:pPr>
        <w:tabs>
          <w:tab w:val="left" w:pos="10530"/>
        </w:tabs>
        <w:spacing w:after="240"/>
        <w:ind w:left="-144" w:right="720"/>
        <w:rPr>
          <w:rFonts w:ascii="Arial" w:hAnsi="Arial" w:cs="Arial"/>
          <w:color w:val="000000"/>
          <w:sz w:val="21"/>
          <w:szCs w:val="21"/>
        </w:rPr>
        <w:sectPr w:rsidR="006F35F9" w:rsidRPr="002F086F" w:rsidSect="001362EA">
          <w:headerReference w:type="default" r:id="rId8"/>
          <w:footerReference w:type="default" r:id="rId9"/>
          <w:footerReference w:type="first" r:id="rId10"/>
          <w:pgSz w:w="12240" w:h="15840" w:code="1"/>
          <w:pgMar w:top="360" w:right="907" w:bottom="446" w:left="907" w:header="0" w:footer="288" w:gutter="0"/>
          <w:cols w:space="720"/>
          <w:docGrid w:linePitch="360"/>
        </w:sectPr>
      </w:pPr>
      <w:r w:rsidRPr="002F086F">
        <w:rPr>
          <w:rFonts w:ascii="Arial" w:hAnsi="Arial" w:cs="Arial"/>
          <w:noProof/>
          <w:color w:val="000000"/>
          <w:sz w:val="21"/>
          <w:szCs w:val="21"/>
        </w:rPr>
        <w:drawing>
          <wp:inline distT="0" distB="0" distL="0" distR="0" wp14:anchorId="4ACF3654" wp14:editId="18FA2A58">
            <wp:extent cx="6753584" cy="1713336"/>
            <wp:effectExtent l="0" t="0" r="0" b="1270"/>
            <wp:docPr id="206250170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01706"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73424" cy="1718369"/>
                    </a:xfrm>
                    <a:prstGeom prst="rect">
                      <a:avLst/>
                    </a:prstGeom>
                  </pic:spPr>
                </pic:pic>
              </a:graphicData>
            </a:graphic>
          </wp:inline>
        </w:drawing>
      </w:r>
    </w:p>
    <w:p w14:paraId="58A03B51" w14:textId="1610776F" w:rsidR="006215FA" w:rsidRPr="002F086F" w:rsidRDefault="006215FA" w:rsidP="00E05C6C">
      <w:pPr>
        <w:spacing w:after="120"/>
        <w:rPr>
          <w:rFonts w:ascii="Arial Black" w:hAnsi="Arial Black" w:cs="Arial"/>
          <w:b/>
        </w:rPr>
      </w:pPr>
      <w:r w:rsidRPr="002F086F">
        <w:rPr>
          <w:rFonts w:ascii="Arial Black" w:hAnsi="Arial Black" w:cs="Arial"/>
          <w:b/>
        </w:rPr>
        <w:t>Updates to the Implementation of Prescriber Requirements for Pharmacies</w:t>
      </w:r>
    </w:p>
    <w:p w14:paraId="25696832" w14:textId="7E0F03DD" w:rsidR="006215FA" w:rsidRPr="002F086F" w:rsidRDefault="006215FA" w:rsidP="006215FA">
      <w:pPr>
        <w:pStyle w:val="Default"/>
        <w:tabs>
          <w:tab w:val="left" w:pos="90"/>
        </w:tabs>
        <w:spacing w:line="276" w:lineRule="auto"/>
        <w:ind w:left="360" w:hanging="360"/>
      </w:pPr>
      <w:r w:rsidRPr="002F086F">
        <w:t>Summary</w:t>
      </w:r>
    </w:p>
    <w:p w14:paraId="49FA8B20" w14:textId="77777777" w:rsidR="006215FA" w:rsidRPr="002F086F" w:rsidRDefault="006215FA" w:rsidP="006215FA">
      <w:pPr>
        <w:pStyle w:val="Default"/>
        <w:numPr>
          <w:ilvl w:val="0"/>
          <w:numId w:val="26"/>
        </w:numPr>
        <w:spacing w:line="276" w:lineRule="auto"/>
        <w:rPr>
          <w:rFonts w:ascii="Arial" w:hAnsi="Arial" w:cs="Arial"/>
          <w:b/>
          <w:bCs/>
          <w:sz w:val="22"/>
          <w:szCs w:val="22"/>
        </w:rPr>
      </w:pPr>
      <w:r w:rsidRPr="002F086F">
        <w:rPr>
          <w:rFonts w:ascii="Arial" w:hAnsi="Arial" w:cs="Arial"/>
          <w:bCs/>
          <w:iCs/>
          <w:sz w:val="22"/>
          <w:szCs w:val="22"/>
        </w:rPr>
        <w:t>Section 6401(b) of the Affordable Care Act (ACA) requires that ordering, referring, and prescribing (ORP) providers be enrolled with MassHealth.</w:t>
      </w:r>
    </w:p>
    <w:p w14:paraId="2BB823F1" w14:textId="2A1C023F" w:rsidR="006215FA" w:rsidRPr="002F086F" w:rsidRDefault="006215FA" w:rsidP="00C61B09">
      <w:pPr>
        <w:pStyle w:val="Default"/>
        <w:numPr>
          <w:ilvl w:val="0"/>
          <w:numId w:val="26"/>
        </w:numPr>
        <w:spacing w:line="276" w:lineRule="auto"/>
        <w:rPr>
          <w:rFonts w:ascii="Arial" w:hAnsi="Arial" w:cs="Arial"/>
          <w:b/>
          <w:bCs/>
          <w:sz w:val="22"/>
          <w:szCs w:val="22"/>
        </w:rPr>
      </w:pPr>
      <w:r w:rsidRPr="002F086F">
        <w:rPr>
          <w:rFonts w:ascii="Arial" w:hAnsi="Arial" w:cs="Arial"/>
          <w:sz w:val="22"/>
          <w:szCs w:val="22"/>
        </w:rPr>
        <w:t>ORP requirements are described in All Provider Bulletin (</w:t>
      </w:r>
      <w:r w:rsidR="002F086F" w:rsidRPr="002F086F">
        <w:rPr>
          <w:rFonts w:ascii="Arial" w:hAnsi="Arial" w:cs="Arial"/>
          <w:sz w:val="22"/>
          <w:szCs w:val="22"/>
        </w:rPr>
        <w:t>ALL</w:t>
      </w:r>
      <w:r w:rsidRPr="002F086F">
        <w:rPr>
          <w:rFonts w:ascii="Arial" w:hAnsi="Arial" w:cs="Arial"/>
          <w:sz w:val="22"/>
          <w:szCs w:val="22"/>
        </w:rPr>
        <w:t xml:space="preserve">) </w:t>
      </w:r>
      <w:hyperlink r:id="rId12" w:history="1">
        <w:r w:rsidRPr="002F086F">
          <w:rPr>
            <w:rStyle w:val="Hyperlink"/>
            <w:rFonts w:ascii="Arial" w:hAnsi="Arial" w:cs="Arial"/>
            <w:sz w:val="22"/>
            <w:szCs w:val="22"/>
          </w:rPr>
          <w:t>286</w:t>
        </w:r>
      </w:hyperlink>
      <w:r w:rsidRPr="002F086F">
        <w:rPr>
          <w:rFonts w:ascii="Arial" w:hAnsi="Arial" w:cs="Arial"/>
          <w:b/>
          <w:bCs/>
          <w:sz w:val="22"/>
          <w:szCs w:val="22"/>
        </w:rPr>
        <w:t xml:space="preserve">. </w:t>
      </w:r>
      <w:r w:rsidRPr="002F086F">
        <w:rPr>
          <w:rFonts w:ascii="Arial" w:hAnsi="Arial" w:cs="Arial"/>
          <w:sz w:val="22"/>
          <w:szCs w:val="22"/>
        </w:rPr>
        <w:t>Additional Information on ORP requirements was included in</w:t>
      </w:r>
      <w:r w:rsidRPr="002F086F">
        <w:rPr>
          <w:rFonts w:ascii="Arial" w:hAnsi="Arial" w:cs="Arial"/>
          <w:b/>
          <w:bCs/>
          <w:sz w:val="22"/>
          <w:szCs w:val="22"/>
        </w:rPr>
        <w:t xml:space="preserve"> </w:t>
      </w:r>
      <w:r w:rsidR="002F086F" w:rsidRPr="002F086F">
        <w:rPr>
          <w:rFonts w:ascii="Arial" w:hAnsi="Arial" w:cs="Arial"/>
          <w:sz w:val="22"/>
          <w:szCs w:val="22"/>
        </w:rPr>
        <w:t xml:space="preserve">ALL </w:t>
      </w:r>
      <w:hyperlink r:id="rId13" w:history="1">
        <w:r w:rsidRPr="002F086F">
          <w:rPr>
            <w:rStyle w:val="Hyperlink"/>
            <w:rFonts w:ascii="Arial" w:hAnsi="Arial" w:cs="Arial"/>
            <w:sz w:val="22"/>
            <w:szCs w:val="22"/>
          </w:rPr>
          <w:t>361</w:t>
        </w:r>
      </w:hyperlink>
      <w:r w:rsidRPr="002F086F">
        <w:rPr>
          <w:rFonts w:ascii="Arial" w:hAnsi="Arial" w:cs="Arial"/>
          <w:sz w:val="22"/>
          <w:szCs w:val="22"/>
        </w:rPr>
        <w:t xml:space="preserve">, </w:t>
      </w:r>
      <w:hyperlink r:id="rId14" w:history="1">
        <w:r w:rsidRPr="002F086F">
          <w:rPr>
            <w:rStyle w:val="Hyperlink"/>
            <w:rFonts w:ascii="Arial" w:hAnsi="Arial" w:cs="Arial"/>
            <w:sz w:val="22"/>
            <w:szCs w:val="22"/>
          </w:rPr>
          <w:t>376</w:t>
        </w:r>
      </w:hyperlink>
      <w:r w:rsidRPr="002F086F">
        <w:rPr>
          <w:rFonts w:ascii="Arial" w:hAnsi="Arial" w:cs="Arial"/>
          <w:sz w:val="22"/>
          <w:szCs w:val="22"/>
        </w:rPr>
        <w:t xml:space="preserve">, and </w:t>
      </w:r>
      <w:hyperlink r:id="rId15" w:history="1">
        <w:r w:rsidRPr="002F086F">
          <w:rPr>
            <w:rStyle w:val="Hyperlink"/>
            <w:rFonts w:ascii="Arial" w:hAnsi="Arial" w:cs="Arial"/>
            <w:sz w:val="22"/>
            <w:szCs w:val="22"/>
          </w:rPr>
          <w:t>380</w:t>
        </w:r>
      </w:hyperlink>
      <w:r w:rsidRPr="002F086F">
        <w:rPr>
          <w:rFonts w:ascii="Arial" w:hAnsi="Arial" w:cs="Arial"/>
          <w:sz w:val="22"/>
          <w:szCs w:val="22"/>
        </w:rPr>
        <w:t xml:space="preserve">, and Pharmacy Facts </w:t>
      </w:r>
      <w:hyperlink r:id="rId16" w:history="1">
        <w:r w:rsidRPr="002F086F">
          <w:rPr>
            <w:rStyle w:val="Hyperlink"/>
            <w:rFonts w:ascii="Arial" w:hAnsi="Arial" w:cs="Arial"/>
            <w:sz w:val="22"/>
            <w:szCs w:val="22"/>
          </w:rPr>
          <w:t>214</w:t>
        </w:r>
      </w:hyperlink>
      <w:r w:rsidRPr="002F086F">
        <w:rPr>
          <w:rFonts w:ascii="Arial" w:hAnsi="Arial" w:cs="Arial"/>
          <w:sz w:val="22"/>
          <w:szCs w:val="22"/>
        </w:rPr>
        <w:t xml:space="preserve"> and </w:t>
      </w:r>
      <w:hyperlink r:id="rId17" w:history="1">
        <w:r w:rsidRPr="002F086F">
          <w:rPr>
            <w:rStyle w:val="Hyperlink"/>
            <w:rFonts w:ascii="Arial" w:hAnsi="Arial" w:cs="Arial"/>
            <w:bCs/>
            <w:iCs/>
            <w:sz w:val="22"/>
            <w:szCs w:val="22"/>
          </w:rPr>
          <w:t>220</w:t>
        </w:r>
      </w:hyperlink>
      <w:r w:rsidRPr="002F086F">
        <w:rPr>
          <w:rFonts w:ascii="Arial" w:hAnsi="Arial" w:cs="Arial"/>
          <w:sz w:val="22"/>
          <w:szCs w:val="22"/>
        </w:rPr>
        <w:t>.</w:t>
      </w:r>
    </w:p>
    <w:p w14:paraId="52479BCF" w14:textId="77777777" w:rsidR="006215FA" w:rsidRPr="002F086F" w:rsidRDefault="006215FA" w:rsidP="00C61B09">
      <w:pPr>
        <w:pStyle w:val="Default"/>
        <w:numPr>
          <w:ilvl w:val="0"/>
          <w:numId w:val="26"/>
        </w:numPr>
        <w:spacing w:line="276" w:lineRule="auto"/>
        <w:rPr>
          <w:rFonts w:ascii="Arial" w:hAnsi="Arial" w:cs="Arial"/>
          <w:sz w:val="22"/>
          <w:szCs w:val="22"/>
        </w:rPr>
      </w:pPr>
      <w:r w:rsidRPr="002F086F">
        <w:rPr>
          <w:rFonts w:ascii="Arial" w:hAnsi="Arial" w:cs="Arial"/>
          <w:sz w:val="22"/>
          <w:szCs w:val="22"/>
        </w:rPr>
        <w:t>Beginning May 1, 2024, pharmacies may start to see claims with messaging alerting to the fact that a prescriber is not enrolled.</w:t>
      </w:r>
    </w:p>
    <w:p w14:paraId="20312413" w14:textId="2B04F86C" w:rsidR="006215FA" w:rsidRPr="002F086F" w:rsidRDefault="006215FA" w:rsidP="00C61B09">
      <w:pPr>
        <w:pStyle w:val="Default"/>
        <w:numPr>
          <w:ilvl w:val="0"/>
          <w:numId w:val="26"/>
        </w:numPr>
        <w:spacing w:line="276" w:lineRule="auto"/>
        <w:rPr>
          <w:rFonts w:ascii="Arial" w:hAnsi="Arial" w:cs="Arial"/>
          <w:sz w:val="22"/>
          <w:szCs w:val="22"/>
        </w:rPr>
      </w:pPr>
      <w:r w:rsidRPr="002F086F">
        <w:rPr>
          <w:rFonts w:ascii="Arial" w:hAnsi="Arial" w:cs="Arial"/>
          <w:sz w:val="22"/>
          <w:szCs w:val="22"/>
        </w:rPr>
        <w:t>There is a 60-day grace period for the prescriber to enroll</w:t>
      </w:r>
      <w:r w:rsidR="002F086F" w:rsidRPr="002F086F">
        <w:rPr>
          <w:rFonts w:ascii="Arial" w:hAnsi="Arial" w:cs="Arial"/>
          <w:sz w:val="22"/>
          <w:szCs w:val="22"/>
        </w:rPr>
        <w:t>.</w:t>
      </w:r>
      <w:r w:rsidRPr="002F086F">
        <w:rPr>
          <w:rFonts w:ascii="Arial" w:hAnsi="Arial" w:cs="Arial"/>
          <w:sz w:val="22"/>
          <w:szCs w:val="22"/>
        </w:rPr>
        <w:t xml:space="preserve"> </w:t>
      </w:r>
      <w:r w:rsidR="002F086F" w:rsidRPr="002F086F">
        <w:rPr>
          <w:rFonts w:ascii="Arial" w:hAnsi="Arial" w:cs="Arial"/>
          <w:sz w:val="22"/>
          <w:szCs w:val="22"/>
        </w:rPr>
        <w:t>A</w:t>
      </w:r>
      <w:r w:rsidRPr="002F086F">
        <w:rPr>
          <w:rFonts w:ascii="Arial" w:hAnsi="Arial" w:cs="Arial"/>
          <w:sz w:val="22"/>
          <w:szCs w:val="22"/>
        </w:rPr>
        <w:t xml:space="preserve">fter </w:t>
      </w:r>
      <w:r w:rsidR="002F086F" w:rsidRPr="002F086F">
        <w:rPr>
          <w:rFonts w:ascii="Arial" w:hAnsi="Arial" w:cs="Arial"/>
          <w:sz w:val="22"/>
          <w:szCs w:val="22"/>
        </w:rPr>
        <w:t xml:space="preserve">that </w:t>
      </w:r>
      <w:r w:rsidRPr="002F086F">
        <w:rPr>
          <w:rFonts w:ascii="Arial" w:hAnsi="Arial" w:cs="Arial"/>
          <w:sz w:val="22"/>
          <w:szCs w:val="22"/>
        </w:rPr>
        <w:t>point, a claim will reject noting the enrollment status.</w:t>
      </w:r>
    </w:p>
    <w:p w14:paraId="1841B882" w14:textId="78BAFF34" w:rsidR="006215FA" w:rsidRPr="002F086F" w:rsidRDefault="006215FA" w:rsidP="00C61B09">
      <w:pPr>
        <w:pStyle w:val="Default"/>
        <w:numPr>
          <w:ilvl w:val="0"/>
          <w:numId w:val="26"/>
        </w:numPr>
        <w:spacing w:line="276" w:lineRule="auto"/>
        <w:rPr>
          <w:rFonts w:ascii="Arial" w:hAnsi="Arial" w:cs="Arial"/>
          <w:sz w:val="22"/>
          <w:szCs w:val="22"/>
        </w:rPr>
      </w:pPr>
      <w:r w:rsidRPr="002F086F">
        <w:rPr>
          <w:rFonts w:ascii="Arial" w:hAnsi="Arial" w:cs="Arial"/>
          <w:sz w:val="22"/>
          <w:szCs w:val="22"/>
        </w:rPr>
        <w:t xml:space="preserve">Pharmacies may override rejected claims by entering a </w:t>
      </w:r>
      <w:r w:rsidRPr="002F086F">
        <w:rPr>
          <w:rFonts w:ascii="Arial" w:hAnsi="Arial" w:cs="Arial"/>
          <w:bCs/>
          <w:iCs/>
          <w:sz w:val="22"/>
          <w:szCs w:val="22"/>
        </w:rPr>
        <w:t>Submission Clarification Code (SCC) field value of “55</w:t>
      </w:r>
      <w:r w:rsidR="002F086F" w:rsidRPr="002F086F">
        <w:rPr>
          <w:rFonts w:ascii="Arial" w:hAnsi="Arial" w:cs="Arial"/>
          <w:bCs/>
          <w:iCs/>
          <w:sz w:val="22"/>
          <w:szCs w:val="22"/>
        </w:rPr>
        <w:t>.</w:t>
      </w:r>
      <w:r w:rsidRPr="002F086F">
        <w:rPr>
          <w:rFonts w:ascii="Arial" w:hAnsi="Arial" w:cs="Arial"/>
          <w:bCs/>
          <w:iCs/>
          <w:sz w:val="22"/>
          <w:szCs w:val="22"/>
        </w:rPr>
        <w:t>”</w:t>
      </w:r>
      <w:r w:rsidRPr="002F086F">
        <w:rPr>
          <w:rFonts w:ascii="Arial" w:hAnsi="Arial" w:cs="Arial"/>
          <w:sz w:val="22"/>
          <w:szCs w:val="22"/>
        </w:rPr>
        <w:t xml:space="preserve"> </w:t>
      </w:r>
    </w:p>
    <w:p w14:paraId="2C501145" w14:textId="2229CFDE" w:rsidR="006215FA" w:rsidRPr="002F086F" w:rsidRDefault="006215FA" w:rsidP="00E05C6C">
      <w:pPr>
        <w:pStyle w:val="Default"/>
        <w:numPr>
          <w:ilvl w:val="0"/>
          <w:numId w:val="26"/>
        </w:numPr>
        <w:spacing w:after="120" w:line="276" w:lineRule="auto"/>
        <w:rPr>
          <w:rFonts w:ascii="Arial" w:hAnsi="Arial" w:cs="Arial"/>
          <w:sz w:val="22"/>
          <w:szCs w:val="22"/>
        </w:rPr>
      </w:pPr>
      <w:r w:rsidRPr="002F086F">
        <w:rPr>
          <w:rFonts w:ascii="Arial" w:hAnsi="Arial" w:cs="Arial"/>
          <w:sz w:val="22"/>
          <w:szCs w:val="22"/>
        </w:rPr>
        <w:t xml:space="preserve">Pharmacies are </w:t>
      </w:r>
      <w:r w:rsidR="00FD0DCE">
        <w:rPr>
          <w:rFonts w:ascii="Arial" w:hAnsi="Arial" w:cs="Arial"/>
          <w:sz w:val="22"/>
          <w:szCs w:val="22"/>
        </w:rPr>
        <w:t>encouraged</w:t>
      </w:r>
      <w:r w:rsidRPr="002F086F">
        <w:rPr>
          <w:rFonts w:ascii="Arial" w:hAnsi="Arial" w:cs="Arial"/>
          <w:sz w:val="22"/>
          <w:szCs w:val="22"/>
        </w:rPr>
        <w:t xml:space="preserve"> to notify the provider and may continue to use the override process to ensure members receive access to therapy.</w:t>
      </w:r>
    </w:p>
    <w:p w14:paraId="5B1A8BF5" w14:textId="77331C5C" w:rsidR="00CD6D68" w:rsidRPr="002F086F" w:rsidRDefault="006215FA" w:rsidP="00CD6D68">
      <w:pPr>
        <w:pStyle w:val="Default"/>
        <w:tabs>
          <w:tab w:val="left" w:pos="90"/>
        </w:tabs>
        <w:spacing w:line="276" w:lineRule="auto"/>
        <w:ind w:left="360" w:hanging="360"/>
        <w:rPr>
          <w:rFonts w:ascii="Arial" w:hAnsi="Arial" w:cs="Arial"/>
          <w:color w:val="auto"/>
          <w:sz w:val="22"/>
          <w:szCs w:val="22"/>
        </w:rPr>
      </w:pPr>
      <w:r w:rsidRPr="002F086F">
        <w:t>Background</w:t>
      </w:r>
    </w:p>
    <w:bookmarkStart w:id="0" w:name="_Hlk164434978"/>
    <w:p w14:paraId="3ADD500D" w14:textId="1EC4DF86" w:rsidR="006215FA" w:rsidRPr="002F086F" w:rsidRDefault="002F086F" w:rsidP="00E05C6C">
      <w:pPr>
        <w:autoSpaceDE w:val="0"/>
        <w:autoSpaceDN w:val="0"/>
        <w:adjustRightInd w:val="0"/>
        <w:spacing w:after="120" w:line="276" w:lineRule="auto"/>
        <w:rPr>
          <w:rFonts w:ascii="Arial" w:hAnsi="Arial" w:cs="Arial"/>
          <w:sz w:val="22"/>
          <w:szCs w:val="22"/>
        </w:rPr>
      </w:pPr>
      <w:r w:rsidRPr="002F086F">
        <w:rPr>
          <w:rFonts w:ascii="Arial" w:hAnsi="Arial" w:cs="Arial"/>
          <w:sz w:val="22"/>
          <w:szCs w:val="22"/>
        </w:rPr>
        <w:fldChar w:fldCharType="begin"/>
      </w:r>
      <w:r w:rsidRPr="002F086F">
        <w:rPr>
          <w:rFonts w:ascii="Arial" w:hAnsi="Arial" w:cs="Arial"/>
          <w:sz w:val="22"/>
          <w:szCs w:val="22"/>
        </w:rPr>
        <w:instrText>HYPERLINK "https://www.mass.gov/lists/masshealth-pharmacy-facts-2016-current"</w:instrText>
      </w:r>
      <w:r w:rsidRPr="002F086F">
        <w:rPr>
          <w:rFonts w:ascii="Arial" w:hAnsi="Arial" w:cs="Arial"/>
          <w:sz w:val="22"/>
          <w:szCs w:val="22"/>
        </w:rPr>
      </w:r>
      <w:r w:rsidRPr="002F086F">
        <w:rPr>
          <w:rFonts w:ascii="Arial" w:hAnsi="Arial" w:cs="Arial"/>
          <w:sz w:val="22"/>
          <w:szCs w:val="22"/>
        </w:rPr>
        <w:fldChar w:fldCharType="separate"/>
      </w:r>
      <w:r w:rsidR="006215FA" w:rsidRPr="002F086F">
        <w:rPr>
          <w:rStyle w:val="Hyperlink"/>
          <w:rFonts w:ascii="Arial" w:hAnsi="Arial" w:cs="Arial"/>
          <w:sz w:val="22"/>
          <w:szCs w:val="22"/>
        </w:rPr>
        <w:t>Pharmacy Facts 214</w:t>
      </w:r>
      <w:r w:rsidRPr="002F086F">
        <w:rPr>
          <w:rFonts w:ascii="Arial" w:hAnsi="Arial" w:cs="Arial"/>
          <w:sz w:val="22"/>
          <w:szCs w:val="22"/>
        </w:rPr>
        <w:fldChar w:fldCharType="end"/>
      </w:r>
      <w:bookmarkEnd w:id="0"/>
      <w:r w:rsidR="006215FA" w:rsidRPr="002F086F">
        <w:rPr>
          <w:rFonts w:ascii="Arial" w:hAnsi="Arial" w:cs="Arial"/>
          <w:sz w:val="22"/>
          <w:szCs w:val="22"/>
        </w:rPr>
        <w:t xml:space="preserve"> announced that MassHealth will begin to enforce ORP requirements for claims processed by the Pharmacy Online Processing System (POPS) on May 1, 2024. Beginning on that date, claims processed by POPS must include a prescriber who is actively enrolled with MassHealth for dates of service on or after May 1, 2024. </w:t>
      </w:r>
    </w:p>
    <w:p w14:paraId="6EF74276" w14:textId="554A588A" w:rsidR="006215FA" w:rsidRPr="002F086F" w:rsidRDefault="006215FA" w:rsidP="00E05C6C">
      <w:pPr>
        <w:autoSpaceDE w:val="0"/>
        <w:autoSpaceDN w:val="0"/>
        <w:adjustRightInd w:val="0"/>
        <w:spacing w:after="120" w:line="276" w:lineRule="auto"/>
        <w:rPr>
          <w:rFonts w:ascii="Arial" w:hAnsi="Arial" w:cs="Arial"/>
          <w:sz w:val="22"/>
          <w:szCs w:val="22"/>
        </w:rPr>
      </w:pPr>
      <w:r w:rsidRPr="002F086F">
        <w:rPr>
          <w:rFonts w:ascii="Arial" w:hAnsi="Arial" w:cs="Arial"/>
          <w:sz w:val="22"/>
          <w:szCs w:val="22"/>
        </w:rPr>
        <w:t xml:space="preserve">This Pharmacy Facts provides further information </w:t>
      </w:r>
      <w:r w:rsidR="002F086F" w:rsidRPr="002F086F">
        <w:rPr>
          <w:rFonts w:ascii="Arial" w:hAnsi="Arial" w:cs="Arial"/>
          <w:sz w:val="22"/>
          <w:szCs w:val="22"/>
        </w:rPr>
        <w:t xml:space="preserve">about </w:t>
      </w:r>
      <w:r w:rsidRPr="002F086F">
        <w:rPr>
          <w:rFonts w:ascii="Arial" w:hAnsi="Arial" w:cs="Arial"/>
          <w:sz w:val="22"/>
          <w:szCs w:val="22"/>
        </w:rPr>
        <w:t xml:space="preserve">claims processing </w:t>
      </w:r>
      <w:r w:rsidR="002F086F" w:rsidRPr="002F086F">
        <w:rPr>
          <w:rFonts w:ascii="Arial" w:hAnsi="Arial" w:cs="Arial"/>
          <w:sz w:val="22"/>
          <w:szCs w:val="22"/>
        </w:rPr>
        <w:t xml:space="preserve">and available overrides </w:t>
      </w:r>
      <w:r w:rsidRPr="002F086F">
        <w:rPr>
          <w:rFonts w:ascii="Arial" w:hAnsi="Arial" w:cs="Arial"/>
          <w:sz w:val="22"/>
          <w:szCs w:val="22"/>
        </w:rPr>
        <w:t xml:space="preserve">beginning May 1, 2024. </w:t>
      </w:r>
    </w:p>
    <w:p w14:paraId="41F09B5C" w14:textId="34218973" w:rsidR="006215FA" w:rsidRPr="002F086F" w:rsidRDefault="006215FA" w:rsidP="00E05C6C">
      <w:pPr>
        <w:autoSpaceDE w:val="0"/>
        <w:autoSpaceDN w:val="0"/>
        <w:adjustRightInd w:val="0"/>
        <w:spacing w:after="120" w:line="276" w:lineRule="auto"/>
        <w:rPr>
          <w:rFonts w:ascii="Arial" w:hAnsi="Arial" w:cs="Arial"/>
          <w:sz w:val="22"/>
          <w:szCs w:val="22"/>
        </w:rPr>
      </w:pPr>
      <w:r w:rsidRPr="002F086F">
        <w:rPr>
          <w:rFonts w:ascii="Arial" w:hAnsi="Arial" w:cs="Arial"/>
          <w:sz w:val="22"/>
          <w:szCs w:val="22"/>
        </w:rPr>
        <w:t xml:space="preserve">ORP requirements arise under federal law, Section 6401(b) of the ACA. If MassHealth requires a service to be ordered, referred, or prescribed, then ACA Section 6401(b) requires the ORP provider to be enrolled with MassHealth as a fully participating provider or as a nonbilling provider; to be an authorized ORP provider type as described on page 2 of </w:t>
      </w:r>
      <w:r w:rsidR="002F086F" w:rsidRPr="002F086F">
        <w:rPr>
          <w:rFonts w:ascii="Arial" w:hAnsi="Arial" w:cs="Arial"/>
          <w:sz w:val="22"/>
          <w:szCs w:val="22"/>
        </w:rPr>
        <w:t xml:space="preserve">ALL </w:t>
      </w:r>
      <w:r w:rsidRPr="002F086F">
        <w:rPr>
          <w:rFonts w:ascii="Arial" w:hAnsi="Arial" w:cs="Arial"/>
          <w:sz w:val="22"/>
          <w:szCs w:val="22"/>
        </w:rPr>
        <w:t xml:space="preserve">286; and to have their National Provider Identifier (NPI) on the claim. This means that (1) a prescriber of a drug or of medical equipment/supplies for a </w:t>
      </w:r>
      <w:r w:rsidR="002F086F" w:rsidRPr="002F086F">
        <w:rPr>
          <w:rFonts w:ascii="Arial" w:hAnsi="Arial" w:cs="Arial"/>
          <w:sz w:val="22"/>
          <w:szCs w:val="22"/>
        </w:rPr>
        <w:t xml:space="preserve">member enrolled in </w:t>
      </w:r>
      <w:r w:rsidRPr="002F086F">
        <w:rPr>
          <w:rFonts w:ascii="Arial" w:hAnsi="Arial" w:cs="Arial"/>
          <w:sz w:val="22"/>
          <w:szCs w:val="22"/>
        </w:rPr>
        <w:t xml:space="preserve">MassHealth fee-for-service, Primary Care Accountable Care Organization, or </w:t>
      </w:r>
      <w:r w:rsidR="002F086F" w:rsidRPr="002F086F">
        <w:rPr>
          <w:rFonts w:ascii="Arial" w:hAnsi="Arial" w:cs="Arial"/>
          <w:sz w:val="22"/>
          <w:szCs w:val="22"/>
        </w:rPr>
        <w:t xml:space="preserve">the </w:t>
      </w:r>
      <w:r w:rsidRPr="002F086F">
        <w:rPr>
          <w:rFonts w:ascii="Arial" w:hAnsi="Arial" w:cs="Arial"/>
          <w:sz w:val="22"/>
          <w:szCs w:val="22"/>
        </w:rPr>
        <w:t xml:space="preserve">Primary Care Clinician Plan will be required to be enrolled as a MassHealth provider, and (2) the pharmacy provider must include the prescriber’s NPI on the claim. Please refer to </w:t>
      </w:r>
      <w:hyperlink r:id="rId18" w:history="1">
        <w:r w:rsidRPr="002F086F">
          <w:rPr>
            <w:rStyle w:val="Hyperlink"/>
            <w:rFonts w:ascii="Arial" w:hAnsi="Arial" w:cs="Arial"/>
            <w:sz w:val="22"/>
            <w:szCs w:val="22"/>
          </w:rPr>
          <w:t>Pharmacy Facts 214</w:t>
        </w:r>
      </w:hyperlink>
      <w:r w:rsidRPr="002F086F">
        <w:rPr>
          <w:rFonts w:ascii="Arial" w:hAnsi="Arial" w:cs="Arial"/>
          <w:sz w:val="22"/>
          <w:szCs w:val="22"/>
        </w:rPr>
        <w:t xml:space="preserve"> and to All Provider Bulletins </w:t>
      </w:r>
      <w:hyperlink r:id="rId19" w:history="1">
        <w:r w:rsidRPr="002F086F">
          <w:rPr>
            <w:rStyle w:val="Hyperlink"/>
            <w:rFonts w:ascii="Arial" w:hAnsi="Arial" w:cs="Arial"/>
            <w:sz w:val="22"/>
            <w:szCs w:val="22"/>
          </w:rPr>
          <w:t>286</w:t>
        </w:r>
      </w:hyperlink>
      <w:r w:rsidRPr="002F086F">
        <w:rPr>
          <w:rFonts w:ascii="Arial" w:hAnsi="Arial" w:cs="Arial"/>
          <w:sz w:val="22"/>
          <w:szCs w:val="22"/>
        </w:rPr>
        <w:t xml:space="preserve">, </w:t>
      </w:r>
      <w:hyperlink r:id="rId20" w:history="1">
        <w:r w:rsidRPr="002F086F">
          <w:rPr>
            <w:rStyle w:val="Hyperlink"/>
            <w:rFonts w:ascii="Arial" w:hAnsi="Arial" w:cs="Arial"/>
            <w:sz w:val="22"/>
            <w:szCs w:val="22"/>
          </w:rPr>
          <w:t>361</w:t>
        </w:r>
      </w:hyperlink>
      <w:r w:rsidRPr="002F086F">
        <w:rPr>
          <w:rFonts w:ascii="Arial" w:hAnsi="Arial" w:cs="Arial"/>
          <w:sz w:val="22"/>
          <w:szCs w:val="22"/>
        </w:rPr>
        <w:t xml:space="preserve">, </w:t>
      </w:r>
      <w:hyperlink r:id="rId21" w:history="1">
        <w:r w:rsidRPr="002F086F">
          <w:rPr>
            <w:rStyle w:val="Hyperlink"/>
            <w:rFonts w:ascii="Arial" w:hAnsi="Arial" w:cs="Arial"/>
            <w:sz w:val="22"/>
            <w:szCs w:val="22"/>
          </w:rPr>
          <w:t>376</w:t>
        </w:r>
      </w:hyperlink>
      <w:r w:rsidRPr="002F086F">
        <w:rPr>
          <w:rFonts w:ascii="Arial" w:hAnsi="Arial" w:cs="Arial"/>
          <w:sz w:val="22"/>
          <w:szCs w:val="22"/>
        </w:rPr>
        <w:t xml:space="preserve">, and </w:t>
      </w:r>
      <w:hyperlink r:id="rId22" w:history="1">
        <w:r w:rsidRPr="002F086F">
          <w:rPr>
            <w:rStyle w:val="Hyperlink"/>
            <w:rFonts w:ascii="Arial" w:hAnsi="Arial" w:cs="Arial"/>
            <w:sz w:val="22"/>
            <w:szCs w:val="22"/>
          </w:rPr>
          <w:t>380</w:t>
        </w:r>
      </w:hyperlink>
      <w:r w:rsidRPr="002F086F">
        <w:rPr>
          <w:rFonts w:ascii="Arial" w:hAnsi="Arial" w:cs="Arial"/>
          <w:sz w:val="22"/>
          <w:szCs w:val="22"/>
        </w:rPr>
        <w:t xml:space="preserve"> for more information regarding the ORP requirements under Section 6401(b) of the Affordable Care Act.</w:t>
      </w:r>
    </w:p>
    <w:p w14:paraId="32893F78" w14:textId="05A2D9B9" w:rsidR="006215FA" w:rsidRDefault="006215FA" w:rsidP="006215FA">
      <w:pPr>
        <w:autoSpaceDE w:val="0"/>
        <w:autoSpaceDN w:val="0"/>
        <w:adjustRightInd w:val="0"/>
        <w:spacing w:line="276" w:lineRule="auto"/>
        <w:rPr>
          <w:rFonts w:ascii="Arial" w:hAnsi="Arial" w:cs="Arial"/>
          <w:bCs/>
          <w:iCs/>
          <w:color w:val="000000"/>
          <w:sz w:val="22"/>
          <w:szCs w:val="22"/>
        </w:rPr>
      </w:pPr>
      <w:r w:rsidRPr="002F086F">
        <w:rPr>
          <w:rFonts w:ascii="Arial" w:hAnsi="Arial" w:cs="Arial"/>
          <w:sz w:val="22"/>
          <w:szCs w:val="22"/>
        </w:rPr>
        <w:t xml:space="preserve">Pharmacists eligible to prescribe are subject to the same ORP requirements for MassHealth claims. Pharmacists who are eligible to prescribe can participate in MassHealth only as nonbilling </w:t>
      </w:r>
      <w:proofErr w:type="gramStart"/>
      <w:r w:rsidRPr="002F086F">
        <w:rPr>
          <w:rFonts w:ascii="Arial" w:hAnsi="Arial" w:cs="Arial"/>
          <w:sz w:val="22"/>
          <w:szCs w:val="22"/>
        </w:rPr>
        <w:t>providers, and</w:t>
      </w:r>
      <w:proofErr w:type="gramEnd"/>
      <w:r w:rsidRPr="002F086F">
        <w:rPr>
          <w:rFonts w:ascii="Arial" w:hAnsi="Arial" w:cs="Arial"/>
          <w:sz w:val="22"/>
          <w:szCs w:val="22"/>
        </w:rPr>
        <w:t xml:space="preserve"> should visit the MassHealth website for more information on enrolling, or contact MassHealth Customer Service at (800) 841-2900, TDD/TTY: 711. Pharmacists must possess a valid NPI to enroll. </w:t>
      </w:r>
      <w:r w:rsidRPr="002F086F">
        <w:rPr>
          <w:rFonts w:ascii="Arial" w:hAnsi="Arial" w:cs="Arial"/>
          <w:bCs/>
          <w:iCs/>
          <w:color w:val="000000"/>
          <w:sz w:val="22"/>
          <w:szCs w:val="22"/>
        </w:rPr>
        <w:t xml:space="preserve">Additional information for pharmacists wishing to prescribe drugs to MassHealth members can be found in </w:t>
      </w:r>
      <w:hyperlink r:id="rId23" w:history="1">
        <w:r w:rsidRPr="002F086F">
          <w:rPr>
            <w:rStyle w:val="Hyperlink"/>
            <w:rFonts w:ascii="Arial" w:hAnsi="Arial" w:cs="Arial"/>
            <w:bCs/>
            <w:iCs/>
            <w:sz w:val="22"/>
            <w:szCs w:val="22"/>
          </w:rPr>
          <w:t>Pharmacy Facts 220</w:t>
        </w:r>
      </w:hyperlink>
      <w:r w:rsidRPr="002F086F">
        <w:rPr>
          <w:rFonts w:ascii="Arial" w:hAnsi="Arial" w:cs="Arial"/>
          <w:bCs/>
          <w:iCs/>
          <w:color w:val="000000"/>
          <w:sz w:val="22"/>
          <w:szCs w:val="22"/>
        </w:rPr>
        <w:t>.</w:t>
      </w:r>
    </w:p>
    <w:p w14:paraId="1E302F08" w14:textId="77777777" w:rsidR="00FD0DCE" w:rsidRPr="002F086F" w:rsidRDefault="00FD0DCE" w:rsidP="006215FA">
      <w:pPr>
        <w:autoSpaceDE w:val="0"/>
        <w:autoSpaceDN w:val="0"/>
        <w:adjustRightInd w:val="0"/>
        <w:spacing w:line="276" w:lineRule="auto"/>
        <w:rPr>
          <w:rFonts w:ascii="Arial" w:hAnsi="Arial" w:cs="Arial"/>
          <w:bCs/>
          <w:iCs/>
          <w:color w:val="000000"/>
          <w:sz w:val="22"/>
          <w:szCs w:val="22"/>
        </w:rPr>
      </w:pPr>
    </w:p>
    <w:p w14:paraId="5B1A8C07" w14:textId="67AAB007" w:rsidR="00905C46" w:rsidRPr="002F086F" w:rsidRDefault="006215FA" w:rsidP="00E05C6C">
      <w:pPr>
        <w:pStyle w:val="Subtitle"/>
        <w:spacing w:before="120" w:after="0" w:line="240" w:lineRule="auto"/>
        <w:rPr>
          <w:rFonts w:cs="Arial"/>
          <w:b/>
          <w:sz w:val="24"/>
          <w:szCs w:val="24"/>
        </w:rPr>
      </w:pPr>
      <w:r w:rsidRPr="002F086F">
        <w:rPr>
          <w:rFonts w:cs="Arial"/>
          <w:b/>
          <w:sz w:val="24"/>
          <w:szCs w:val="24"/>
        </w:rPr>
        <w:lastRenderedPageBreak/>
        <w:t>Claims Processing</w:t>
      </w:r>
    </w:p>
    <w:p w14:paraId="5056C4B3" w14:textId="04ADE23F" w:rsidR="006215FA" w:rsidRPr="002F086F" w:rsidRDefault="006215FA" w:rsidP="00E05C6C">
      <w:pPr>
        <w:autoSpaceDE w:val="0"/>
        <w:autoSpaceDN w:val="0"/>
        <w:adjustRightInd w:val="0"/>
        <w:spacing w:after="120" w:line="276" w:lineRule="auto"/>
        <w:rPr>
          <w:rFonts w:ascii="Arial" w:hAnsi="Arial" w:cs="Arial"/>
          <w:color w:val="000000"/>
          <w:sz w:val="22"/>
          <w:szCs w:val="22"/>
        </w:rPr>
      </w:pPr>
      <w:r w:rsidRPr="002F086F">
        <w:rPr>
          <w:rFonts w:ascii="Arial" w:hAnsi="Arial" w:cs="Arial"/>
          <w:color w:val="000000"/>
          <w:sz w:val="22"/>
          <w:szCs w:val="22"/>
        </w:rPr>
        <w:t xml:space="preserve">These requirements are applicable to all claims submitted through POPS, including MassHealth </w:t>
      </w:r>
      <w:r w:rsidR="00F82A45">
        <w:rPr>
          <w:rFonts w:ascii="Arial" w:hAnsi="Arial" w:cs="Arial"/>
          <w:color w:val="000000"/>
          <w:sz w:val="22"/>
          <w:szCs w:val="22"/>
        </w:rPr>
        <w:t>f</w:t>
      </w:r>
      <w:r w:rsidRPr="002F086F">
        <w:rPr>
          <w:rFonts w:ascii="Arial" w:hAnsi="Arial" w:cs="Arial"/>
          <w:color w:val="000000"/>
          <w:sz w:val="22"/>
          <w:szCs w:val="22"/>
        </w:rPr>
        <w:t>ee-For-</w:t>
      </w:r>
      <w:r w:rsidR="00F82A45">
        <w:rPr>
          <w:rFonts w:ascii="Arial" w:hAnsi="Arial" w:cs="Arial"/>
          <w:color w:val="000000"/>
          <w:sz w:val="22"/>
          <w:szCs w:val="22"/>
        </w:rPr>
        <w:t>s</w:t>
      </w:r>
      <w:r w:rsidRPr="002F086F">
        <w:rPr>
          <w:rFonts w:ascii="Arial" w:hAnsi="Arial" w:cs="Arial"/>
          <w:color w:val="000000"/>
          <w:sz w:val="22"/>
          <w:szCs w:val="22"/>
        </w:rPr>
        <w:t xml:space="preserve">ervice claims, Health Safety Net and Children’s Medical Security Plan claims, claims for secondary coverage, and Medicare Crossover claims. ORP requirements do not apply to claims submitted to managed care entities. </w:t>
      </w:r>
    </w:p>
    <w:p w14:paraId="3DA27769" w14:textId="24228B1E" w:rsidR="006215FA" w:rsidRPr="002F086F" w:rsidRDefault="006215FA" w:rsidP="00E05C6C">
      <w:pPr>
        <w:autoSpaceDE w:val="0"/>
        <w:autoSpaceDN w:val="0"/>
        <w:adjustRightInd w:val="0"/>
        <w:spacing w:after="120" w:line="276" w:lineRule="auto"/>
        <w:rPr>
          <w:rFonts w:ascii="Arial" w:hAnsi="Arial" w:cs="Arial"/>
          <w:color w:val="000000"/>
          <w:sz w:val="22"/>
          <w:szCs w:val="22"/>
        </w:rPr>
      </w:pPr>
      <w:r w:rsidRPr="002F086F">
        <w:rPr>
          <w:rFonts w:ascii="Arial" w:hAnsi="Arial" w:cs="Arial"/>
          <w:color w:val="000000"/>
          <w:sz w:val="22"/>
          <w:szCs w:val="22"/>
        </w:rPr>
        <w:t>As required under HIPAA billing rules, providers are to continue to enter the NPI of the individual prescriber on each claim submitted to POPS, and claims submitted to POPS without a prescriber NPI are not accepted. Also, under existing HIPAA rules, if an NPI is submitted, but is not known to POPS, then NCPDP reject code 826 – ‘Prescriber NPI Submitted Not Found Within Processor’s NPI File’ is posted.</w:t>
      </w:r>
    </w:p>
    <w:p w14:paraId="53EBF065" w14:textId="3C8274D7" w:rsidR="006215FA" w:rsidRPr="002F086F" w:rsidRDefault="006215FA" w:rsidP="00E05C6C">
      <w:pPr>
        <w:autoSpaceDE w:val="0"/>
        <w:autoSpaceDN w:val="0"/>
        <w:adjustRightInd w:val="0"/>
        <w:spacing w:after="120" w:line="276" w:lineRule="auto"/>
        <w:rPr>
          <w:rFonts w:ascii="Arial" w:hAnsi="Arial" w:cs="Arial"/>
          <w:color w:val="000000"/>
          <w:sz w:val="22"/>
          <w:szCs w:val="22"/>
        </w:rPr>
      </w:pPr>
      <w:r w:rsidRPr="002F086F">
        <w:rPr>
          <w:rFonts w:ascii="Arial" w:hAnsi="Arial" w:cs="Arial"/>
          <w:color w:val="000000"/>
          <w:sz w:val="22"/>
          <w:szCs w:val="22"/>
        </w:rPr>
        <w:t xml:space="preserve">Based on ORP requirements, once a NPI is known to POPS, if the prescriber has not enrolled with MassHealth, pharmacies submitting claims with the NPI of an unenrolled prescriber and a date of service that is on or after May 1, 2024, will receive a rejection that reads as follows. </w:t>
      </w:r>
    </w:p>
    <w:p w14:paraId="441FA12B" w14:textId="75107219" w:rsidR="006215FA" w:rsidRPr="002F086F" w:rsidRDefault="006215FA" w:rsidP="00E05C6C">
      <w:pPr>
        <w:autoSpaceDE w:val="0"/>
        <w:autoSpaceDN w:val="0"/>
        <w:adjustRightInd w:val="0"/>
        <w:spacing w:after="120" w:line="276" w:lineRule="auto"/>
        <w:rPr>
          <w:rFonts w:ascii="Arial" w:hAnsi="Arial" w:cs="Arial"/>
          <w:color w:val="000000"/>
          <w:sz w:val="22"/>
          <w:szCs w:val="22"/>
        </w:rPr>
      </w:pPr>
      <w:r w:rsidRPr="002F086F">
        <w:rPr>
          <w:rFonts w:ascii="Arial" w:hAnsi="Arial" w:cs="Arial"/>
          <w:color w:val="000000"/>
          <w:sz w:val="22"/>
          <w:szCs w:val="22"/>
        </w:rPr>
        <w:t>NCPDP reject code 889 - PRESCRIBER NOT ENROLLED WITH STATE MEDICAID PLAN, with text message PRESCRIBER OF THIS CLAIM IS NOT ENROLLED WITH MASSHEALTH. PRESCRIBER MUST ENROLL WITH MASSHEALTH. OVERRIDE AVAILABLE VIA SCC-55.</w:t>
      </w:r>
    </w:p>
    <w:p w14:paraId="431D923D" w14:textId="5DAE911C" w:rsidR="006215FA" w:rsidRPr="002F086F" w:rsidRDefault="006215FA" w:rsidP="00E05C6C">
      <w:pPr>
        <w:autoSpaceDE w:val="0"/>
        <w:autoSpaceDN w:val="0"/>
        <w:adjustRightInd w:val="0"/>
        <w:spacing w:after="120" w:line="276" w:lineRule="auto"/>
        <w:rPr>
          <w:rFonts w:ascii="Arial" w:hAnsi="Arial" w:cs="Arial"/>
          <w:color w:val="000000"/>
          <w:sz w:val="22"/>
          <w:szCs w:val="22"/>
        </w:rPr>
      </w:pPr>
      <w:r w:rsidRPr="002F086F">
        <w:rPr>
          <w:rFonts w:ascii="Arial" w:hAnsi="Arial" w:cs="Arial"/>
          <w:color w:val="000000"/>
          <w:sz w:val="22"/>
          <w:szCs w:val="22"/>
        </w:rPr>
        <w:t xml:space="preserve">Note that POPS will allow processing of claims that include the NPI of an unenrolled prescriber if the claim is processed during the prescriber’s 60-day grace period. The purpose of the grace period is to allow time for the unenrolled prescriber to enroll with MassHealth before pharmacy claims containing that prescriber’s NPI will deny. POPS will use the processing date associated with the first claim received from the first pharmacy on which the unenrolled prescriber’s NPI appears as the start date for the </w:t>
      </w:r>
      <w:r w:rsidRPr="002F086F">
        <w:rPr>
          <w:rFonts w:ascii="Arial" w:hAnsi="Arial" w:cs="Arial"/>
          <w:color w:val="000000"/>
          <w:sz w:val="22"/>
          <w:szCs w:val="22"/>
        </w:rPr>
        <w:t xml:space="preserve">60-day grace period. The grace period is not pharmacy specific. It is a prescriber-specific single 60-day period that will apply across the board to all pharmacies. </w:t>
      </w:r>
    </w:p>
    <w:p w14:paraId="25FE8234" w14:textId="77777777" w:rsidR="00E05C6C" w:rsidRDefault="006215FA" w:rsidP="00E05C6C">
      <w:pPr>
        <w:autoSpaceDE w:val="0"/>
        <w:autoSpaceDN w:val="0"/>
        <w:adjustRightInd w:val="0"/>
        <w:spacing w:after="120" w:line="276" w:lineRule="auto"/>
        <w:rPr>
          <w:rFonts w:ascii="Arial" w:hAnsi="Arial" w:cs="Arial"/>
          <w:color w:val="000000"/>
          <w:sz w:val="22"/>
          <w:szCs w:val="22"/>
        </w:rPr>
      </w:pPr>
      <w:r w:rsidRPr="002F086F">
        <w:rPr>
          <w:rFonts w:ascii="Arial" w:hAnsi="Arial" w:cs="Arial"/>
          <w:color w:val="000000"/>
          <w:sz w:val="22"/>
          <w:szCs w:val="22"/>
        </w:rPr>
        <w:t xml:space="preserve">Pharmacies that submit a claim with the known NPI of an unenrolled prescriber that is within the 60-day grace period will see an informational message that reads ‘PRESCRIBER OF THIS CLAIM HAS NOT ENROLLED WITH MASSHEALTH. CLAIMS WILL DENY IN FUTURE IF PRESCRIBER DOES NOT ENROLL BY [DATE]. PLEASE INFORM MEMBER AND PRESCRIBER OF THAT FACT’. </w:t>
      </w:r>
    </w:p>
    <w:p w14:paraId="608009B9" w14:textId="219D8D32" w:rsidR="006215FA" w:rsidRPr="002F086F" w:rsidRDefault="006215FA" w:rsidP="00E05C6C">
      <w:pPr>
        <w:autoSpaceDE w:val="0"/>
        <w:autoSpaceDN w:val="0"/>
        <w:adjustRightInd w:val="0"/>
        <w:spacing w:after="120" w:line="276" w:lineRule="auto"/>
        <w:rPr>
          <w:rFonts w:ascii="Arial" w:hAnsi="Arial" w:cs="Arial"/>
          <w:color w:val="000000"/>
          <w:sz w:val="22"/>
          <w:szCs w:val="22"/>
        </w:rPr>
      </w:pPr>
      <w:proofErr w:type="gramStart"/>
      <w:r w:rsidRPr="002F086F">
        <w:rPr>
          <w:rFonts w:ascii="Arial" w:hAnsi="Arial" w:cs="Arial"/>
          <w:color w:val="000000"/>
          <w:sz w:val="22"/>
          <w:szCs w:val="22"/>
        </w:rPr>
        <w:t>In order to</w:t>
      </w:r>
      <w:proofErr w:type="gramEnd"/>
      <w:r w:rsidRPr="002F086F">
        <w:rPr>
          <w:rFonts w:ascii="Arial" w:hAnsi="Arial" w:cs="Arial"/>
          <w:color w:val="000000"/>
          <w:sz w:val="22"/>
          <w:szCs w:val="22"/>
        </w:rPr>
        <w:t xml:space="preserve"> prevent future claim denials, MassHealth requests that pharmacy providers continue to share this information with the member and the prescriber.</w:t>
      </w:r>
    </w:p>
    <w:p w14:paraId="0096585D" w14:textId="77777777" w:rsidR="006215FA" w:rsidRPr="002F086F" w:rsidRDefault="006215FA" w:rsidP="006215FA">
      <w:pPr>
        <w:autoSpaceDE w:val="0"/>
        <w:autoSpaceDN w:val="0"/>
        <w:adjustRightInd w:val="0"/>
        <w:spacing w:line="276" w:lineRule="auto"/>
        <w:rPr>
          <w:rFonts w:ascii="Arial" w:hAnsi="Arial" w:cs="Arial"/>
          <w:color w:val="000000"/>
          <w:sz w:val="22"/>
          <w:szCs w:val="22"/>
        </w:rPr>
      </w:pPr>
      <w:r w:rsidRPr="002F086F">
        <w:rPr>
          <w:rFonts w:ascii="Arial" w:hAnsi="Arial" w:cs="Arial"/>
          <w:color w:val="000000"/>
          <w:sz w:val="22"/>
          <w:szCs w:val="22"/>
        </w:rPr>
        <w:t>Please note, because the grace period begins on the processing date associated with the first claim received from the first pharmacy on which the unenrolled prescriber’s NPI appears, some unenrolled prescribers may have already exceeded the 60-day grace period. Claims submitted with the NPI of an unenrolled prescriber that has exceeded the 60-day grace period and a date of service that is on or after May 1, 2024, will be denied.</w:t>
      </w:r>
    </w:p>
    <w:p w14:paraId="5B1A8C19" w14:textId="40F4957E" w:rsidR="00DB5DBC" w:rsidRPr="002F086F" w:rsidRDefault="006215FA" w:rsidP="00E05C6C">
      <w:pPr>
        <w:pStyle w:val="Subtitle"/>
        <w:spacing w:before="120" w:after="0" w:line="240" w:lineRule="auto"/>
        <w:rPr>
          <w:rFonts w:cs="Arial"/>
          <w:b/>
          <w:bCs/>
        </w:rPr>
      </w:pPr>
      <w:r w:rsidRPr="002F086F">
        <w:rPr>
          <w:rFonts w:cs="Arial"/>
          <w:b/>
          <w:bCs/>
        </w:rPr>
        <w:t>Overrides</w:t>
      </w:r>
    </w:p>
    <w:p w14:paraId="5B1A8C33" w14:textId="3EE549DE" w:rsidR="00E05C6C" w:rsidRPr="002F086F" w:rsidRDefault="006215FA" w:rsidP="006215FA">
      <w:pPr>
        <w:pStyle w:val="BodyText1"/>
        <w:rPr>
          <w:sz w:val="22"/>
          <w:szCs w:val="22"/>
        </w:rPr>
        <w:sectPr w:rsidR="00E05C6C" w:rsidRPr="002F086F" w:rsidSect="001362EA">
          <w:headerReference w:type="default" r:id="rId24"/>
          <w:footerReference w:type="default" r:id="rId25"/>
          <w:type w:val="continuous"/>
          <w:pgSz w:w="12240" w:h="15840" w:code="1"/>
          <w:pgMar w:top="360" w:right="907" w:bottom="446" w:left="907" w:header="720" w:footer="288" w:gutter="0"/>
          <w:cols w:num="2" w:sep="1" w:space="720"/>
          <w:docGrid w:linePitch="360"/>
        </w:sectPr>
      </w:pPr>
      <w:r w:rsidRPr="002F086F">
        <w:rPr>
          <w:sz w:val="22"/>
          <w:szCs w:val="22"/>
        </w:rPr>
        <w:t xml:space="preserve">MassHealth encourages pharmacies who encounter this claim rejection to alert the prescriber of the requirement to enroll with MassHealth. If it is necessary that the member receives the medication, an override will be available. To override the claim rejection, pharmacies may submit a value of “55” into the SCC field (NCPDP Field 420-DK). Please note, MassHealth does not require the pharmacy to validate that the prescriber has enrolled with MassHealth </w:t>
      </w:r>
      <w:proofErr w:type="gramStart"/>
      <w:r w:rsidRPr="002F086F">
        <w:rPr>
          <w:sz w:val="22"/>
          <w:szCs w:val="22"/>
        </w:rPr>
        <w:t>in order to</w:t>
      </w:r>
      <w:proofErr w:type="gramEnd"/>
      <w:r w:rsidRPr="002F086F">
        <w:rPr>
          <w:sz w:val="22"/>
          <w:szCs w:val="22"/>
        </w:rPr>
        <w:t xml:space="preserve"> submit a SCC of “55” on the claim</w:t>
      </w:r>
      <w:r w:rsidR="0093281E">
        <w:rPr>
          <w:sz w:val="22"/>
          <w:szCs w:val="22"/>
        </w:rPr>
        <w:t>.</w:t>
      </w:r>
    </w:p>
    <w:p w14:paraId="5B1A8C5B" w14:textId="3FC9BE1B" w:rsidR="00A650DC" w:rsidRPr="001721D8" w:rsidRDefault="00A650DC" w:rsidP="00E05C6C">
      <w:pPr>
        <w:tabs>
          <w:tab w:val="left" w:pos="1606"/>
        </w:tabs>
      </w:pPr>
    </w:p>
    <w:sectPr w:rsidR="00A650DC" w:rsidRPr="001721D8" w:rsidSect="001362EA">
      <w:footerReference w:type="default" r:id="rId26"/>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76BD" w14:textId="77777777" w:rsidR="001362EA" w:rsidRPr="002F086F" w:rsidRDefault="001362EA" w:rsidP="00492602">
      <w:r w:rsidRPr="002F086F">
        <w:separator/>
      </w:r>
    </w:p>
  </w:endnote>
  <w:endnote w:type="continuationSeparator" w:id="0">
    <w:p w14:paraId="5841A44C" w14:textId="77777777" w:rsidR="001362EA" w:rsidRPr="002F086F" w:rsidRDefault="001362EA" w:rsidP="00492602">
      <w:r w:rsidRPr="002F0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6" w14:textId="77777777" w:rsidR="00637A67" w:rsidRPr="002F086F" w:rsidRDefault="006D3B5F" w:rsidP="006D3B5F">
    <w:pPr>
      <w:pStyle w:val="Footer"/>
      <w:pBdr>
        <w:top w:val="single" w:sz="18" w:space="1" w:color="auto"/>
      </w:pBdr>
      <w:tabs>
        <w:tab w:val="clear" w:pos="4680"/>
        <w:tab w:val="clear" w:pos="9360"/>
        <w:tab w:val="left" w:pos="3840"/>
      </w:tabs>
      <w:spacing w:before="120"/>
    </w:pPr>
    <w:r w:rsidRPr="002F086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8" w14:textId="77777777" w:rsidR="00637A67" w:rsidRPr="002F086F" w:rsidRDefault="00637A67">
    <w:pPr>
      <w:pStyle w:val="Footer"/>
    </w:pPr>
    <w:r w:rsidRPr="002F086F">
      <w:t>[Type text]</w:t>
    </w:r>
  </w:p>
  <w:p w14:paraId="5B1A8C69" w14:textId="77777777" w:rsidR="00637A67" w:rsidRPr="002F086F"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888D" w14:textId="77777777" w:rsidR="006215FA" w:rsidRPr="002F086F" w:rsidRDefault="006215FA" w:rsidP="006215F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F086F">
      <w:rPr>
        <w:rFonts w:ascii="Arial" w:hAnsi="Arial" w:cs="Arial"/>
        <w:iCs/>
        <w:sz w:val="18"/>
        <w:szCs w:val="18"/>
      </w:rPr>
      <w:t>Please direct any questions or comments (or to be removed from this fax distribution) to</w:t>
    </w:r>
  </w:p>
  <w:p w14:paraId="7D7A6621" w14:textId="77777777" w:rsidR="006215FA" w:rsidRPr="002F086F" w:rsidRDefault="00000000" w:rsidP="006215FA">
    <w:pPr>
      <w:tabs>
        <w:tab w:val="left" w:pos="-90"/>
      </w:tabs>
      <w:autoSpaceDE w:val="0"/>
      <w:autoSpaceDN w:val="0"/>
      <w:adjustRightInd w:val="0"/>
      <w:jc w:val="center"/>
      <w:textAlignment w:val="baseline"/>
    </w:pPr>
    <w:hyperlink r:id="rId1" w:history="1">
      <w:r w:rsidR="006215FA" w:rsidRPr="002F086F">
        <w:rPr>
          <w:rStyle w:val="Hyperlink"/>
          <w:rFonts w:ascii="Arial" w:hAnsi="Arial" w:cs="Arial"/>
          <w:iCs/>
          <w:sz w:val="18"/>
          <w:szCs w:val="18"/>
        </w:rPr>
        <w:t>PharmFactsMA@Conduent.com</w:t>
      </w:r>
    </w:hyperlink>
    <w:r w:rsidR="006215FA" w:rsidRPr="002F086F">
      <w:rPr>
        <w:rFonts w:ascii="Arial" w:hAnsi="Arial" w:cs="Arial"/>
        <w:iCs/>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C" w14:textId="77777777" w:rsidR="00E95805" w:rsidRPr="002F086F"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F086F">
      <w:rPr>
        <w:rFonts w:ascii="Arial" w:hAnsi="Arial" w:cs="Arial"/>
        <w:iCs/>
        <w:sz w:val="18"/>
        <w:szCs w:val="18"/>
      </w:rPr>
      <w:t xml:space="preserve">Please direct any questions or comments (or to be removed from this fax distribution) </w:t>
    </w:r>
    <w:r w:rsidR="000A440A" w:rsidRPr="002F086F">
      <w:rPr>
        <w:rFonts w:ascii="Arial" w:hAnsi="Arial" w:cs="Arial"/>
        <w:iCs/>
        <w:sz w:val="18"/>
        <w:szCs w:val="18"/>
      </w:rPr>
      <w:t>to</w:t>
    </w:r>
  </w:p>
  <w:p w14:paraId="5B1A8C6D" w14:textId="77777777" w:rsidR="003C1739" w:rsidRPr="002F086F" w:rsidRDefault="00000000" w:rsidP="00E95805">
    <w:pPr>
      <w:pStyle w:val="Footer"/>
      <w:jc w:val="center"/>
    </w:pPr>
    <w:hyperlink r:id="rId1" w:history="1">
      <w:r w:rsidR="00E95805" w:rsidRPr="002F086F">
        <w:rPr>
          <w:rStyle w:val="Hyperlink"/>
          <w:rFonts w:ascii="Arial" w:hAnsi="Arial" w:cs="Arial"/>
          <w:iCs/>
          <w:sz w:val="18"/>
          <w:szCs w:val="18"/>
        </w:rPr>
        <w:t>PharmFactsMA@Conduent.com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94F2" w14:textId="77777777" w:rsidR="001362EA" w:rsidRPr="002F086F" w:rsidRDefault="001362EA" w:rsidP="00492602">
      <w:r w:rsidRPr="002F086F">
        <w:separator/>
      </w:r>
    </w:p>
  </w:footnote>
  <w:footnote w:type="continuationSeparator" w:id="0">
    <w:p w14:paraId="07D891BD" w14:textId="77777777" w:rsidR="001362EA" w:rsidRPr="002F086F" w:rsidRDefault="001362EA" w:rsidP="00492602">
      <w:r w:rsidRPr="002F0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3" w14:textId="77777777" w:rsidR="00492602" w:rsidRPr="002F086F" w:rsidRDefault="00492602" w:rsidP="00492602">
    <w:pPr>
      <w:pStyle w:val="Header"/>
    </w:pPr>
  </w:p>
  <w:p w14:paraId="5B1A8C64" w14:textId="77777777" w:rsidR="00492602" w:rsidRPr="002F086F"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A" w14:textId="527F48D4" w:rsidR="00492602" w:rsidRPr="002F086F" w:rsidRDefault="00492602" w:rsidP="006D3B5F">
    <w:pPr>
      <w:pStyle w:val="Default"/>
      <w:pBdr>
        <w:bottom w:val="single" w:sz="18" w:space="1" w:color="auto"/>
      </w:pBdr>
      <w:tabs>
        <w:tab w:val="right" w:pos="10440"/>
      </w:tabs>
      <w:spacing w:after="240"/>
      <w:rPr>
        <w:color w:val="FF0000"/>
        <w:sz w:val="18"/>
        <w:szCs w:val="18"/>
      </w:rPr>
    </w:pPr>
    <w:r w:rsidRPr="002F086F">
      <w:rPr>
        <w:sz w:val="18"/>
        <w:szCs w:val="18"/>
      </w:rPr>
      <w:t xml:space="preserve">Pharmacy Facts, Number </w:t>
    </w:r>
    <w:r w:rsidR="002F086F" w:rsidRPr="002F086F">
      <w:rPr>
        <w:color w:val="auto"/>
        <w:sz w:val="18"/>
        <w:szCs w:val="18"/>
      </w:rPr>
      <w:t>226</w:t>
    </w:r>
    <w:r w:rsidRPr="002F086F">
      <w:rPr>
        <w:color w:val="FF0000"/>
        <w:sz w:val="18"/>
        <w:szCs w:val="18"/>
      </w:rPr>
      <w:tab/>
    </w:r>
    <w:r w:rsidRPr="002F086F">
      <w:rPr>
        <w:color w:val="auto"/>
        <w:sz w:val="18"/>
        <w:szCs w:val="18"/>
      </w:rPr>
      <w:t xml:space="preserve">Page </w:t>
    </w:r>
    <w:r w:rsidR="005A57BA" w:rsidRPr="00FD0DCE">
      <w:rPr>
        <w:color w:val="auto"/>
        <w:sz w:val="18"/>
        <w:szCs w:val="18"/>
      </w:rPr>
      <w:fldChar w:fldCharType="begin"/>
    </w:r>
    <w:r w:rsidR="005A57BA" w:rsidRPr="002F086F">
      <w:rPr>
        <w:color w:val="auto"/>
        <w:sz w:val="18"/>
        <w:szCs w:val="18"/>
      </w:rPr>
      <w:instrText xml:space="preserve"> PAGE   \* MERGEFORMAT </w:instrText>
    </w:r>
    <w:r w:rsidR="005A57BA" w:rsidRPr="00FD0DCE">
      <w:rPr>
        <w:color w:val="auto"/>
        <w:sz w:val="18"/>
        <w:szCs w:val="18"/>
      </w:rPr>
      <w:fldChar w:fldCharType="separate"/>
    </w:r>
    <w:r w:rsidR="00DD44E8" w:rsidRPr="00FD0DCE">
      <w:rPr>
        <w:color w:val="auto"/>
        <w:sz w:val="18"/>
        <w:szCs w:val="18"/>
      </w:rPr>
      <w:t>2</w:t>
    </w:r>
    <w:r w:rsidR="005A57BA" w:rsidRPr="00FD0DCE">
      <w:rPr>
        <w:color w:val="auto"/>
        <w:sz w:val="18"/>
        <w:szCs w:val="18"/>
      </w:rPr>
      <w:fldChar w:fldCharType="end"/>
    </w:r>
    <w:r w:rsidR="005A57BA" w:rsidRPr="00FD0DCE">
      <w:rPr>
        <w:color w:val="auto"/>
        <w:sz w:val="18"/>
        <w:szCs w:val="18"/>
      </w:rPr>
      <w:t xml:space="preserve"> of </w:t>
    </w:r>
    <w:r w:rsidR="006215FA" w:rsidRPr="00FD0DCE">
      <w:rPr>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AD83F40"/>
    <w:multiLevelType w:val="hybridMultilevel"/>
    <w:tmpl w:val="50DE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432135">
    <w:abstractNumId w:val="9"/>
  </w:num>
  <w:num w:numId="2" w16cid:durableId="485777596">
    <w:abstractNumId w:val="14"/>
  </w:num>
  <w:num w:numId="3" w16cid:durableId="2124108017">
    <w:abstractNumId w:val="19"/>
  </w:num>
  <w:num w:numId="4" w16cid:durableId="2130008051">
    <w:abstractNumId w:val="6"/>
  </w:num>
  <w:num w:numId="5" w16cid:durableId="1205603724">
    <w:abstractNumId w:val="8"/>
  </w:num>
  <w:num w:numId="6" w16cid:durableId="2010867690">
    <w:abstractNumId w:val="13"/>
  </w:num>
  <w:num w:numId="7" w16cid:durableId="816608610">
    <w:abstractNumId w:val="20"/>
  </w:num>
  <w:num w:numId="8" w16cid:durableId="2076660891">
    <w:abstractNumId w:val="2"/>
  </w:num>
  <w:num w:numId="9" w16cid:durableId="1939360783">
    <w:abstractNumId w:val="0"/>
  </w:num>
  <w:num w:numId="10" w16cid:durableId="425537424">
    <w:abstractNumId w:val="16"/>
  </w:num>
  <w:num w:numId="11" w16cid:durableId="80307940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108511">
    <w:abstractNumId w:val="4"/>
  </w:num>
  <w:num w:numId="13" w16cid:durableId="161245177">
    <w:abstractNumId w:val="19"/>
  </w:num>
  <w:num w:numId="14" w16cid:durableId="179490683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1763806">
    <w:abstractNumId w:val="13"/>
  </w:num>
  <w:num w:numId="16" w16cid:durableId="109932532">
    <w:abstractNumId w:val="15"/>
  </w:num>
  <w:num w:numId="17" w16cid:durableId="500629838">
    <w:abstractNumId w:val="1"/>
  </w:num>
  <w:num w:numId="18" w16cid:durableId="380635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5093273">
    <w:abstractNumId w:val="5"/>
  </w:num>
  <w:num w:numId="20" w16cid:durableId="1964537488">
    <w:abstractNumId w:val="3"/>
  </w:num>
  <w:num w:numId="21" w16cid:durableId="576017535">
    <w:abstractNumId w:val="7"/>
  </w:num>
  <w:num w:numId="22" w16cid:durableId="909194736">
    <w:abstractNumId w:val="21"/>
  </w:num>
  <w:num w:numId="23" w16cid:durableId="345792937">
    <w:abstractNumId w:val="22"/>
  </w:num>
  <w:num w:numId="24" w16cid:durableId="338586529">
    <w:abstractNumId w:val="12"/>
  </w:num>
  <w:num w:numId="25" w16cid:durableId="1477721350">
    <w:abstractNumId w:val="18"/>
  </w:num>
  <w:num w:numId="26" w16cid:durableId="12997253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3DDE"/>
    <w:rsid w:val="000713D3"/>
    <w:rsid w:val="000735C4"/>
    <w:rsid w:val="00074014"/>
    <w:rsid w:val="00081E8E"/>
    <w:rsid w:val="000A440A"/>
    <w:rsid w:val="000A6318"/>
    <w:rsid w:val="000D1502"/>
    <w:rsid w:val="000F5C22"/>
    <w:rsid w:val="00123D58"/>
    <w:rsid w:val="001362EA"/>
    <w:rsid w:val="00137D3D"/>
    <w:rsid w:val="00140D08"/>
    <w:rsid w:val="00147437"/>
    <w:rsid w:val="00157A49"/>
    <w:rsid w:val="00171445"/>
    <w:rsid w:val="001721D8"/>
    <w:rsid w:val="00172862"/>
    <w:rsid w:val="0018357E"/>
    <w:rsid w:val="001864A9"/>
    <w:rsid w:val="001A125B"/>
    <w:rsid w:val="001C1481"/>
    <w:rsid w:val="001E779F"/>
    <w:rsid w:val="0021214A"/>
    <w:rsid w:val="00212622"/>
    <w:rsid w:val="002275AE"/>
    <w:rsid w:val="00230996"/>
    <w:rsid w:val="002509E9"/>
    <w:rsid w:val="00265457"/>
    <w:rsid w:val="002727AB"/>
    <w:rsid w:val="00276F3A"/>
    <w:rsid w:val="00286CBE"/>
    <w:rsid w:val="00291397"/>
    <w:rsid w:val="002C7C67"/>
    <w:rsid w:val="002D390F"/>
    <w:rsid w:val="002D3BB5"/>
    <w:rsid w:val="002D3C44"/>
    <w:rsid w:val="002D738C"/>
    <w:rsid w:val="002E2F9E"/>
    <w:rsid w:val="002F086F"/>
    <w:rsid w:val="002F4E7B"/>
    <w:rsid w:val="003152DA"/>
    <w:rsid w:val="0033053B"/>
    <w:rsid w:val="00334D14"/>
    <w:rsid w:val="00360067"/>
    <w:rsid w:val="0036343A"/>
    <w:rsid w:val="0037373E"/>
    <w:rsid w:val="00375713"/>
    <w:rsid w:val="00382054"/>
    <w:rsid w:val="00387C1F"/>
    <w:rsid w:val="003911FC"/>
    <w:rsid w:val="003B6839"/>
    <w:rsid w:val="003C1739"/>
    <w:rsid w:val="003D2B74"/>
    <w:rsid w:val="003F533B"/>
    <w:rsid w:val="0041065E"/>
    <w:rsid w:val="00447A5F"/>
    <w:rsid w:val="00453E30"/>
    <w:rsid w:val="00453F3E"/>
    <w:rsid w:val="00456B5A"/>
    <w:rsid w:val="00461E24"/>
    <w:rsid w:val="004664D3"/>
    <w:rsid w:val="00477916"/>
    <w:rsid w:val="004910B8"/>
    <w:rsid w:val="00492602"/>
    <w:rsid w:val="004A3BAA"/>
    <w:rsid w:val="004A7395"/>
    <w:rsid w:val="004C18F4"/>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7622"/>
    <w:rsid w:val="005D723D"/>
    <w:rsid w:val="00607CFA"/>
    <w:rsid w:val="006215FA"/>
    <w:rsid w:val="00623469"/>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5D46"/>
    <w:rsid w:val="006E6AFF"/>
    <w:rsid w:val="006E7A9B"/>
    <w:rsid w:val="006F35F9"/>
    <w:rsid w:val="007319D7"/>
    <w:rsid w:val="00731FAF"/>
    <w:rsid w:val="007400F4"/>
    <w:rsid w:val="007426BF"/>
    <w:rsid w:val="00760FDF"/>
    <w:rsid w:val="007757E7"/>
    <w:rsid w:val="00781D3B"/>
    <w:rsid w:val="007A41F5"/>
    <w:rsid w:val="007B2F2D"/>
    <w:rsid w:val="007B4429"/>
    <w:rsid w:val="007B7425"/>
    <w:rsid w:val="007E4380"/>
    <w:rsid w:val="007F5417"/>
    <w:rsid w:val="00804116"/>
    <w:rsid w:val="00812480"/>
    <w:rsid w:val="00821937"/>
    <w:rsid w:val="008340D0"/>
    <w:rsid w:val="008403CA"/>
    <w:rsid w:val="0085395A"/>
    <w:rsid w:val="00853F8E"/>
    <w:rsid w:val="0086142C"/>
    <w:rsid w:val="00872E7F"/>
    <w:rsid w:val="00880FA9"/>
    <w:rsid w:val="008930F1"/>
    <w:rsid w:val="00893F45"/>
    <w:rsid w:val="008C5414"/>
    <w:rsid w:val="008E7A79"/>
    <w:rsid w:val="008F0130"/>
    <w:rsid w:val="008F2E4C"/>
    <w:rsid w:val="00905C46"/>
    <w:rsid w:val="00906EEC"/>
    <w:rsid w:val="009166DF"/>
    <w:rsid w:val="009204C7"/>
    <w:rsid w:val="00922030"/>
    <w:rsid w:val="0093281E"/>
    <w:rsid w:val="0093532E"/>
    <w:rsid w:val="00941258"/>
    <w:rsid w:val="00942245"/>
    <w:rsid w:val="00945279"/>
    <w:rsid w:val="00956812"/>
    <w:rsid w:val="00963957"/>
    <w:rsid w:val="00966A3B"/>
    <w:rsid w:val="009725E5"/>
    <w:rsid w:val="00974CFD"/>
    <w:rsid w:val="00981567"/>
    <w:rsid w:val="009C3981"/>
    <w:rsid w:val="009C3CFF"/>
    <w:rsid w:val="009D1341"/>
    <w:rsid w:val="009D6D73"/>
    <w:rsid w:val="009D79C6"/>
    <w:rsid w:val="009E55A1"/>
    <w:rsid w:val="009F0440"/>
    <w:rsid w:val="009F0526"/>
    <w:rsid w:val="00A01DE3"/>
    <w:rsid w:val="00A11371"/>
    <w:rsid w:val="00A120E1"/>
    <w:rsid w:val="00A31FAA"/>
    <w:rsid w:val="00A343A9"/>
    <w:rsid w:val="00A5239C"/>
    <w:rsid w:val="00A650DC"/>
    <w:rsid w:val="00A6764A"/>
    <w:rsid w:val="00A84255"/>
    <w:rsid w:val="00A93734"/>
    <w:rsid w:val="00AC1AC7"/>
    <w:rsid w:val="00AD18B8"/>
    <w:rsid w:val="00AD33D5"/>
    <w:rsid w:val="00AE21FC"/>
    <w:rsid w:val="00AE7072"/>
    <w:rsid w:val="00B01BAA"/>
    <w:rsid w:val="00B07BD7"/>
    <w:rsid w:val="00B13AA5"/>
    <w:rsid w:val="00B3099B"/>
    <w:rsid w:val="00B40A71"/>
    <w:rsid w:val="00B41B0C"/>
    <w:rsid w:val="00B503C7"/>
    <w:rsid w:val="00B54AB5"/>
    <w:rsid w:val="00B645C9"/>
    <w:rsid w:val="00B92C96"/>
    <w:rsid w:val="00B94D4E"/>
    <w:rsid w:val="00BA68F0"/>
    <w:rsid w:val="00BD08CA"/>
    <w:rsid w:val="00BE1214"/>
    <w:rsid w:val="00BE3015"/>
    <w:rsid w:val="00C15672"/>
    <w:rsid w:val="00C31421"/>
    <w:rsid w:val="00C33753"/>
    <w:rsid w:val="00C35B94"/>
    <w:rsid w:val="00C61B09"/>
    <w:rsid w:val="00C82FA4"/>
    <w:rsid w:val="00CA0669"/>
    <w:rsid w:val="00CA1E7C"/>
    <w:rsid w:val="00CB0030"/>
    <w:rsid w:val="00CB7521"/>
    <w:rsid w:val="00CC57AC"/>
    <w:rsid w:val="00CC776C"/>
    <w:rsid w:val="00CD6D68"/>
    <w:rsid w:val="00CE3864"/>
    <w:rsid w:val="00CF383E"/>
    <w:rsid w:val="00D0584B"/>
    <w:rsid w:val="00D2467C"/>
    <w:rsid w:val="00D2695E"/>
    <w:rsid w:val="00D335C5"/>
    <w:rsid w:val="00D521FA"/>
    <w:rsid w:val="00D5685A"/>
    <w:rsid w:val="00D81121"/>
    <w:rsid w:val="00D83FDF"/>
    <w:rsid w:val="00DB5DBC"/>
    <w:rsid w:val="00DB6A12"/>
    <w:rsid w:val="00DD44E8"/>
    <w:rsid w:val="00DE3A96"/>
    <w:rsid w:val="00DF3D6F"/>
    <w:rsid w:val="00E02354"/>
    <w:rsid w:val="00E027A9"/>
    <w:rsid w:val="00E05C6C"/>
    <w:rsid w:val="00E10EA0"/>
    <w:rsid w:val="00E24139"/>
    <w:rsid w:val="00E34C02"/>
    <w:rsid w:val="00E3616D"/>
    <w:rsid w:val="00E44D32"/>
    <w:rsid w:val="00E50862"/>
    <w:rsid w:val="00E60ABB"/>
    <w:rsid w:val="00E62D91"/>
    <w:rsid w:val="00E67611"/>
    <w:rsid w:val="00E67713"/>
    <w:rsid w:val="00E72DFF"/>
    <w:rsid w:val="00E92E47"/>
    <w:rsid w:val="00E9576D"/>
    <w:rsid w:val="00E95805"/>
    <w:rsid w:val="00EC08AC"/>
    <w:rsid w:val="00EC1948"/>
    <w:rsid w:val="00ED4639"/>
    <w:rsid w:val="00EE54D2"/>
    <w:rsid w:val="00EF7C8A"/>
    <w:rsid w:val="00F01B09"/>
    <w:rsid w:val="00F25E7F"/>
    <w:rsid w:val="00F307D6"/>
    <w:rsid w:val="00F45E31"/>
    <w:rsid w:val="00F512EE"/>
    <w:rsid w:val="00F643E6"/>
    <w:rsid w:val="00F76D69"/>
    <w:rsid w:val="00F80E73"/>
    <w:rsid w:val="00F82A45"/>
    <w:rsid w:val="00F9012C"/>
    <w:rsid w:val="00F9097E"/>
    <w:rsid w:val="00F93C6C"/>
    <w:rsid w:val="00FA5147"/>
    <w:rsid w:val="00FB0C11"/>
    <w:rsid w:val="00FD0DCE"/>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UnresolvedMention">
    <w:name w:val="Unresolved Mention"/>
    <w:basedOn w:val="DefaultParagraphFont"/>
    <w:uiPriority w:val="99"/>
    <w:semiHidden/>
    <w:unhideWhenUsed/>
    <w:rsid w:val="006215FA"/>
    <w:rPr>
      <w:color w:val="605E5C"/>
      <w:shd w:val="clear" w:color="auto" w:fill="E1DFDD"/>
    </w:rPr>
  </w:style>
  <w:style w:type="paragraph" w:styleId="Revision">
    <w:name w:val="Revision"/>
    <w:hidden/>
    <w:uiPriority w:val="99"/>
    <w:semiHidden/>
    <w:rsid w:val="002F086F"/>
    <w:rPr>
      <w:sz w:val="24"/>
      <w:szCs w:val="24"/>
    </w:rPr>
  </w:style>
  <w:style w:type="character" w:styleId="FollowedHyperlink">
    <w:name w:val="FollowedHyperlink"/>
    <w:basedOn w:val="DefaultParagraphFont"/>
    <w:semiHidden/>
    <w:unhideWhenUsed/>
    <w:rsid w:val="002F0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all-provider-bulletin-361-start-dates-for-enforcing-ordering-referring-and-prescribing-requirements-0/download" TargetMode="External"/><Relationship Id="rId18" Type="http://schemas.openxmlformats.org/officeDocument/2006/relationships/hyperlink" Target="https://www.mass.gov/lists/masshealth-pharmacy-facts-2016-curren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mass.gov/doc/all-provider-bulletin-376-updates-to-the-implementation-of-ordering-referring-and-prescribing-requirements-0/download" TargetMode="External"/><Relationship Id="rId7" Type="http://schemas.openxmlformats.org/officeDocument/2006/relationships/endnotes" Target="endnotes.xml"/><Relationship Id="rId12" Type="http://schemas.openxmlformats.org/officeDocument/2006/relationships/hyperlink" Target="https://www.mass.gov/doc/all-provider-bulletin-286-start-date-for-denials-for-claims-that-do-not-meet-ordering-referring-and-prescribing-provider-requirements-0/download" TargetMode="External"/><Relationship Id="rId17" Type="http://schemas.openxmlformats.org/officeDocument/2006/relationships/hyperlink" Target="https://www.mass.gov/doc/pharmacy-facts-220-february-20-2024-0/download"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ass.gov/doc/pharmacy-facts-214-october-26-2023-0/download" TargetMode="External"/><Relationship Id="rId20" Type="http://schemas.openxmlformats.org/officeDocument/2006/relationships/hyperlink" Target="https://www.mass.gov/doc/all-provider-bulletin-361-start-dates-for-enforcing-ordering-referring-and-prescribing-requirements-0/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gov/doc/all-provider-bulletin-380-updates-to-the-implementation-of-prescriber-requirements-for-pharmacies-0/download" TargetMode="External"/><Relationship Id="rId23" Type="http://schemas.openxmlformats.org/officeDocument/2006/relationships/hyperlink" Target="https://www.mass.gov/doc/pharmacy-facts-220-february-20-2024-0/download"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mass.gov/doc/all-provider-bulletin-286-start-date-for-denials-for-claims-that-do-not-meet-ordering-referring-and-prescribing-provider-requirements-0/downlo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all-provider-bulletin-376-updates-to-the-implementation-of-ordering-referring-and-prescribing-requirements-0/download" TargetMode="External"/><Relationship Id="rId22" Type="http://schemas.openxmlformats.org/officeDocument/2006/relationships/hyperlink" Target="https://www.mass.gov/doc/all-provider-bulletin-380-updates-to-the-implementation-of-prescriber-requirements-for-pharmacies-0/download"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1254</Words>
  <Characters>6714</Characters>
  <Application>Microsoft Office Word</Application>
  <DocSecurity>0</DocSecurity>
  <Lines>203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2024-02-22T14:09:00Z</dcterms:created>
  <dcterms:modified xsi:type="dcterms:W3CDTF">2024-04-22T14:25:00Z</dcterms:modified>
</cp:coreProperties>
</file>