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993E2" w14:textId="2D53BC1D" w:rsidR="00C559C9" w:rsidRDefault="00C559C9" w:rsidP="00C559C9">
      <w:pPr>
        <w:pStyle w:val="Noparagraphstyle"/>
        <w:rPr>
          <w:rFonts w:ascii="Arial Narrow" w:hAnsi="Arial Narrow"/>
          <w:b/>
          <w:sz w:val="20"/>
          <w:szCs w:val="20"/>
        </w:rPr>
      </w:pPr>
      <w:r>
        <w:rPr>
          <w:rFonts w:ascii="Arial Narrow" w:hAnsi="Arial Narrow"/>
          <w:b/>
          <w:sz w:val="20"/>
          <w:szCs w:val="20"/>
        </w:rPr>
        <w:t xml:space="preserve">Number </w:t>
      </w:r>
      <w:r w:rsidR="007B5B0B" w:rsidRPr="007B5B0B">
        <w:rPr>
          <w:rFonts w:ascii="Arial Narrow" w:hAnsi="Arial Narrow"/>
          <w:b/>
          <w:color w:val="auto"/>
          <w:sz w:val="20"/>
          <w:szCs w:val="20"/>
        </w:rPr>
        <w:t>227</w:t>
      </w:r>
      <w:r w:rsidRPr="007B5B0B">
        <w:rPr>
          <w:rFonts w:ascii="Arial Narrow" w:hAnsi="Arial Narrow"/>
          <w:b/>
          <w:color w:val="auto"/>
          <w:sz w:val="20"/>
          <w:szCs w:val="20"/>
        </w:rPr>
        <w:t xml:space="preserve">, </w:t>
      </w:r>
      <w:r w:rsidR="007B5B0B" w:rsidRPr="007B5B0B">
        <w:rPr>
          <w:rFonts w:ascii="Arial Narrow" w:hAnsi="Arial Narrow"/>
          <w:b/>
          <w:color w:val="auto"/>
          <w:sz w:val="20"/>
          <w:szCs w:val="20"/>
        </w:rPr>
        <w:t>April 29, 2024</w:t>
      </w:r>
    </w:p>
    <w:p w14:paraId="539B08B0" w14:textId="7DFF5D98" w:rsidR="006F35F9" w:rsidRDefault="0094076D" w:rsidP="00212477">
      <w:pPr>
        <w:pStyle w:val="NormalWeb"/>
        <w:shd w:val="clear" w:color="auto" w:fill="FFFFFF"/>
        <w:spacing w:before="0" w:beforeAutospacing="0" w:after="225" w:afterAutospacing="0"/>
        <w:ind w:left="-90"/>
        <w:jc w:val="both"/>
        <w:rPr>
          <w:rFonts w:ascii="Arial" w:hAnsi="Arial" w:cs="Arial"/>
          <w:color w:val="000000"/>
          <w:sz w:val="21"/>
          <w:szCs w:val="21"/>
        </w:rPr>
        <w:sectPr w:rsidR="006F35F9" w:rsidSect="00C44C96">
          <w:headerReference w:type="default" r:id="rId8"/>
          <w:footerReference w:type="default" r:id="rId9"/>
          <w:footerReference w:type="first" r:id="rId10"/>
          <w:pgSz w:w="12240" w:h="15840" w:code="1"/>
          <w:pgMar w:top="360" w:right="907" w:bottom="446" w:left="907" w:header="0" w:footer="288" w:gutter="0"/>
          <w:cols w:space="720"/>
          <w:docGrid w:linePitch="360"/>
        </w:sectPr>
      </w:pPr>
      <w:r>
        <w:rPr>
          <w:rFonts w:ascii="Arial" w:hAnsi="Arial" w:cs="Arial"/>
          <w:noProof/>
          <w:color w:val="000000"/>
          <w:sz w:val="21"/>
          <w:szCs w:val="21"/>
        </w:rPr>
        <w:drawing>
          <wp:inline distT="0" distB="0" distL="0" distR="0" wp14:anchorId="48B6939B" wp14:editId="20AFC057">
            <wp:extent cx="6772940" cy="1708501"/>
            <wp:effectExtent l="0" t="0" r="0" b="6350"/>
            <wp:docPr id="77277672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76727"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88182" cy="1712346"/>
                    </a:xfrm>
                    <a:prstGeom prst="rect">
                      <a:avLst/>
                    </a:prstGeom>
                  </pic:spPr>
                </pic:pic>
              </a:graphicData>
            </a:graphic>
          </wp:inline>
        </w:drawing>
      </w:r>
    </w:p>
    <w:p w14:paraId="321E5EA7" w14:textId="77777777" w:rsidR="007B5B0B" w:rsidRPr="007F09D3" w:rsidRDefault="007B5B0B" w:rsidP="007B5B0B">
      <w:pPr>
        <w:spacing w:after="80"/>
        <w:rPr>
          <w:rFonts w:ascii="Arial Black" w:hAnsi="Arial Black" w:cs="Arial"/>
          <w:b/>
        </w:rPr>
      </w:pPr>
      <w:r>
        <w:rPr>
          <w:rFonts w:ascii="Arial Black" w:hAnsi="Arial Black" w:cs="Arial"/>
          <w:b/>
        </w:rPr>
        <w:t>MHDL Update</w:t>
      </w:r>
    </w:p>
    <w:p w14:paraId="5221F366" w14:textId="77777777" w:rsidR="007B5B0B" w:rsidRDefault="007B5B0B" w:rsidP="007B5B0B">
      <w:pPr>
        <w:rPr>
          <w:rFonts w:ascii="Arial" w:hAnsi="Arial" w:cs="Arial"/>
          <w:sz w:val="22"/>
          <w:szCs w:val="22"/>
        </w:rPr>
      </w:pPr>
      <w:r w:rsidRPr="007F09D3">
        <w:rPr>
          <w:rFonts w:ascii="Arial" w:hAnsi="Arial" w:cs="Arial"/>
          <w:sz w:val="22"/>
          <w:szCs w:val="22"/>
        </w:rPr>
        <w:t>Below are certain updates to the MassHealth Drug List (MHDL). See the MHDL for a complete listing of updates.</w:t>
      </w:r>
    </w:p>
    <w:p w14:paraId="7B837BE0" w14:textId="77777777" w:rsidR="007B5B0B" w:rsidRPr="00B503C7" w:rsidRDefault="007B5B0B" w:rsidP="007B5B0B">
      <w:pPr>
        <w:pStyle w:val="Default"/>
        <w:spacing w:line="276" w:lineRule="auto"/>
        <w:rPr>
          <w:rFonts w:ascii="Arial" w:hAnsi="Arial" w:cs="Arial"/>
          <w:color w:val="auto"/>
          <w:sz w:val="22"/>
          <w:szCs w:val="22"/>
        </w:rPr>
      </w:pPr>
    </w:p>
    <w:p w14:paraId="7E3428D2" w14:textId="77777777" w:rsidR="007B5B0B" w:rsidRPr="00140D3B" w:rsidRDefault="007B5B0B" w:rsidP="007B5B0B">
      <w:pPr>
        <w:pStyle w:val="Default"/>
        <w:tabs>
          <w:tab w:val="left" w:pos="90"/>
        </w:tabs>
        <w:spacing w:line="276" w:lineRule="auto"/>
        <w:ind w:left="360" w:hanging="360"/>
        <w:rPr>
          <w:rFonts w:ascii="Arial" w:hAnsi="Arial" w:cs="Arial"/>
          <w:color w:val="auto"/>
          <w:sz w:val="22"/>
          <w:szCs w:val="22"/>
        </w:rPr>
      </w:pPr>
      <w:r>
        <w:t>Additions</w:t>
      </w:r>
    </w:p>
    <w:p w14:paraId="320F0896" w14:textId="77777777" w:rsidR="007B5B0B" w:rsidRPr="00EC6056" w:rsidRDefault="007B5B0B" w:rsidP="007B5B0B">
      <w:pPr>
        <w:pStyle w:val="Default"/>
        <w:numPr>
          <w:ilvl w:val="0"/>
          <w:numId w:val="26"/>
        </w:numPr>
        <w:rPr>
          <w:rFonts w:ascii="Arial" w:hAnsi="Arial" w:cs="Arial"/>
          <w:sz w:val="22"/>
          <w:szCs w:val="22"/>
        </w:rPr>
      </w:pPr>
      <w:r>
        <w:rPr>
          <w:rFonts w:ascii="Arial" w:hAnsi="Arial" w:cs="Arial"/>
          <w:sz w:val="22"/>
          <w:szCs w:val="22"/>
        </w:rPr>
        <w:t>Effective May 6, 2024, the</w:t>
      </w:r>
      <w:r>
        <w:rPr>
          <w:rFonts w:ascii="Arial" w:hAnsi="Arial" w:cs="Arial"/>
          <w:sz w:val="22"/>
          <w:szCs w:val="21"/>
        </w:rPr>
        <w:t xml:space="preserve"> following newly marketed drugs have been added to the MassHealth </w:t>
      </w:r>
      <w:r w:rsidRPr="00EC6056">
        <w:rPr>
          <w:rFonts w:ascii="Arial" w:hAnsi="Arial" w:cs="Arial"/>
          <w:sz w:val="22"/>
          <w:szCs w:val="22"/>
        </w:rPr>
        <w:t xml:space="preserve">Drug List. </w:t>
      </w:r>
    </w:p>
    <w:p w14:paraId="05C9258F" w14:textId="77777777" w:rsidR="007B5B0B" w:rsidRPr="00EC6056" w:rsidRDefault="007B5B0B" w:rsidP="007B5B0B">
      <w:pPr>
        <w:pStyle w:val="Default"/>
        <w:numPr>
          <w:ilvl w:val="0"/>
          <w:numId w:val="27"/>
        </w:numPr>
        <w:spacing w:line="276" w:lineRule="auto"/>
        <w:ind w:left="1080"/>
        <w:rPr>
          <w:rFonts w:ascii="Arial" w:hAnsi="Arial" w:cs="Arial"/>
          <w:sz w:val="22"/>
          <w:szCs w:val="22"/>
        </w:rPr>
      </w:pPr>
      <w:proofErr w:type="spellStart"/>
      <w:r w:rsidRPr="00EC6056">
        <w:rPr>
          <w:rFonts w:ascii="Arial" w:hAnsi="Arial" w:cs="Arial"/>
          <w:sz w:val="22"/>
          <w:szCs w:val="22"/>
        </w:rPr>
        <w:t>Agamree</w:t>
      </w:r>
      <w:proofErr w:type="spellEnd"/>
      <w:r w:rsidRPr="00EC6056">
        <w:rPr>
          <w:rFonts w:ascii="Arial" w:hAnsi="Arial" w:cs="Arial"/>
          <w:sz w:val="22"/>
          <w:szCs w:val="22"/>
        </w:rPr>
        <w:t xml:space="preserve"> (</w:t>
      </w:r>
      <w:proofErr w:type="spellStart"/>
      <w:r w:rsidRPr="00EC6056">
        <w:rPr>
          <w:rFonts w:ascii="Arial" w:hAnsi="Arial" w:cs="Arial"/>
          <w:sz w:val="22"/>
          <w:szCs w:val="22"/>
        </w:rPr>
        <w:t>vamorolone</w:t>
      </w:r>
      <w:proofErr w:type="spellEnd"/>
      <w:r w:rsidRPr="00EC6056">
        <w:rPr>
          <w:rFonts w:ascii="Arial" w:hAnsi="Arial" w:cs="Arial"/>
          <w:sz w:val="22"/>
          <w:szCs w:val="22"/>
        </w:rPr>
        <w:t xml:space="preserve">) – </w:t>
      </w:r>
      <w:r w:rsidRPr="00EC6056">
        <w:rPr>
          <w:rFonts w:ascii="Arial" w:hAnsi="Arial" w:cs="Arial"/>
          <w:b/>
          <w:bCs/>
          <w:sz w:val="22"/>
          <w:szCs w:val="22"/>
        </w:rPr>
        <w:t>PA</w:t>
      </w:r>
    </w:p>
    <w:p w14:paraId="10B281DE" w14:textId="77777777" w:rsidR="007B5B0B" w:rsidRPr="00EC6056" w:rsidRDefault="007B5B0B" w:rsidP="007B5B0B">
      <w:pPr>
        <w:pStyle w:val="Default"/>
        <w:numPr>
          <w:ilvl w:val="0"/>
          <w:numId w:val="27"/>
        </w:numPr>
        <w:spacing w:line="276" w:lineRule="auto"/>
        <w:ind w:left="1080"/>
        <w:rPr>
          <w:rFonts w:ascii="Arial" w:hAnsi="Arial" w:cs="Arial"/>
          <w:sz w:val="22"/>
          <w:szCs w:val="22"/>
        </w:rPr>
      </w:pPr>
      <w:proofErr w:type="spellStart"/>
      <w:r w:rsidRPr="00EC6056">
        <w:rPr>
          <w:rFonts w:ascii="Arial" w:hAnsi="Arial" w:cs="Arial"/>
          <w:sz w:val="22"/>
          <w:szCs w:val="22"/>
        </w:rPr>
        <w:t>Elrexfio</w:t>
      </w:r>
      <w:proofErr w:type="spellEnd"/>
      <w:r w:rsidRPr="00EC6056">
        <w:rPr>
          <w:rFonts w:ascii="Arial" w:hAnsi="Arial" w:cs="Arial"/>
          <w:sz w:val="22"/>
          <w:szCs w:val="22"/>
        </w:rPr>
        <w:t xml:space="preserve"> (</w:t>
      </w:r>
      <w:proofErr w:type="spellStart"/>
      <w:r w:rsidRPr="00EC6056">
        <w:rPr>
          <w:rFonts w:ascii="Arial" w:hAnsi="Arial" w:cs="Arial"/>
          <w:sz w:val="22"/>
          <w:szCs w:val="22"/>
        </w:rPr>
        <w:t>elranatamab-bcmm</w:t>
      </w:r>
      <w:proofErr w:type="spellEnd"/>
      <w:r w:rsidRPr="00EC6056">
        <w:rPr>
          <w:rFonts w:ascii="Arial" w:hAnsi="Arial" w:cs="Arial"/>
          <w:sz w:val="22"/>
          <w:szCs w:val="22"/>
        </w:rPr>
        <w:t xml:space="preserve">) – </w:t>
      </w:r>
      <w:r w:rsidRPr="00EC6056">
        <w:rPr>
          <w:rFonts w:ascii="Arial" w:hAnsi="Arial" w:cs="Arial"/>
          <w:b/>
          <w:bCs/>
          <w:sz w:val="22"/>
          <w:szCs w:val="22"/>
        </w:rPr>
        <w:t>PA</w:t>
      </w:r>
      <w:r w:rsidRPr="00EC6056">
        <w:rPr>
          <w:rFonts w:ascii="Arial" w:hAnsi="Arial" w:cs="Arial"/>
          <w:sz w:val="22"/>
          <w:szCs w:val="22"/>
        </w:rPr>
        <w:t>; MB</w:t>
      </w:r>
    </w:p>
    <w:p w14:paraId="2B2CEDDA" w14:textId="77777777" w:rsidR="007B5B0B" w:rsidRPr="00EC6056" w:rsidRDefault="007B5B0B" w:rsidP="007B5B0B">
      <w:pPr>
        <w:pStyle w:val="Default"/>
        <w:numPr>
          <w:ilvl w:val="0"/>
          <w:numId w:val="27"/>
        </w:numPr>
        <w:spacing w:line="276" w:lineRule="auto"/>
        <w:ind w:left="1080"/>
        <w:rPr>
          <w:rFonts w:ascii="Arial" w:hAnsi="Arial" w:cs="Arial"/>
          <w:sz w:val="22"/>
          <w:szCs w:val="22"/>
        </w:rPr>
      </w:pPr>
      <w:proofErr w:type="spellStart"/>
      <w:r w:rsidRPr="00EC6056">
        <w:rPr>
          <w:rFonts w:ascii="Arial" w:hAnsi="Arial" w:cs="Arial"/>
          <w:sz w:val="22"/>
          <w:szCs w:val="22"/>
        </w:rPr>
        <w:t>Fruzaqla</w:t>
      </w:r>
      <w:proofErr w:type="spellEnd"/>
      <w:r w:rsidRPr="00EC6056">
        <w:rPr>
          <w:rFonts w:ascii="Arial" w:hAnsi="Arial" w:cs="Arial"/>
          <w:sz w:val="22"/>
          <w:szCs w:val="22"/>
        </w:rPr>
        <w:t xml:space="preserve"> (</w:t>
      </w:r>
      <w:proofErr w:type="spellStart"/>
      <w:r w:rsidRPr="00EC6056">
        <w:rPr>
          <w:rFonts w:ascii="Arial" w:hAnsi="Arial" w:cs="Arial"/>
          <w:sz w:val="22"/>
          <w:szCs w:val="22"/>
        </w:rPr>
        <w:t>fruquintinib</w:t>
      </w:r>
      <w:proofErr w:type="spellEnd"/>
      <w:r w:rsidRPr="00EC6056">
        <w:rPr>
          <w:rFonts w:ascii="Arial" w:hAnsi="Arial" w:cs="Arial"/>
          <w:sz w:val="22"/>
          <w:szCs w:val="22"/>
        </w:rPr>
        <w:t xml:space="preserve">) – </w:t>
      </w:r>
      <w:r w:rsidRPr="00EC6056">
        <w:rPr>
          <w:rFonts w:ascii="Arial" w:hAnsi="Arial" w:cs="Arial"/>
          <w:b/>
          <w:bCs/>
          <w:sz w:val="22"/>
          <w:szCs w:val="22"/>
        </w:rPr>
        <w:t>PA</w:t>
      </w:r>
    </w:p>
    <w:p w14:paraId="75AD939E" w14:textId="77777777" w:rsidR="007B5B0B" w:rsidRPr="00EC6056" w:rsidRDefault="007B5B0B" w:rsidP="007B5B0B">
      <w:pPr>
        <w:pStyle w:val="Default"/>
        <w:numPr>
          <w:ilvl w:val="0"/>
          <w:numId w:val="27"/>
        </w:numPr>
        <w:spacing w:line="276" w:lineRule="auto"/>
        <w:ind w:left="1080"/>
        <w:rPr>
          <w:rFonts w:ascii="Arial" w:hAnsi="Arial" w:cs="Arial"/>
          <w:sz w:val="22"/>
          <w:szCs w:val="22"/>
        </w:rPr>
      </w:pPr>
      <w:proofErr w:type="spellStart"/>
      <w:r w:rsidRPr="00EC6056">
        <w:rPr>
          <w:rFonts w:ascii="Arial" w:hAnsi="Arial" w:cs="Arial"/>
          <w:sz w:val="22"/>
          <w:szCs w:val="22"/>
        </w:rPr>
        <w:t>Izervay</w:t>
      </w:r>
      <w:proofErr w:type="spellEnd"/>
      <w:r w:rsidRPr="00EC6056">
        <w:rPr>
          <w:rFonts w:ascii="Arial" w:hAnsi="Arial" w:cs="Arial"/>
          <w:sz w:val="22"/>
          <w:szCs w:val="22"/>
        </w:rPr>
        <w:t xml:space="preserve"> (</w:t>
      </w:r>
      <w:proofErr w:type="spellStart"/>
      <w:r w:rsidRPr="00EC6056">
        <w:rPr>
          <w:rFonts w:ascii="Arial" w:hAnsi="Arial" w:cs="Arial"/>
          <w:sz w:val="22"/>
          <w:szCs w:val="22"/>
        </w:rPr>
        <w:t>avacincaptad</w:t>
      </w:r>
      <w:proofErr w:type="spellEnd"/>
      <w:r w:rsidRPr="00EC6056">
        <w:rPr>
          <w:rFonts w:ascii="Arial" w:hAnsi="Arial" w:cs="Arial"/>
          <w:sz w:val="22"/>
          <w:szCs w:val="22"/>
        </w:rPr>
        <w:t xml:space="preserve"> pegol) – </w:t>
      </w:r>
      <w:r w:rsidRPr="00EC6056">
        <w:rPr>
          <w:rFonts w:ascii="Arial" w:hAnsi="Arial" w:cs="Arial"/>
          <w:b/>
          <w:bCs/>
          <w:sz w:val="22"/>
          <w:szCs w:val="22"/>
        </w:rPr>
        <w:t>PA</w:t>
      </w:r>
      <w:r w:rsidRPr="00EC6056">
        <w:rPr>
          <w:rFonts w:ascii="Arial" w:hAnsi="Arial" w:cs="Arial"/>
          <w:sz w:val="22"/>
          <w:szCs w:val="22"/>
        </w:rPr>
        <w:t>; MB</w:t>
      </w:r>
    </w:p>
    <w:p w14:paraId="1F0502EC" w14:textId="77777777" w:rsidR="007B5B0B" w:rsidRPr="00EC6056" w:rsidRDefault="007B5B0B" w:rsidP="007B5B0B">
      <w:pPr>
        <w:pStyle w:val="Default"/>
        <w:numPr>
          <w:ilvl w:val="0"/>
          <w:numId w:val="27"/>
        </w:numPr>
        <w:spacing w:line="276" w:lineRule="auto"/>
        <w:ind w:left="1080"/>
        <w:rPr>
          <w:rFonts w:ascii="Arial" w:hAnsi="Arial" w:cs="Arial"/>
          <w:sz w:val="22"/>
          <w:szCs w:val="22"/>
        </w:rPr>
      </w:pPr>
      <w:proofErr w:type="spellStart"/>
      <w:r w:rsidRPr="00EC6056">
        <w:rPr>
          <w:rFonts w:ascii="Arial" w:hAnsi="Arial" w:cs="Arial"/>
          <w:sz w:val="22"/>
          <w:szCs w:val="22"/>
        </w:rPr>
        <w:t>Jesduvroq</w:t>
      </w:r>
      <w:proofErr w:type="spellEnd"/>
      <w:r w:rsidRPr="00EC6056">
        <w:rPr>
          <w:rFonts w:ascii="Arial" w:hAnsi="Arial" w:cs="Arial"/>
          <w:sz w:val="22"/>
          <w:szCs w:val="22"/>
        </w:rPr>
        <w:t xml:space="preserve"> (</w:t>
      </w:r>
      <w:proofErr w:type="spellStart"/>
      <w:r w:rsidRPr="00EC6056">
        <w:rPr>
          <w:rFonts w:ascii="Arial" w:hAnsi="Arial" w:cs="Arial"/>
          <w:sz w:val="22"/>
          <w:szCs w:val="22"/>
        </w:rPr>
        <w:t>daprodustat</w:t>
      </w:r>
      <w:proofErr w:type="spellEnd"/>
      <w:r w:rsidRPr="00EC6056">
        <w:rPr>
          <w:rFonts w:ascii="Arial" w:hAnsi="Arial" w:cs="Arial"/>
          <w:sz w:val="22"/>
          <w:szCs w:val="22"/>
        </w:rPr>
        <w:t xml:space="preserve">) – </w:t>
      </w:r>
      <w:r w:rsidRPr="00EC6056">
        <w:rPr>
          <w:rFonts w:ascii="Arial" w:hAnsi="Arial" w:cs="Arial"/>
          <w:b/>
          <w:bCs/>
          <w:sz w:val="22"/>
          <w:szCs w:val="22"/>
        </w:rPr>
        <w:t>PA</w:t>
      </w:r>
      <w:r w:rsidRPr="00EC6056">
        <w:rPr>
          <w:rFonts w:ascii="Arial" w:hAnsi="Arial" w:cs="Arial"/>
          <w:sz w:val="22"/>
          <w:szCs w:val="22"/>
        </w:rPr>
        <w:t xml:space="preserve"> </w:t>
      </w:r>
    </w:p>
    <w:p w14:paraId="1E4DC837" w14:textId="77777777" w:rsidR="007B5B0B" w:rsidRPr="00EC6056" w:rsidRDefault="007B5B0B" w:rsidP="007B5B0B">
      <w:pPr>
        <w:pStyle w:val="Default"/>
        <w:numPr>
          <w:ilvl w:val="0"/>
          <w:numId w:val="27"/>
        </w:numPr>
        <w:spacing w:line="276" w:lineRule="auto"/>
        <w:ind w:left="1080"/>
        <w:rPr>
          <w:rFonts w:ascii="Arial" w:hAnsi="Arial" w:cs="Arial"/>
          <w:sz w:val="22"/>
          <w:szCs w:val="22"/>
        </w:rPr>
      </w:pPr>
      <w:proofErr w:type="spellStart"/>
      <w:r w:rsidRPr="00EC6056">
        <w:rPr>
          <w:rFonts w:ascii="Arial" w:hAnsi="Arial" w:cs="Arial"/>
          <w:sz w:val="22"/>
          <w:szCs w:val="22"/>
        </w:rPr>
        <w:t>Likmez</w:t>
      </w:r>
      <w:proofErr w:type="spellEnd"/>
      <w:r w:rsidRPr="00EC6056">
        <w:rPr>
          <w:rFonts w:ascii="Arial" w:hAnsi="Arial" w:cs="Arial"/>
          <w:sz w:val="22"/>
          <w:szCs w:val="22"/>
        </w:rPr>
        <w:t xml:space="preserve"> (metronidazole suspension) – </w:t>
      </w:r>
      <w:r w:rsidRPr="00EC6056">
        <w:rPr>
          <w:rFonts w:ascii="Arial" w:hAnsi="Arial" w:cs="Arial"/>
          <w:b/>
          <w:bCs/>
          <w:sz w:val="22"/>
          <w:szCs w:val="22"/>
        </w:rPr>
        <w:t>PA</w:t>
      </w:r>
    </w:p>
    <w:p w14:paraId="2906AD77" w14:textId="77777777" w:rsidR="007B5B0B" w:rsidRPr="00EC6056" w:rsidRDefault="007B5B0B" w:rsidP="007B5B0B">
      <w:pPr>
        <w:pStyle w:val="Default"/>
        <w:numPr>
          <w:ilvl w:val="0"/>
          <w:numId w:val="27"/>
        </w:numPr>
        <w:spacing w:line="276" w:lineRule="auto"/>
        <w:ind w:left="1080"/>
        <w:rPr>
          <w:rFonts w:ascii="Arial" w:hAnsi="Arial" w:cs="Arial"/>
          <w:sz w:val="22"/>
          <w:szCs w:val="22"/>
        </w:rPr>
      </w:pPr>
      <w:proofErr w:type="spellStart"/>
      <w:r w:rsidRPr="00EC6056">
        <w:rPr>
          <w:rFonts w:ascii="Arial" w:hAnsi="Arial" w:cs="Arial"/>
          <w:sz w:val="22"/>
          <w:szCs w:val="22"/>
        </w:rPr>
        <w:t>Motpoly</w:t>
      </w:r>
      <w:proofErr w:type="spellEnd"/>
      <w:r w:rsidRPr="00EC6056">
        <w:rPr>
          <w:rFonts w:ascii="Arial" w:hAnsi="Arial" w:cs="Arial"/>
          <w:sz w:val="22"/>
          <w:szCs w:val="22"/>
        </w:rPr>
        <w:t xml:space="preserve"> XR (lacosamide extended-release capsule) – </w:t>
      </w:r>
      <w:r w:rsidRPr="00EC6056">
        <w:rPr>
          <w:rFonts w:ascii="Arial" w:hAnsi="Arial" w:cs="Arial"/>
          <w:b/>
          <w:bCs/>
          <w:sz w:val="22"/>
          <w:szCs w:val="22"/>
        </w:rPr>
        <w:t>PA</w:t>
      </w:r>
      <w:r w:rsidRPr="00EC6056">
        <w:rPr>
          <w:rFonts w:ascii="Arial" w:hAnsi="Arial" w:cs="Arial"/>
          <w:sz w:val="22"/>
          <w:szCs w:val="22"/>
        </w:rPr>
        <w:t xml:space="preserve"> </w:t>
      </w:r>
    </w:p>
    <w:p w14:paraId="00396CA6" w14:textId="77777777" w:rsidR="007B5B0B" w:rsidRPr="00EC6056" w:rsidRDefault="007B5B0B" w:rsidP="007B5B0B">
      <w:pPr>
        <w:pStyle w:val="Default"/>
        <w:numPr>
          <w:ilvl w:val="0"/>
          <w:numId w:val="27"/>
        </w:numPr>
        <w:spacing w:line="276" w:lineRule="auto"/>
        <w:ind w:left="1080"/>
        <w:rPr>
          <w:rFonts w:ascii="Arial" w:hAnsi="Arial" w:cs="Arial"/>
          <w:b/>
          <w:bCs/>
          <w:sz w:val="22"/>
          <w:szCs w:val="22"/>
        </w:rPr>
      </w:pPr>
      <w:proofErr w:type="spellStart"/>
      <w:r w:rsidRPr="00EC6056">
        <w:rPr>
          <w:rFonts w:ascii="Arial" w:hAnsi="Arial" w:cs="Arial"/>
          <w:sz w:val="22"/>
          <w:szCs w:val="22"/>
        </w:rPr>
        <w:t>Sohonos</w:t>
      </w:r>
      <w:proofErr w:type="spellEnd"/>
      <w:r w:rsidRPr="00EC6056">
        <w:rPr>
          <w:rFonts w:ascii="Arial" w:hAnsi="Arial" w:cs="Arial"/>
          <w:sz w:val="22"/>
          <w:szCs w:val="22"/>
        </w:rPr>
        <w:t xml:space="preserve"> (palovarotene) – </w:t>
      </w:r>
      <w:r w:rsidRPr="00EC6056">
        <w:rPr>
          <w:rFonts w:ascii="Arial" w:hAnsi="Arial" w:cs="Arial"/>
          <w:b/>
          <w:bCs/>
          <w:sz w:val="22"/>
          <w:szCs w:val="22"/>
        </w:rPr>
        <w:t>PA</w:t>
      </w:r>
    </w:p>
    <w:p w14:paraId="3609DB8C" w14:textId="77777777" w:rsidR="007B5B0B" w:rsidRPr="00EC6056" w:rsidRDefault="007B5B0B" w:rsidP="007B5B0B">
      <w:pPr>
        <w:pStyle w:val="Default"/>
        <w:numPr>
          <w:ilvl w:val="0"/>
          <w:numId w:val="27"/>
        </w:numPr>
        <w:spacing w:line="276" w:lineRule="auto"/>
        <w:ind w:left="1080"/>
        <w:rPr>
          <w:rFonts w:ascii="Arial" w:hAnsi="Arial" w:cs="Arial"/>
          <w:sz w:val="22"/>
          <w:szCs w:val="22"/>
        </w:rPr>
      </w:pPr>
      <w:proofErr w:type="spellStart"/>
      <w:r w:rsidRPr="00EC6056">
        <w:rPr>
          <w:rFonts w:ascii="Arial" w:hAnsi="Arial" w:cs="Arial"/>
          <w:sz w:val="22"/>
          <w:szCs w:val="22"/>
        </w:rPr>
        <w:t>Suflave</w:t>
      </w:r>
      <w:proofErr w:type="spellEnd"/>
      <w:r w:rsidRPr="00EC6056">
        <w:rPr>
          <w:rFonts w:ascii="Arial" w:hAnsi="Arial" w:cs="Arial"/>
          <w:sz w:val="22"/>
          <w:szCs w:val="22"/>
        </w:rPr>
        <w:t xml:space="preserve"> (polyethylene glycol/sodium sulfate/potassium chloride/magnesium sulfate/sodium chloride) – </w:t>
      </w:r>
      <w:r w:rsidRPr="00EC6056">
        <w:rPr>
          <w:rFonts w:ascii="Arial" w:hAnsi="Arial" w:cs="Arial"/>
          <w:b/>
          <w:bCs/>
          <w:sz w:val="22"/>
          <w:szCs w:val="22"/>
        </w:rPr>
        <w:t>PA</w:t>
      </w:r>
      <w:r w:rsidRPr="00EC6056">
        <w:rPr>
          <w:rFonts w:ascii="Arial" w:hAnsi="Arial" w:cs="Arial"/>
          <w:sz w:val="22"/>
          <w:szCs w:val="22"/>
        </w:rPr>
        <w:t xml:space="preserve"> </w:t>
      </w:r>
    </w:p>
    <w:p w14:paraId="33384907" w14:textId="77777777" w:rsidR="007B5B0B" w:rsidRPr="00EC6056" w:rsidRDefault="007B5B0B" w:rsidP="007B5B0B">
      <w:pPr>
        <w:pStyle w:val="Default"/>
        <w:numPr>
          <w:ilvl w:val="0"/>
          <w:numId w:val="27"/>
        </w:numPr>
        <w:spacing w:line="276" w:lineRule="auto"/>
        <w:ind w:left="1080"/>
        <w:rPr>
          <w:rFonts w:ascii="Arial" w:hAnsi="Arial" w:cs="Arial"/>
          <w:sz w:val="22"/>
          <w:szCs w:val="22"/>
        </w:rPr>
      </w:pPr>
      <w:proofErr w:type="spellStart"/>
      <w:r w:rsidRPr="00EC6056">
        <w:rPr>
          <w:rFonts w:ascii="Arial" w:hAnsi="Arial" w:cs="Arial"/>
          <w:sz w:val="22"/>
          <w:szCs w:val="22"/>
        </w:rPr>
        <w:t>Talvey</w:t>
      </w:r>
      <w:proofErr w:type="spellEnd"/>
      <w:r w:rsidRPr="00EC6056">
        <w:rPr>
          <w:rFonts w:ascii="Arial" w:hAnsi="Arial" w:cs="Arial"/>
          <w:sz w:val="22"/>
          <w:szCs w:val="22"/>
        </w:rPr>
        <w:t xml:space="preserve"> (</w:t>
      </w:r>
      <w:proofErr w:type="spellStart"/>
      <w:r w:rsidRPr="00EC6056">
        <w:rPr>
          <w:rFonts w:ascii="Arial" w:hAnsi="Arial" w:cs="Arial"/>
          <w:sz w:val="22"/>
          <w:szCs w:val="22"/>
        </w:rPr>
        <w:t>talquetamab-tgvs</w:t>
      </w:r>
      <w:proofErr w:type="spellEnd"/>
      <w:r w:rsidRPr="00EC6056">
        <w:rPr>
          <w:rFonts w:ascii="Arial" w:hAnsi="Arial" w:cs="Arial"/>
          <w:sz w:val="22"/>
          <w:szCs w:val="22"/>
        </w:rPr>
        <w:t xml:space="preserve">) – </w:t>
      </w:r>
      <w:r w:rsidRPr="00EC6056">
        <w:rPr>
          <w:rFonts w:ascii="Arial" w:hAnsi="Arial" w:cs="Arial"/>
          <w:b/>
          <w:bCs/>
          <w:sz w:val="22"/>
          <w:szCs w:val="22"/>
        </w:rPr>
        <w:t>PA</w:t>
      </w:r>
      <w:r w:rsidRPr="00EC6056">
        <w:rPr>
          <w:rFonts w:ascii="Arial" w:hAnsi="Arial" w:cs="Arial"/>
          <w:sz w:val="22"/>
          <w:szCs w:val="22"/>
        </w:rPr>
        <w:t>; MB</w:t>
      </w:r>
    </w:p>
    <w:p w14:paraId="11565821" w14:textId="77777777" w:rsidR="007B5B0B" w:rsidRPr="00EC6056" w:rsidRDefault="007B5B0B" w:rsidP="007B5B0B">
      <w:pPr>
        <w:pStyle w:val="Default"/>
        <w:numPr>
          <w:ilvl w:val="0"/>
          <w:numId w:val="27"/>
        </w:numPr>
        <w:spacing w:line="276" w:lineRule="auto"/>
        <w:ind w:left="1080"/>
        <w:rPr>
          <w:rFonts w:ascii="Arial" w:hAnsi="Arial" w:cs="Arial"/>
          <w:sz w:val="22"/>
          <w:szCs w:val="22"/>
        </w:rPr>
      </w:pPr>
      <w:proofErr w:type="spellStart"/>
      <w:r w:rsidRPr="00EC6056">
        <w:rPr>
          <w:rFonts w:ascii="Arial" w:hAnsi="Arial" w:cs="Arial"/>
          <w:sz w:val="22"/>
          <w:szCs w:val="22"/>
        </w:rPr>
        <w:t>Vanflyta</w:t>
      </w:r>
      <w:proofErr w:type="spellEnd"/>
      <w:r w:rsidRPr="00EC6056">
        <w:rPr>
          <w:rFonts w:ascii="Arial" w:hAnsi="Arial" w:cs="Arial"/>
          <w:sz w:val="22"/>
          <w:szCs w:val="22"/>
        </w:rPr>
        <w:t xml:space="preserve"> (</w:t>
      </w:r>
      <w:proofErr w:type="spellStart"/>
      <w:r w:rsidRPr="00EC6056">
        <w:rPr>
          <w:rFonts w:ascii="Arial" w:hAnsi="Arial" w:cs="Arial"/>
          <w:sz w:val="22"/>
          <w:szCs w:val="22"/>
        </w:rPr>
        <w:t>quizartinib</w:t>
      </w:r>
      <w:proofErr w:type="spellEnd"/>
      <w:r w:rsidRPr="00EC6056">
        <w:rPr>
          <w:rFonts w:ascii="Arial" w:hAnsi="Arial" w:cs="Arial"/>
          <w:sz w:val="22"/>
          <w:szCs w:val="22"/>
        </w:rPr>
        <w:t xml:space="preserve">) – </w:t>
      </w:r>
      <w:r w:rsidRPr="00EC6056">
        <w:rPr>
          <w:rFonts w:ascii="Arial" w:hAnsi="Arial" w:cs="Arial"/>
          <w:b/>
          <w:bCs/>
          <w:sz w:val="22"/>
          <w:szCs w:val="22"/>
        </w:rPr>
        <w:t>PA</w:t>
      </w:r>
    </w:p>
    <w:p w14:paraId="387FA183" w14:textId="77777777" w:rsidR="007B5B0B" w:rsidRPr="00EC6056" w:rsidRDefault="007B5B0B" w:rsidP="007B5B0B">
      <w:pPr>
        <w:pStyle w:val="Default"/>
        <w:numPr>
          <w:ilvl w:val="0"/>
          <w:numId w:val="27"/>
        </w:numPr>
        <w:spacing w:line="276" w:lineRule="auto"/>
        <w:ind w:left="1080"/>
        <w:rPr>
          <w:rFonts w:ascii="Arial" w:hAnsi="Arial" w:cs="Arial"/>
          <w:sz w:val="22"/>
          <w:szCs w:val="22"/>
        </w:rPr>
      </w:pPr>
      <w:proofErr w:type="spellStart"/>
      <w:r w:rsidRPr="00EC6056">
        <w:rPr>
          <w:rFonts w:ascii="Arial" w:hAnsi="Arial" w:cs="Arial"/>
          <w:sz w:val="22"/>
          <w:szCs w:val="22"/>
        </w:rPr>
        <w:t>Veopoz</w:t>
      </w:r>
      <w:proofErr w:type="spellEnd"/>
      <w:r w:rsidRPr="00EC6056">
        <w:rPr>
          <w:rFonts w:ascii="Arial" w:hAnsi="Arial" w:cs="Arial"/>
          <w:sz w:val="22"/>
          <w:szCs w:val="22"/>
        </w:rPr>
        <w:t xml:space="preserve"> (</w:t>
      </w:r>
      <w:proofErr w:type="spellStart"/>
      <w:r w:rsidRPr="00EC6056">
        <w:rPr>
          <w:rFonts w:ascii="Arial" w:hAnsi="Arial" w:cs="Arial"/>
          <w:sz w:val="22"/>
          <w:szCs w:val="22"/>
        </w:rPr>
        <w:t>pozelimab-bbfg</w:t>
      </w:r>
      <w:proofErr w:type="spellEnd"/>
      <w:r w:rsidRPr="00EC6056">
        <w:rPr>
          <w:rFonts w:ascii="Arial" w:hAnsi="Arial" w:cs="Arial"/>
          <w:sz w:val="22"/>
          <w:szCs w:val="22"/>
        </w:rPr>
        <w:t xml:space="preserve">) – </w:t>
      </w:r>
      <w:r w:rsidRPr="00EC6056">
        <w:rPr>
          <w:rFonts w:ascii="Arial" w:hAnsi="Arial" w:cs="Arial"/>
          <w:b/>
          <w:bCs/>
          <w:sz w:val="22"/>
          <w:szCs w:val="22"/>
        </w:rPr>
        <w:t>PA</w:t>
      </w:r>
      <w:r w:rsidRPr="00EC6056">
        <w:rPr>
          <w:rFonts w:ascii="Arial" w:hAnsi="Arial" w:cs="Arial"/>
          <w:sz w:val="22"/>
          <w:szCs w:val="22"/>
        </w:rPr>
        <w:t>; MB</w:t>
      </w:r>
    </w:p>
    <w:p w14:paraId="1363E8EC" w14:textId="77777777" w:rsidR="007B5B0B" w:rsidRPr="00EC6056" w:rsidRDefault="007B5B0B" w:rsidP="007B5B0B">
      <w:pPr>
        <w:pStyle w:val="Default"/>
        <w:numPr>
          <w:ilvl w:val="0"/>
          <w:numId w:val="27"/>
        </w:numPr>
        <w:spacing w:line="276" w:lineRule="auto"/>
        <w:ind w:left="1080"/>
        <w:rPr>
          <w:rFonts w:ascii="Arial" w:hAnsi="Arial" w:cs="Arial"/>
          <w:sz w:val="22"/>
          <w:szCs w:val="22"/>
        </w:rPr>
      </w:pPr>
      <w:proofErr w:type="spellStart"/>
      <w:r w:rsidRPr="00EC6056">
        <w:rPr>
          <w:rFonts w:ascii="Arial" w:hAnsi="Arial" w:cs="Arial"/>
          <w:sz w:val="22"/>
          <w:szCs w:val="22"/>
        </w:rPr>
        <w:t>Vevye</w:t>
      </w:r>
      <w:proofErr w:type="spellEnd"/>
      <w:r w:rsidRPr="00EC6056">
        <w:rPr>
          <w:rFonts w:ascii="Arial" w:hAnsi="Arial" w:cs="Arial"/>
          <w:sz w:val="22"/>
          <w:szCs w:val="22"/>
        </w:rPr>
        <w:t xml:space="preserve"> (cyclosporine 0.1% ophthalmic solution) – </w:t>
      </w:r>
      <w:r w:rsidRPr="00EC6056">
        <w:rPr>
          <w:rFonts w:ascii="Arial" w:hAnsi="Arial" w:cs="Arial"/>
          <w:b/>
          <w:bCs/>
          <w:sz w:val="22"/>
          <w:szCs w:val="22"/>
        </w:rPr>
        <w:t>PA</w:t>
      </w:r>
      <w:r w:rsidRPr="00EC6056">
        <w:rPr>
          <w:rFonts w:ascii="Arial" w:hAnsi="Arial" w:cs="Arial"/>
          <w:sz w:val="22"/>
          <w:szCs w:val="22"/>
        </w:rPr>
        <w:t xml:space="preserve"> </w:t>
      </w:r>
    </w:p>
    <w:p w14:paraId="7AEB6066" w14:textId="77777777" w:rsidR="007B5B0B" w:rsidRPr="00EC6056" w:rsidRDefault="007B5B0B" w:rsidP="007B5B0B">
      <w:pPr>
        <w:pStyle w:val="Default"/>
        <w:numPr>
          <w:ilvl w:val="0"/>
          <w:numId w:val="27"/>
        </w:numPr>
        <w:spacing w:line="276" w:lineRule="auto"/>
        <w:ind w:left="1080"/>
        <w:rPr>
          <w:rFonts w:ascii="Arial" w:hAnsi="Arial" w:cs="Arial"/>
          <w:sz w:val="22"/>
          <w:szCs w:val="22"/>
        </w:rPr>
      </w:pPr>
      <w:r w:rsidRPr="00EC6056">
        <w:rPr>
          <w:rFonts w:ascii="Arial" w:hAnsi="Arial" w:cs="Arial"/>
          <w:sz w:val="22"/>
          <w:szCs w:val="22"/>
        </w:rPr>
        <w:t xml:space="preserve">Voquezna (vonoprazan) – </w:t>
      </w:r>
      <w:r w:rsidRPr="00EC6056">
        <w:rPr>
          <w:rFonts w:ascii="Arial" w:hAnsi="Arial" w:cs="Arial"/>
          <w:b/>
          <w:bCs/>
          <w:sz w:val="22"/>
          <w:szCs w:val="22"/>
        </w:rPr>
        <w:t>PA</w:t>
      </w:r>
    </w:p>
    <w:p w14:paraId="32DE31E0" w14:textId="77777777" w:rsidR="007B5B0B" w:rsidRPr="00EC6056" w:rsidRDefault="007B5B0B" w:rsidP="007B5B0B">
      <w:pPr>
        <w:pStyle w:val="Default"/>
        <w:numPr>
          <w:ilvl w:val="0"/>
          <w:numId w:val="27"/>
        </w:numPr>
        <w:spacing w:line="276" w:lineRule="auto"/>
        <w:ind w:left="1080"/>
        <w:rPr>
          <w:rFonts w:ascii="Arial" w:hAnsi="Arial" w:cs="Arial"/>
          <w:sz w:val="22"/>
          <w:szCs w:val="22"/>
        </w:rPr>
      </w:pPr>
      <w:proofErr w:type="spellStart"/>
      <w:r w:rsidRPr="00EC6056">
        <w:rPr>
          <w:rFonts w:ascii="Arial" w:hAnsi="Arial" w:cs="Arial"/>
          <w:sz w:val="22"/>
          <w:szCs w:val="22"/>
        </w:rPr>
        <w:t>Xdemvy</w:t>
      </w:r>
      <w:proofErr w:type="spellEnd"/>
      <w:r w:rsidRPr="00EC6056">
        <w:rPr>
          <w:rFonts w:ascii="Arial" w:hAnsi="Arial" w:cs="Arial"/>
          <w:sz w:val="22"/>
          <w:szCs w:val="22"/>
        </w:rPr>
        <w:t xml:space="preserve"> (</w:t>
      </w:r>
      <w:proofErr w:type="spellStart"/>
      <w:r w:rsidRPr="00EC6056">
        <w:rPr>
          <w:rFonts w:ascii="Arial" w:hAnsi="Arial" w:cs="Arial"/>
          <w:sz w:val="22"/>
          <w:szCs w:val="22"/>
        </w:rPr>
        <w:t>lotilaner</w:t>
      </w:r>
      <w:proofErr w:type="spellEnd"/>
      <w:r w:rsidRPr="00EC6056">
        <w:rPr>
          <w:rFonts w:ascii="Arial" w:hAnsi="Arial" w:cs="Arial"/>
          <w:sz w:val="22"/>
          <w:szCs w:val="22"/>
        </w:rPr>
        <w:t xml:space="preserve">) – </w:t>
      </w:r>
      <w:r w:rsidRPr="00EC6056">
        <w:rPr>
          <w:rFonts w:ascii="Arial" w:hAnsi="Arial" w:cs="Arial"/>
          <w:b/>
          <w:bCs/>
          <w:sz w:val="22"/>
          <w:szCs w:val="22"/>
        </w:rPr>
        <w:t>PA</w:t>
      </w:r>
      <w:r w:rsidRPr="00EC6056">
        <w:rPr>
          <w:rFonts w:ascii="Arial" w:hAnsi="Arial" w:cs="Arial"/>
          <w:sz w:val="22"/>
          <w:szCs w:val="22"/>
        </w:rPr>
        <w:t xml:space="preserve"> </w:t>
      </w:r>
    </w:p>
    <w:p w14:paraId="112C2BEE" w14:textId="77777777" w:rsidR="007B5B0B" w:rsidRPr="007F09D3" w:rsidRDefault="007B5B0B" w:rsidP="007B5B0B">
      <w:pPr>
        <w:pStyle w:val="ListParagraph"/>
        <w:numPr>
          <w:ilvl w:val="0"/>
          <w:numId w:val="26"/>
        </w:numPr>
        <w:autoSpaceDE w:val="0"/>
        <w:autoSpaceDN w:val="0"/>
        <w:adjustRightInd w:val="0"/>
        <w:spacing w:line="276" w:lineRule="auto"/>
        <w:rPr>
          <w:rFonts w:ascii="Arial" w:hAnsi="Arial" w:cs="Arial"/>
          <w:sz w:val="22"/>
          <w:szCs w:val="22"/>
        </w:rPr>
      </w:pPr>
      <w:r w:rsidRPr="007F09D3">
        <w:rPr>
          <w:rFonts w:ascii="Arial" w:hAnsi="Arial" w:cs="Arial"/>
          <w:color w:val="000000"/>
          <w:sz w:val="22"/>
          <w:szCs w:val="22"/>
        </w:rPr>
        <w:t>Effective May 6, 2024, the following preventative therapy has been added to the MassHealth Drug List</w:t>
      </w:r>
      <w:r w:rsidRPr="007F09D3">
        <w:rPr>
          <w:rFonts w:ascii="Arial" w:hAnsi="Arial" w:cs="Arial"/>
          <w:sz w:val="22"/>
          <w:szCs w:val="22"/>
        </w:rPr>
        <w:t xml:space="preserve"> Bullets – </w:t>
      </w:r>
      <w:r w:rsidRPr="007F09D3">
        <w:rPr>
          <w:rFonts w:ascii="Arial" w:hAnsi="Arial" w:cs="Arial"/>
          <w:b/>
          <w:sz w:val="22"/>
          <w:szCs w:val="22"/>
        </w:rPr>
        <w:t>PA</w:t>
      </w:r>
      <w:r w:rsidRPr="007F09D3">
        <w:rPr>
          <w:rFonts w:ascii="Arial" w:hAnsi="Arial" w:cs="Arial"/>
          <w:sz w:val="22"/>
          <w:szCs w:val="22"/>
        </w:rPr>
        <w:t xml:space="preserve"> </w:t>
      </w:r>
    </w:p>
    <w:p w14:paraId="669DFCDC" w14:textId="77777777" w:rsidR="007B5B0B" w:rsidRPr="00EC6056" w:rsidRDefault="007B5B0B" w:rsidP="007B5B0B">
      <w:pPr>
        <w:pStyle w:val="ListParagraph"/>
        <w:numPr>
          <w:ilvl w:val="0"/>
          <w:numId w:val="27"/>
        </w:numPr>
        <w:autoSpaceDE w:val="0"/>
        <w:autoSpaceDN w:val="0"/>
        <w:adjustRightInd w:val="0"/>
        <w:ind w:left="1080"/>
        <w:contextualSpacing/>
        <w:rPr>
          <w:rFonts w:ascii="Arial" w:hAnsi="Arial" w:cs="Arial"/>
          <w:color w:val="000000"/>
          <w:sz w:val="22"/>
          <w:szCs w:val="22"/>
        </w:rPr>
      </w:pPr>
      <w:bookmarkStart w:id="0" w:name="_Hlk94786218"/>
      <w:proofErr w:type="spellStart"/>
      <w:r w:rsidRPr="00EC6056">
        <w:rPr>
          <w:rFonts w:ascii="Arial" w:hAnsi="Arial" w:cs="Arial"/>
          <w:color w:val="000000"/>
          <w:sz w:val="22"/>
          <w:szCs w:val="22"/>
        </w:rPr>
        <w:t>Penbraya</w:t>
      </w:r>
      <w:proofErr w:type="spellEnd"/>
      <w:r w:rsidRPr="00EC6056">
        <w:rPr>
          <w:rFonts w:ascii="Arial" w:hAnsi="Arial" w:cs="Arial"/>
          <w:color w:val="000000"/>
          <w:sz w:val="22"/>
          <w:szCs w:val="22"/>
        </w:rPr>
        <w:t xml:space="preserve"> (pentavalent meningococcal groups A, B, C, W, and Y vaccine)</w:t>
      </w:r>
      <w:bookmarkEnd w:id="0"/>
    </w:p>
    <w:p w14:paraId="368AE9D5" w14:textId="26B3F8C2" w:rsidR="007B5B0B" w:rsidRPr="00905C46" w:rsidRDefault="001903F9" w:rsidP="001903F9">
      <w:pPr>
        <w:pStyle w:val="Subtitle"/>
        <w:spacing w:before="0" w:line="240" w:lineRule="auto"/>
        <w:rPr>
          <w:rFonts w:cs="Arial"/>
          <w:b/>
          <w:sz w:val="24"/>
          <w:szCs w:val="24"/>
        </w:rPr>
      </w:pPr>
      <w:r>
        <w:rPr>
          <w:rFonts w:cs="Arial"/>
          <w:b/>
          <w:sz w:val="24"/>
          <w:szCs w:val="24"/>
        </w:rPr>
        <w:br w:type="column"/>
      </w:r>
      <w:r w:rsidR="007B5B0B">
        <w:rPr>
          <w:rFonts w:cs="Arial"/>
          <w:b/>
          <w:sz w:val="24"/>
          <w:szCs w:val="24"/>
        </w:rPr>
        <w:t>Change in Prior</w:t>
      </w:r>
      <w:r w:rsidR="001E2F53">
        <w:rPr>
          <w:rFonts w:cs="Arial"/>
          <w:b/>
          <w:sz w:val="24"/>
          <w:szCs w:val="24"/>
        </w:rPr>
        <w:t xml:space="preserve"> </w:t>
      </w:r>
      <w:r w:rsidR="007B5B0B">
        <w:rPr>
          <w:rFonts w:cs="Arial"/>
          <w:b/>
          <w:sz w:val="24"/>
          <w:szCs w:val="24"/>
        </w:rPr>
        <w:t>Authorization Status</w:t>
      </w:r>
    </w:p>
    <w:p w14:paraId="0A396A85" w14:textId="77777777" w:rsidR="007B5B0B" w:rsidRPr="00EC6056" w:rsidRDefault="007B5B0B" w:rsidP="007B5B0B">
      <w:pPr>
        <w:pStyle w:val="ListParagraph"/>
        <w:numPr>
          <w:ilvl w:val="0"/>
          <w:numId w:val="28"/>
        </w:numPr>
        <w:spacing w:after="160" w:line="256" w:lineRule="auto"/>
        <w:contextualSpacing/>
        <w:rPr>
          <w:rFonts w:ascii="Arial" w:hAnsi="Arial" w:cs="Arial"/>
          <w:sz w:val="22"/>
          <w:szCs w:val="22"/>
        </w:rPr>
      </w:pPr>
      <w:r w:rsidRPr="00EC6056">
        <w:rPr>
          <w:rFonts w:ascii="Arial" w:hAnsi="Arial" w:cs="Arial"/>
          <w:sz w:val="22"/>
          <w:szCs w:val="22"/>
        </w:rPr>
        <w:t>Effective May 6, 2024, the following agent will no longer require PA within newly established quantity limits.</w:t>
      </w:r>
    </w:p>
    <w:p w14:paraId="57B8377F" w14:textId="77777777" w:rsidR="007B5B0B" w:rsidRPr="00EC6056" w:rsidRDefault="007B5B0B" w:rsidP="007B5B0B">
      <w:pPr>
        <w:pStyle w:val="ListParagraph"/>
        <w:numPr>
          <w:ilvl w:val="1"/>
          <w:numId w:val="28"/>
        </w:numPr>
        <w:spacing w:after="160" w:line="256" w:lineRule="auto"/>
        <w:ind w:left="1080"/>
        <w:contextualSpacing/>
        <w:rPr>
          <w:rFonts w:ascii="Arial" w:hAnsi="Arial" w:cs="Arial"/>
          <w:sz w:val="22"/>
          <w:szCs w:val="22"/>
        </w:rPr>
      </w:pPr>
      <w:r w:rsidRPr="00EC6056">
        <w:rPr>
          <w:rFonts w:ascii="Arial" w:hAnsi="Arial" w:cs="Arial"/>
          <w:sz w:val="22"/>
          <w:szCs w:val="22"/>
        </w:rPr>
        <w:t xml:space="preserve">Marinol (dronabinol capsule) – </w:t>
      </w:r>
      <w:r w:rsidRPr="00EC6056">
        <w:rPr>
          <w:rFonts w:ascii="Arial" w:hAnsi="Arial" w:cs="Arial"/>
          <w:b/>
          <w:bCs/>
          <w:sz w:val="22"/>
          <w:szCs w:val="22"/>
        </w:rPr>
        <w:t>PA &gt; 2 units/day</w:t>
      </w:r>
      <w:r w:rsidRPr="00EC6056">
        <w:rPr>
          <w:rFonts w:ascii="Arial" w:hAnsi="Arial" w:cs="Arial"/>
          <w:sz w:val="22"/>
          <w:szCs w:val="22"/>
        </w:rPr>
        <w:t xml:space="preserve">; BP </w:t>
      </w:r>
    </w:p>
    <w:p w14:paraId="5135F268" w14:textId="615B03A4" w:rsidR="007B5B0B" w:rsidRPr="00EC6056" w:rsidRDefault="007B5B0B" w:rsidP="007B5B0B">
      <w:pPr>
        <w:pStyle w:val="ListParagraph"/>
        <w:numPr>
          <w:ilvl w:val="0"/>
          <w:numId w:val="28"/>
        </w:numPr>
        <w:spacing w:line="276" w:lineRule="auto"/>
        <w:contextualSpacing/>
        <w:rPr>
          <w:rFonts w:ascii="Arial" w:hAnsi="Arial" w:cs="Arial"/>
          <w:sz w:val="22"/>
          <w:szCs w:val="22"/>
        </w:rPr>
      </w:pPr>
      <w:r w:rsidRPr="00EC6056">
        <w:rPr>
          <w:rFonts w:ascii="Arial" w:hAnsi="Arial" w:cs="Arial"/>
          <w:sz w:val="22"/>
          <w:szCs w:val="22"/>
        </w:rPr>
        <w:t xml:space="preserve">Effective May 6, 2024, the following Alzheimer’s agent will require PA. </w:t>
      </w:r>
    </w:p>
    <w:p w14:paraId="1DA14F82" w14:textId="77777777" w:rsidR="007B5B0B" w:rsidRPr="00EC6056" w:rsidRDefault="007B5B0B" w:rsidP="007B5B0B">
      <w:pPr>
        <w:pStyle w:val="ListParagraph"/>
        <w:numPr>
          <w:ilvl w:val="1"/>
          <w:numId w:val="28"/>
        </w:numPr>
        <w:spacing w:after="160" w:line="256" w:lineRule="auto"/>
        <w:ind w:left="1080"/>
        <w:contextualSpacing/>
        <w:rPr>
          <w:rFonts w:ascii="Arial" w:hAnsi="Arial" w:cs="Arial"/>
          <w:sz w:val="22"/>
          <w:szCs w:val="22"/>
        </w:rPr>
      </w:pPr>
      <w:proofErr w:type="spellStart"/>
      <w:r w:rsidRPr="00EC6056">
        <w:rPr>
          <w:rFonts w:ascii="Arial" w:hAnsi="Arial" w:cs="Arial"/>
          <w:sz w:val="22"/>
          <w:szCs w:val="22"/>
        </w:rPr>
        <w:t>Namzaric</w:t>
      </w:r>
      <w:proofErr w:type="spellEnd"/>
      <w:r w:rsidRPr="00EC6056">
        <w:rPr>
          <w:rFonts w:ascii="Arial" w:hAnsi="Arial" w:cs="Arial"/>
          <w:sz w:val="22"/>
          <w:szCs w:val="22"/>
        </w:rPr>
        <w:t xml:space="preserve"> (memantine/donepezil extended-release) – </w:t>
      </w:r>
      <w:r w:rsidRPr="00EC6056">
        <w:rPr>
          <w:rFonts w:ascii="Arial" w:hAnsi="Arial" w:cs="Arial"/>
          <w:b/>
          <w:bCs/>
          <w:sz w:val="22"/>
          <w:szCs w:val="22"/>
        </w:rPr>
        <w:t>PA</w:t>
      </w:r>
    </w:p>
    <w:p w14:paraId="5073EBE4" w14:textId="77777777" w:rsidR="007B5B0B" w:rsidRPr="00EC6056" w:rsidRDefault="007B5B0B" w:rsidP="007B5B0B">
      <w:pPr>
        <w:pStyle w:val="ListParagraph"/>
        <w:numPr>
          <w:ilvl w:val="0"/>
          <w:numId w:val="28"/>
        </w:numPr>
        <w:spacing w:after="160" w:line="276" w:lineRule="auto"/>
        <w:contextualSpacing/>
        <w:rPr>
          <w:rFonts w:ascii="Arial" w:hAnsi="Arial" w:cs="Arial"/>
          <w:sz w:val="22"/>
          <w:szCs w:val="22"/>
        </w:rPr>
      </w:pPr>
      <w:r w:rsidRPr="00EC6056">
        <w:rPr>
          <w:rFonts w:ascii="Arial" w:hAnsi="Arial" w:cs="Arial"/>
          <w:sz w:val="22"/>
          <w:szCs w:val="22"/>
        </w:rPr>
        <w:t>Effective May 6, 2024, the following osteoporosis agent will require PA.</w:t>
      </w:r>
    </w:p>
    <w:p w14:paraId="0A2D767A" w14:textId="77777777" w:rsidR="007B5B0B" w:rsidRPr="00EC6056" w:rsidRDefault="007B5B0B" w:rsidP="007B5B0B">
      <w:pPr>
        <w:pStyle w:val="ListParagraph"/>
        <w:numPr>
          <w:ilvl w:val="1"/>
          <w:numId w:val="28"/>
        </w:numPr>
        <w:spacing w:line="276" w:lineRule="auto"/>
        <w:ind w:left="1080"/>
        <w:contextualSpacing/>
        <w:rPr>
          <w:rFonts w:ascii="Arial" w:hAnsi="Arial" w:cs="Arial"/>
          <w:sz w:val="22"/>
          <w:szCs w:val="22"/>
        </w:rPr>
      </w:pPr>
      <w:r w:rsidRPr="00EC6056">
        <w:rPr>
          <w:rFonts w:ascii="Arial" w:hAnsi="Arial" w:cs="Arial"/>
          <w:sz w:val="22"/>
          <w:szCs w:val="22"/>
        </w:rPr>
        <w:t xml:space="preserve">alendronate solution – </w:t>
      </w:r>
      <w:r w:rsidRPr="00EC6056">
        <w:rPr>
          <w:rFonts w:ascii="Arial" w:hAnsi="Arial" w:cs="Arial"/>
          <w:b/>
          <w:bCs/>
          <w:sz w:val="22"/>
          <w:szCs w:val="22"/>
        </w:rPr>
        <w:t>PA</w:t>
      </w:r>
      <w:r w:rsidRPr="00EC6056">
        <w:rPr>
          <w:rFonts w:ascii="Arial" w:hAnsi="Arial" w:cs="Arial"/>
          <w:sz w:val="22"/>
          <w:szCs w:val="22"/>
        </w:rPr>
        <w:t>; M90</w:t>
      </w:r>
    </w:p>
    <w:p w14:paraId="0D26E856" w14:textId="77777777" w:rsidR="007B5B0B" w:rsidRPr="00EC6056" w:rsidRDefault="007B5B0B" w:rsidP="007B5B0B">
      <w:pPr>
        <w:pStyle w:val="ListParagraph"/>
        <w:numPr>
          <w:ilvl w:val="0"/>
          <w:numId w:val="28"/>
        </w:numPr>
        <w:spacing w:after="160" w:line="276" w:lineRule="auto"/>
        <w:contextualSpacing/>
        <w:rPr>
          <w:rFonts w:ascii="Arial" w:hAnsi="Arial" w:cs="Arial"/>
          <w:sz w:val="22"/>
          <w:szCs w:val="22"/>
        </w:rPr>
      </w:pPr>
      <w:r w:rsidRPr="00EC6056">
        <w:rPr>
          <w:rFonts w:ascii="Arial" w:hAnsi="Arial" w:cs="Arial"/>
          <w:sz w:val="22"/>
          <w:szCs w:val="22"/>
        </w:rPr>
        <w:t>Effective May 6, 2024, the following antiglaucoma agent will no longer require PA.</w:t>
      </w:r>
    </w:p>
    <w:p w14:paraId="28ABDFB2" w14:textId="77777777" w:rsidR="007B5B0B" w:rsidRPr="00EC6056" w:rsidRDefault="007B5B0B" w:rsidP="007B5B0B">
      <w:pPr>
        <w:pStyle w:val="ListParagraph"/>
        <w:numPr>
          <w:ilvl w:val="1"/>
          <w:numId w:val="28"/>
        </w:numPr>
        <w:spacing w:line="276" w:lineRule="auto"/>
        <w:ind w:left="1080"/>
        <w:contextualSpacing/>
        <w:rPr>
          <w:rFonts w:ascii="Arial" w:hAnsi="Arial" w:cs="Arial"/>
          <w:sz w:val="22"/>
          <w:szCs w:val="22"/>
        </w:rPr>
      </w:pPr>
      <w:r w:rsidRPr="00EC6056">
        <w:rPr>
          <w:rFonts w:ascii="Arial" w:hAnsi="Arial" w:cs="Arial"/>
          <w:sz w:val="22"/>
          <w:szCs w:val="22"/>
        </w:rPr>
        <w:t>Lumigan (bimatoprost 0.01% ophthalmic solution)</w:t>
      </w:r>
    </w:p>
    <w:p w14:paraId="64B168D5" w14:textId="77777777" w:rsidR="007B5B0B" w:rsidRPr="00EC6056" w:rsidRDefault="007B5B0B" w:rsidP="007B5B0B">
      <w:pPr>
        <w:pStyle w:val="ListParagraph"/>
        <w:numPr>
          <w:ilvl w:val="0"/>
          <w:numId w:val="28"/>
        </w:numPr>
        <w:spacing w:line="276" w:lineRule="auto"/>
        <w:contextualSpacing/>
        <w:rPr>
          <w:rFonts w:ascii="Arial" w:hAnsi="Arial" w:cs="Arial"/>
          <w:sz w:val="22"/>
          <w:szCs w:val="22"/>
        </w:rPr>
      </w:pPr>
      <w:r w:rsidRPr="00EC6056">
        <w:rPr>
          <w:rFonts w:ascii="Arial" w:hAnsi="Arial" w:cs="Arial"/>
          <w:sz w:val="22"/>
          <w:szCs w:val="22"/>
        </w:rPr>
        <w:t>Effective April 8, 2024, the following inhaled respiratory agent will no longer require PA within the updated age limit.</w:t>
      </w:r>
    </w:p>
    <w:p w14:paraId="050FA3ED" w14:textId="77777777" w:rsidR="007B5B0B" w:rsidRPr="004F6506" w:rsidRDefault="007B5B0B" w:rsidP="007B5B0B">
      <w:pPr>
        <w:pStyle w:val="Default"/>
        <w:numPr>
          <w:ilvl w:val="1"/>
          <w:numId w:val="28"/>
        </w:numPr>
        <w:spacing w:line="276" w:lineRule="auto"/>
        <w:ind w:left="1080"/>
        <w:rPr>
          <w:rFonts w:ascii="Arial" w:hAnsi="Arial" w:cs="Arial"/>
          <w:sz w:val="22"/>
          <w:szCs w:val="22"/>
        </w:rPr>
      </w:pPr>
      <w:r w:rsidRPr="00EC6056">
        <w:rPr>
          <w:rFonts w:ascii="Arial" w:hAnsi="Arial" w:cs="Arial"/>
          <w:sz w:val="22"/>
          <w:szCs w:val="22"/>
        </w:rPr>
        <w:t xml:space="preserve">fluticasone propionate inhalation aerosol – </w:t>
      </w:r>
      <w:r w:rsidRPr="00EC6056">
        <w:rPr>
          <w:rFonts w:ascii="Arial" w:hAnsi="Arial" w:cs="Arial"/>
          <w:b/>
          <w:bCs/>
          <w:sz w:val="22"/>
          <w:szCs w:val="22"/>
        </w:rPr>
        <w:t>PA ≥ 12 years</w:t>
      </w:r>
      <w:r w:rsidRPr="00EC6056">
        <w:rPr>
          <w:rFonts w:ascii="Arial" w:hAnsi="Arial" w:cs="Arial"/>
          <w:sz w:val="22"/>
          <w:szCs w:val="22"/>
        </w:rPr>
        <w:t>; A90</w:t>
      </w:r>
    </w:p>
    <w:p w14:paraId="6DBD7413" w14:textId="77777777" w:rsidR="007B5B0B" w:rsidRPr="0057528C" w:rsidRDefault="007B5B0B" w:rsidP="007B5B0B">
      <w:pPr>
        <w:pStyle w:val="Subtitle"/>
        <w:spacing w:line="240" w:lineRule="auto"/>
        <w:rPr>
          <w:rFonts w:cs="Arial"/>
          <w:b/>
          <w:bCs/>
        </w:rPr>
      </w:pPr>
      <w:r>
        <w:rPr>
          <w:rFonts w:cs="Arial"/>
          <w:b/>
          <w:bCs/>
        </w:rPr>
        <w:t>Change in Coverage Status</w:t>
      </w:r>
    </w:p>
    <w:p w14:paraId="181AEDD2" w14:textId="77777777" w:rsidR="007B5B0B" w:rsidRPr="00EC6056" w:rsidRDefault="007B5B0B" w:rsidP="007B5B0B">
      <w:pPr>
        <w:pStyle w:val="Default"/>
        <w:numPr>
          <w:ilvl w:val="0"/>
          <w:numId w:val="29"/>
        </w:numPr>
        <w:spacing w:line="276" w:lineRule="auto"/>
        <w:rPr>
          <w:rFonts w:ascii="Arial" w:hAnsi="Arial" w:cs="Arial"/>
          <w:color w:val="auto"/>
          <w:sz w:val="22"/>
          <w:szCs w:val="22"/>
        </w:rPr>
      </w:pPr>
      <w:r w:rsidRPr="00EC6056">
        <w:rPr>
          <w:rFonts w:ascii="Arial" w:hAnsi="Arial" w:cs="Arial"/>
          <w:sz w:val="22"/>
          <w:szCs w:val="22"/>
        </w:rPr>
        <w:t>Effective May 6, 2024, the following agents will be available through medical billing only and will no longer be available through pharmacy billing</w:t>
      </w:r>
      <w:r w:rsidRPr="00EC6056">
        <w:rPr>
          <w:rFonts w:ascii="Arial" w:hAnsi="Arial" w:cs="Arial"/>
          <w:color w:val="auto"/>
          <w:sz w:val="22"/>
          <w:szCs w:val="22"/>
        </w:rPr>
        <w:t>.</w:t>
      </w:r>
    </w:p>
    <w:p w14:paraId="5C2260F0" w14:textId="77777777" w:rsidR="007B5B0B" w:rsidRPr="00EC6056" w:rsidRDefault="007B5B0B" w:rsidP="007B5B0B">
      <w:pPr>
        <w:pStyle w:val="Default"/>
        <w:numPr>
          <w:ilvl w:val="1"/>
          <w:numId w:val="30"/>
        </w:numPr>
        <w:spacing w:line="276" w:lineRule="auto"/>
        <w:ind w:left="1080"/>
        <w:rPr>
          <w:rFonts w:ascii="Arial" w:hAnsi="Arial" w:cs="Arial"/>
          <w:color w:val="auto"/>
          <w:sz w:val="22"/>
          <w:szCs w:val="22"/>
        </w:rPr>
      </w:pPr>
      <w:proofErr w:type="spellStart"/>
      <w:r w:rsidRPr="00EC6056">
        <w:rPr>
          <w:rFonts w:ascii="Arial" w:hAnsi="Arial" w:cs="Arial"/>
          <w:color w:val="auto"/>
          <w:sz w:val="22"/>
          <w:szCs w:val="22"/>
        </w:rPr>
        <w:t>Mylotarg</w:t>
      </w:r>
      <w:proofErr w:type="spellEnd"/>
      <w:r w:rsidRPr="00EC6056">
        <w:rPr>
          <w:rFonts w:ascii="Arial" w:hAnsi="Arial" w:cs="Arial"/>
          <w:color w:val="auto"/>
          <w:sz w:val="22"/>
          <w:szCs w:val="22"/>
        </w:rPr>
        <w:t xml:space="preserve"> (</w:t>
      </w:r>
      <w:proofErr w:type="spellStart"/>
      <w:r w:rsidRPr="00EC6056">
        <w:rPr>
          <w:rFonts w:ascii="Arial" w:hAnsi="Arial" w:cs="Arial"/>
          <w:color w:val="auto"/>
          <w:sz w:val="22"/>
          <w:szCs w:val="22"/>
        </w:rPr>
        <w:t>gemtuzumab</w:t>
      </w:r>
      <w:proofErr w:type="spellEnd"/>
      <w:r w:rsidRPr="00EC6056">
        <w:rPr>
          <w:rFonts w:ascii="Arial" w:hAnsi="Arial" w:cs="Arial"/>
          <w:color w:val="auto"/>
          <w:sz w:val="22"/>
          <w:szCs w:val="22"/>
        </w:rPr>
        <w:t xml:space="preserve"> </w:t>
      </w:r>
      <w:proofErr w:type="spellStart"/>
      <w:r w:rsidRPr="00EC6056">
        <w:rPr>
          <w:rFonts w:ascii="Arial" w:hAnsi="Arial" w:cs="Arial"/>
          <w:color w:val="auto"/>
          <w:sz w:val="22"/>
          <w:szCs w:val="22"/>
        </w:rPr>
        <w:t>ozogamicin</w:t>
      </w:r>
      <w:proofErr w:type="spellEnd"/>
      <w:r w:rsidRPr="00EC6056">
        <w:rPr>
          <w:rFonts w:ascii="Arial" w:hAnsi="Arial" w:cs="Arial"/>
          <w:color w:val="auto"/>
          <w:sz w:val="22"/>
          <w:szCs w:val="22"/>
        </w:rPr>
        <w:t xml:space="preserve">) – </w:t>
      </w:r>
      <w:r w:rsidRPr="00EC6056">
        <w:rPr>
          <w:rFonts w:ascii="Arial" w:hAnsi="Arial" w:cs="Arial"/>
          <w:b/>
          <w:bCs/>
          <w:color w:val="auto"/>
          <w:sz w:val="22"/>
          <w:szCs w:val="22"/>
        </w:rPr>
        <w:t>PA</w:t>
      </w:r>
      <w:r w:rsidRPr="00EC6056">
        <w:rPr>
          <w:rFonts w:ascii="Arial" w:hAnsi="Arial" w:cs="Arial"/>
          <w:color w:val="auto"/>
          <w:sz w:val="22"/>
          <w:szCs w:val="22"/>
        </w:rPr>
        <w:t>; MB</w:t>
      </w:r>
    </w:p>
    <w:p w14:paraId="2DEDB440" w14:textId="77777777" w:rsidR="007B5B0B" w:rsidRPr="00EC6056" w:rsidRDefault="007B5B0B" w:rsidP="007B5B0B">
      <w:pPr>
        <w:pStyle w:val="Default"/>
        <w:numPr>
          <w:ilvl w:val="1"/>
          <w:numId w:val="30"/>
        </w:numPr>
        <w:spacing w:line="276" w:lineRule="auto"/>
        <w:ind w:left="1080"/>
        <w:rPr>
          <w:rFonts w:ascii="Arial" w:hAnsi="Arial" w:cs="Arial"/>
          <w:color w:val="auto"/>
          <w:sz w:val="22"/>
          <w:szCs w:val="22"/>
        </w:rPr>
      </w:pPr>
      <w:proofErr w:type="spellStart"/>
      <w:r w:rsidRPr="00EC6056">
        <w:rPr>
          <w:rFonts w:ascii="Arial" w:hAnsi="Arial" w:cs="Arial"/>
          <w:color w:val="auto"/>
          <w:sz w:val="22"/>
          <w:szCs w:val="22"/>
        </w:rPr>
        <w:t>Portrazza</w:t>
      </w:r>
      <w:proofErr w:type="spellEnd"/>
      <w:r w:rsidRPr="00EC6056">
        <w:rPr>
          <w:rFonts w:ascii="Arial" w:hAnsi="Arial" w:cs="Arial"/>
          <w:color w:val="auto"/>
          <w:sz w:val="22"/>
          <w:szCs w:val="22"/>
        </w:rPr>
        <w:t xml:space="preserve"> (necitumumab) – </w:t>
      </w:r>
      <w:r w:rsidRPr="00EC6056">
        <w:rPr>
          <w:rFonts w:ascii="Arial" w:hAnsi="Arial" w:cs="Arial"/>
          <w:b/>
          <w:bCs/>
          <w:color w:val="auto"/>
          <w:sz w:val="22"/>
          <w:szCs w:val="22"/>
        </w:rPr>
        <w:t>PA</w:t>
      </w:r>
      <w:r w:rsidRPr="00EC6056">
        <w:rPr>
          <w:rFonts w:ascii="Arial" w:hAnsi="Arial" w:cs="Arial"/>
          <w:color w:val="auto"/>
          <w:sz w:val="22"/>
          <w:szCs w:val="22"/>
        </w:rPr>
        <w:t>; MB</w:t>
      </w:r>
    </w:p>
    <w:p w14:paraId="1328C5A8" w14:textId="77777777" w:rsidR="007B5B0B" w:rsidRPr="00EC6056" w:rsidRDefault="007B5B0B" w:rsidP="007B5B0B">
      <w:pPr>
        <w:pStyle w:val="Default"/>
        <w:numPr>
          <w:ilvl w:val="1"/>
          <w:numId w:val="30"/>
        </w:numPr>
        <w:spacing w:line="276" w:lineRule="auto"/>
        <w:ind w:left="1080"/>
        <w:rPr>
          <w:rFonts w:ascii="Arial" w:hAnsi="Arial" w:cs="Arial"/>
          <w:color w:val="auto"/>
          <w:sz w:val="22"/>
          <w:szCs w:val="22"/>
        </w:rPr>
      </w:pPr>
      <w:r w:rsidRPr="00EC6056">
        <w:rPr>
          <w:rFonts w:ascii="Arial" w:hAnsi="Arial" w:cs="Arial"/>
          <w:bCs/>
          <w:sz w:val="22"/>
          <w:szCs w:val="22"/>
        </w:rPr>
        <w:t xml:space="preserve">Rybrevant (amivantamab-vmjw) </w:t>
      </w:r>
      <w:r w:rsidRPr="00EC6056">
        <w:rPr>
          <w:rFonts w:ascii="Arial" w:hAnsi="Arial" w:cs="Arial"/>
          <w:color w:val="auto"/>
          <w:sz w:val="22"/>
          <w:szCs w:val="22"/>
        </w:rPr>
        <w:t xml:space="preserve">– </w:t>
      </w:r>
      <w:r w:rsidRPr="00EC6056">
        <w:rPr>
          <w:rFonts w:ascii="Arial" w:hAnsi="Arial" w:cs="Arial"/>
          <w:b/>
          <w:sz w:val="22"/>
          <w:szCs w:val="22"/>
        </w:rPr>
        <w:t>PA</w:t>
      </w:r>
      <w:r w:rsidRPr="00EC6056">
        <w:rPr>
          <w:rFonts w:ascii="Arial" w:hAnsi="Arial" w:cs="Arial"/>
          <w:bCs/>
          <w:color w:val="auto"/>
          <w:sz w:val="22"/>
          <w:szCs w:val="22"/>
        </w:rPr>
        <w:t>; MB</w:t>
      </w:r>
    </w:p>
    <w:p w14:paraId="1E337FAC" w14:textId="77777777" w:rsidR="007B5B0B" w:rsidRPr="00EC6056" w:rsidRDefault="007B5B0B" w:rsidP="007B5B0B">
      <w:pPr>
        <w:pStyle w:val="Default"/>
        <w:numPr>
          <w:ilvl w:val="1"/>
          <w:numId w:val="30"/>
        </w:numPr>
        <w:spacing w:line="276" w:lineRule="auto"/>
        <w:ind w:left="1080"/>
        <w:rPr>
          <w:rFonts w:ascii="Arial" w:hAnsi="Arial" w:cs="Arial"/>
          <w:color w:val="auto"/>
          <w:sz w:val="22"/>
          <w:szCs w:val="22"/>
        </w:rPr>
      </w:pPr>
      <w:r w:rsidRPr="00EC6056">
        <w:rPr>
          <w:rFonts w:ascii="Arial" w:hAnsi="Arial" w:cs="Arial"/>
          <w:bCs/>
          <w:color w:val="auto"/>
          <w:sz w:val="22"/>
          <w:szCs w:val="22"/>
        </w:rPr>
        <w:t xml:space="preserve">Zepzelca (lurbinectedin) – </w:t>
      </w:r>
      <w:r w:rsidRPr="00EC6056">
        <w:rPr>
          <w:rFonts w:ascii="Arial" w:hAnsi="Arial" w:cs="Arial"/>
          <w:b/>
          <w:color w:val="auto"/>
          <w:sz w:val="22"/>
          <w:szCs w:val="22"/>
        </w:rPr>
        <w:t>PA</w:t>
      </w:r>
      <w:r w:rsidRPr="00EC6056">
        <w:rPr>
          <w:rFonts w:ascii="Arial" w:hAnsi="Arial" w:cs="Arial"/>
          <w:bCs/>
          <w:color w:val="auto"/>
          <w:sz w:val="22"/>
          <w:szCs w:val="22"/>
        </w:rPr>
        <w:t>; MB</w:t>
      </w:r>
    </w:p>
    <w:p w14:paraId="31C0F668" w14:textId="77777777" w:rsidR="007B5B0B" w:rsidRPr="00EC6056" w:rsidRDefault="007B5B0B" w:rsidP="007B5B0B">
      <w:pPr>
        <w:pStyle w:val="Default"/>
        <w:numPr>
          <w:ilvl w:val="1"/>
          <w:numId w:val="30"/>
        </w:numPr>
        <w:spacing w:line="276" w:lineRule="auto"/>
        <w:ind w:left="1080"/>
        <w:rPr>
          <w:rFonts w:ascii="Arial" w:hAnsi="Arial" w:cs="Arial"/>
          <w:color w:val="auto"/>
          <w:sz w:val="22"/>
          <w:szCs w:val="22"/>
        </w:rPr>
      </w:pPr>
      <w:proofErr w:type="spellStart"/>
      <w:r w:rsidRPr="00EC6056">
        <w:rPr>
          <w:rFonts w:ascii="Arial" w:hAnsi="Arial" w:cs="Arial"/>
          <w:color w:val="auto"/>
          <w:sz w:val="22"/>
          <w:szCs w:val="22"/>
        </w:rPr>
        <w:t>Zilretta</w:t>
      </w:r>
      <w:proofErr w:type="spellEnd"/>
      <w:r w:rsidRPr="00EC6056">
        <w:rPr>
          <w:rFonts w:ascii="Arial" w:hAnsi="Arial" w:cs="Arial"/>
          <w:color w:val="auto"/>
          <w:sz w:val="22"/>
          <w:szCs w:val="22"/>
        </w:rPr>
        <w:t xml:space="preserve"> (triamcinolone extended-release injectable suspension) –</w:t>
      </w:r>
      <w:r w:rsidRPr="00EC6056">
        <w:rPr>
          <w:rFonts w:ascii="Arial" w:hAnsi="Arial" w:cs="Arial"/>
          <w:b/>
          <w:bCs/>
          <w:color w:val="auto"/>
          <w:sz w:val="22"/>
          <w:szCs w:val="22"/>
        </w:rPr>
        <w:t xml:space="preserve"> PA</w:t>
      </w:r>
      <w:r w:rsidRPr="00EC6056">
        <w:rPr>
          <w:rFonts w:ascii="Arial" w:hAnsi="Arial" w:cs="Arial"/>
          <w:color w:val="auto"/>
          <w:sz w:val="22"/>
          <w:szCs w:val="22"/>
        </w:rPr>
        <w:t>; MB</w:t>
      </w:r>
    </w:p>
    <w:p w14:paraId="52B9AEAD" w14:textId="77777777" w:rsidR="007B5B0B" w:rsidRDefault="007B5B0B" w:rsidP="007B5B0B">
      <w:pPr>
        <w:pStyle w:val="Default"/>
        <w:numPr>
          <w:ilvl w:val="0"/>
          <w:numId w:val="29"/>
        </w:numPr>
        <w:spacing w:line="276" w:lineRule="auto"/>
        <w:rPr>
          <w:rFonts w:ascii="Arial" w:hAnsi="Arial" w:cs="Arial"/>
          <w:sz w:val="22"/>
          <w:szCs w:val="22"/>
        </w:rPr>
      </w:pPr>
      <w:r w:rsidRPr="00EC6056">
        <w:rPr>
          <w:rFonts w:ascii="Arial" w:hAnsi="Arial" w:cs="Arial"/>
          <w:sz w:val="22"/>
          <w:szCs w:val="22"/>
        </w:rPr>
        <w:lastRenderedPageBreak/>
        <w:t>Effective May 6, 2024, the following agents will no longer be restricted to medical billing.</w:t>
      </w:r>
    </w:p>
    <w:p w14:paraId="386EF3D9" w14:textId="77777777" w:rsidR="007B5B0B" w:rsidRPr="004F6506" w:rsidRDefault="007B5B0B" w:rsidP="007B5B0B">
      <w:pPr>
        <w:pStyle w:val="Default"/>
        <w:numPr>
          <w:ilvl w:val="1"/>
          <w:numId w:val="31"/>
        </w:numPr>
        <w:spacing w:line="276" w:lineRule="auto"/>
        <w:ind w:left="1080"/>
        <w:rPr>
          <w:rFonts w:ascii="Arial" w:hAnsi="Arial" w:cs="Arial"/>
          <w:sz w:val="22"/>
          <w:szCs w:val="22"/>
        </w:rPr>
      </w:pPr>
      <w:proofErr w:type="spellStart"/>
      <w:r w:rsidRPr="00EC6056">
        <w:rPr>
          <w:rFonts w:ascii="Arial" w:hAnsi="Arial" w:cs="Arial"/>
          <w:sz w:val="22"/>
          <w:szCs w:val="22"/>
        </w:rPr>
        <w:t>Vyjuvek</w:t>
      </w:r>
      <w:proofErr w:type="spellEnd"/>
      <w:r w:rsidRPr="00EC6056">
        <w:rPr>
          <w:rFonts w:ascii="Arial" w:hAnsi="Arial" w:cs="Arial"/>
          <w:sz w:val="22"/>
          <w:szCs w:val="22"/>
        </w:rPr>
        <w:t xml:space="preserve"> (</w:t>
      </w:r>
      <w:proofErr w:type="spellStart"/>
      <w:r w:rsidRPr="00EC6056">
        <w:rPr>
          <w:rFonts w:ascii="Arial" w:hAnsi="Arial" w:cs="Arial"/>
          <w:sz w:val="22"/>
          <w:szCs w:val="22"/>
        </w:rPr>
        <w:t>beremagene</w:t>
      </w:r>
      <w:proofErr w:type="spellEnd"/>
      <w:r w:rsidRPr="00EC6056">
        <w:rPr>
          <w:rFonts w:ascii="Arial" w:hAnsi="Arial" w:cs="Arial"/>
          <w:sz w:val="22"/>
          <w:szCs w:val="22"/>
        </w:rPr>
        <w:t xml:space="preserve"> </w:t>
      </w:r>
      <w:proofErr w:type="spellStart"/>
      <w:r w:rsidRPr="00EC6056">
        <w:rPr>
          <w:rFonts w:ascii="Arial" w:hAnsi="Arial" w:cs="Arial"/>
          <w:sz w:val="22"/>
          <w:szCs w:val="22"/>
        </w:rPr>
        <w:t>geperpavec-svdt</w:t>
      </w:r>
      <w:proofErr w:type="spellEnd"/>
      <w:r w:rsidRPr="00EC6056">
        <w:rPr>
          <w:rFonts w:ascii="Arial" w:hAnsi="Arial" w:cs="Arial"/>
          <w:sz w:val="22"/>
          <w:szCs w:val="22"/>
        </w:rPr>
        <w:t xml:space="preserve">) – </w:t>
      </w:r>
      <w:r w:rsidRPr="00EC6056">
        <w:rPr>
          <w:rFonts w:ascii="Arial" w:hAnsi="Arial" w:cs="Arial"/>
          <w:b/>
          <w:bCs/>
          <w:sz w:val="22"/>
          <w:szCs w:val="22"/>
        </w:rPr>
        <w:t>PA</w:t>
      </w:r>
    </w:p>
    <w:p w14:paraId="40D3DF8F" w14:textId="77777777" w:rsidR="007B5B0B" w:rsidRPr="004F6506" w:rsidRDefault="007B5B0B" w:rsidP="007B5B0B">
      <w:pPr>
        <w:pStyle w:val="Default"/>
        <w:tabs>
          <w:tab w:val="left" w:pos="90"/>
        </w:tabs>
        <w:spacing w:before="200" w:after="80"/>
      </w:pPr>
      <w:r w:rsidRPr="004F6506">
        <w:t>Updated MassHealth Brand Name Preferred Over Generic Drug List</w:t>
      </w:r>
    </w:p>
    <w:p w14:paraId="1B3458E1" w14:textId="77777777" w:rsidR="007B5B0B" w:rsidRPr="004F6506" w:rsidRDefault="007B5B0B" w:rsidP="007B5B0B">
      <w:pPr>
        <w:rPr>
          <w:rFonts w:ascii="Arial" w:hAnsi="Arial" w:cs="Arial"/>
          <w:sz w:val="22"/>
          <w:szCs w:val="22"/>
        </w:rPr>
      </w:pPr>
      <w:r w:rsidRPr="004F6506">
        <w:rPr>
          <w:rFonts w:ascii="Arial" w:hAnsi="Arial" w:cs="Arial"/>
          <w:sz w:val="22"/>
          <w:szCs w:val="22"/>
        </w:rPr>
        <w:t>The MassHealth Brand Name Preferred Over Generic Drug List has been updated to reflect recent changes to the MassHealth Drug List.</w:t>
      </w:r>
    </w:p>
    <w:p w14:paraId="424260BE" w14:textId="77777777" w:rsidR="007B5B0B" w:rsidRPr="004F6506" w:rsidRDefault="007B5B0B" w:rsidP="007B5B0B">
      <w:pPr>
        <w:numPr>
          <w:ilvl w:val="0"/>
          <w:numId w:val="32"/>
        </w:numPr>
        <w:autoSpaceDE w:val="0"/>
        <w:autoSpaceDN w:val="0"/>
        <w:adjustRightInd w:val="0"/>
        <w:spacing w:line="276" w:lineRule="auto"/>
        <w:rPr>
          <w:rFonts w:ascii="Arial" w:hAnsi="Arial" w:cs="Arial"/>
          <w:color w:val="000000"/>
          <w:sz w:val="22"/>
          <w:szCs w:val="22"/>
        </w:rPr>
      </w:pPr>
      <w:r w:rsidRPr="004F6506">
        <w:rPr>
          <w:rFonts w:ascii="Arial" w:hAnsi="Arial" w:cs="Arial"/>
          <w:color w:val="000000"/>
          <w:sz w:val="22"/>
          <w:szCs w:val="22"/>
        </w:rPr>
        <w:t xml:space="preserve">Effective May 6, 2024, the following agents will be added to the MassHealth Brand Name Preferred Over Generic Drug List. </w:t>
      </w:r>
    </w:p>
    <w:p w14:paraId="07862AED" w14:textId="77777777" w:rsidR="007B5B0B" w:rsidRPr="004F6506" w:rsidRDefault="007B5B0B" w:rsidP="007B5B0B">
      <w:pPr>
        <w:numPr>
          <w:ilvl w:val="0"/>
          <w:numId w:val="33"/>
        </w:numPr>
        <w:autoSpaceDE w:val="0"/>
        <w:autoSpaceDN w:val="0"/>
        <w:adjustRightInd w:val="0"/>
        <w:spacing w:line="276" w:lineRule="auto"/>
        <w:ind w:left="990"/>
        <w:rPr>
          <w:rFonts w:ascii="Arial" w:hAnsi="Arial" w:cs="Arial"/>
          <w:color w:val="000000"/>
          <w:sz w:val="22"/>
          <w:szCs w:val="22"/>
        </w:rPr>
      </w:pPr>
      <w:bookmarkStart w:id="1" w:name="_Hlk11399419"/>
      <w:bookmarkStart w:id="2" w:name="_Hlk527542710"/>
      <w:proofErr w:type="spellStart"/>
      <w:r w:rsidRPr="004F6506">
        <w:rPr>
          <w:rFonts w:ascii="Arial" w:hAnsi="Arial" w:cs="Arial"/>
          <w:color w:val="000000"/>
          <w:sz w:val="22"/>
          <w:szCs w:val="22"/>
        </w:rPr>
        <w:t>Emflaza</w:t>
      </w:r>
      <w:proofErr w:type="spellEnd"/>
      <w:r w:rsidRPr="004F6506">
        <w:rPr>
          <w:rFonts w:ascii="Arial" w:hAnsi="Arial" w:cs="Arial"/>
          <w:color w:val="000000"/>
          <w:sz w:val="22"/>
          <w:szCs w:val="22"/>
        </w:rPr>
        <w:t xml:space="preserve"> (deflazacort) – </w:t>
      </w:r>
      <w:r w:rsidRPr="004F6506">
        <w:rPr>
          <w:rFonts w:ascii="Arial" w:hAnsi="Arial" w:cs="Arial"/>
          <w:b/>
          <w:bCs/>
          <w:color w:val="000000"/>
          <w:sz w:val="22"/>
          <w:szCs w:val="22"/>
        </w:rPr>
        <w:t>PA</w:t>
      </w:r>
      <w:r w:rsidRPr="004F6506">
        <w:rPr>
          <w:rFonts w:ascii="Arial" w:hAnsi="Arial" w:cs="Arial"/>
          <w:color w:val="000000"/>
          <w:sz w:val="22"/>
          <w:szCs w:val="22"/>
        </w:rPr>
        <w:t>; BP</w:t>
      </w:r>
    </w:p>
    <w:p w14:paraId="412967AA" w14:textId="77777777" w:rsidR="007B5B0B" w:rsidRPr="004F6506" w:rsidRDefault="007B5B0B" w:rsidP="007B5B0B">
      <w:pPr>
        <w:numPr>
          <w:ilvl w:val="0"/>
          <w:numId w:val="33"/>
        </w:numPr>
        <w:autoSpaceDE w:val="0"/>
        <w:autoSpaceDN w:val="0"/>
        <w:adjustRightInd w:val="0"/>
        <w:spacing w:line="276" w:lineRule="auto"/>
        <w:ind w:left="990"/>
        <w:rPr>
          <w:rFonts w:ascii="Arial" w:hAnsi="Arial" w:cs="Arial"/>
          <w:color w:val="000000"/>
          <w:sz w:val="22"/>
          <w:szCs w:val="22"/>
        </w:rPr>
      </w:pPr>
      <w:proofErr w:type="spellStart"/>
      <w:r w:rsidRPr="004F6506">
        <w:rPr>
          <w:rFonts w:ascii="Arial" w:hAnsi="Arial" w:cs="Arial"/>
          <w:color w:val="000000"/>
          <w:sz w:val="22"/>
          <w:szCs w:val="22"/>
        </w:rPr>
        <w:t>Farxiga</w:t>
      </w:r>
      <w:proofErr w:type="spellEnd"/>
      <w:r w:rsidRPr="004F6506">
        <w:rPr>
          <w:rFonts w:ascii="Arial" w:hAnsi="Arial" w:cs="Arial"/>
          <w:color w:val="000000"/>
          <w:sz w:val="22"/>
          <w:szCs w:val="22"/>
        </w:rPr>
        <w:t xml:space="preserve"> (dapagliflozin); BP, M90</w:t>
      </w:r>
    </w:p>
    <w:p w14:paraId="6C7ACCFB" w14:textId="77777777" w:rsidR="007B5B0B" w:rsidRPr="004F6506" w:rsidRDefault="007B5B0B" w:rsidP="007B5B0B">
      <w:pPr>
        <w:numPr>
          <w:ilvl w:val="0"/>
          <w:numId w:val="33"/>
        </w:numPr>
        <w:autoSpaceDE w:val="0"/>
        <w:autoSpaceDN w:val="0"/>
        <w:adjustRightInd w:val="0"/>
        <w:spacing w:line="276" w:lineRule="auto"/>
        <w:ind w:left="990"/>
        <w:rPr>
          <w:rFonts w:ascii="Arial" w:hAnsi="Arial" w:cs="Arial"/>
          <w:color w:val="000000"/>
          <w:sz w:val="22"/>
          <w:szCs w:val="22"/>
        </w:rPr>
      </w:pPr>
      <w:proofErr w:type="spellStart"/>
      <w:r w:rsidRPr="004F6506">
        <w:rPr>
          <w:rFonts w:ascii="Arial" w:hAnsi="Arial" w:cs="Arial"/>
          <w:color w:val="000000"/>
          <w:sz w:val="22"/>
          <w:szCs w:val="22"/>
        </w:rPr>
        <w:t>Isentress</w:t>
      </w:r>
      <w:proofErr w:type="spellEnd"/>
      <w:r w:rsidRPr="004F6506">
        <w:rPr>
          <w:rFonts w:ascii="Arial" w:hAnsi="Arial" w:cs="Arial"/>
          <w:color w:val="000000"/>
          <w:sz w:val="22"/>
          <w:szCs w:val="22"/>
        </w:rPr>
        <w:t xml:space="preserve"> (</w:t>
      </w:r>
      <w:proofErr w:type="spellStart"/>
      <w:r w:rsidRPr="004F6506">
        <w:rPr>
          <w:rFonts w:ascii="Arial" w:hAnsi="Arial" w:cs="Arial"/>
          <w:color w:val="000000"/>
          <w:sz w:val="22"/>
          <w:szCs w:val="22"/>
        </w:rPr>
        <w:t>raltegravir</w:t>
      </w:r>
      <w:proofErr w:type="spellEnd"/>
      <w:r w:rsidRPr="004F6506">
        <w:rPr>
          <w:rFonts w:ascii="Arial" w:hAnsi="Arial" w:cs="Arial"/>
          <w:color w:val="000000"/>
          <w:sz w:val="22"/>
          <w:szCs w:val="22"/>
        </w:rPr>
        <w:t>); BP</w:t>
      </w:r>
    </w:p>
    <w:p w14:paraId="3E16AC6C" w14:textId="77777777" w:rsidR="007B5B0B" w:rsidRPr="004F6506" w:rsidRDefault="007B5B0B" w:rsidP="007B5B0B">
      <w:pPr>
        <w:numPr>
          <w:ilvl w:val="0"/>
          <w:numId w:val="33"/>
        </w:numPr>
        <w:autoSpaceDE w:val="0"/>
        <w:autoSpaceDN w:val="0"/>
        <w:adjustRightInd w:val="0"/>
        <w:spacing w:line="276" w:lineRule="auto"/>
        <w:ind w:left="990"/>
        <w:rPr>
          <w:rFonts w:ascii="Arial" w:hAnsi="Arial" w:cs="Arial"/>
          <w:color w:val="000000"/>
          <w:sz w:val="22"/>
          <w:szCs w:val="22"/>
        </w:rPr>
      </w:pPr>
      <w:bookmarkStart w:id="3" w:name="_Hlk14249184"/>
      <w:bookmarkStart w:id="4" w:name="_Hlk536624120"/>
      <w:bookmarkEnd w:id="1"/>
      <w:bookmarkEnd w:id="2"/>
      <w:r w:rsidRPr="004F6506">
        <w:rPr>
          <w:rFonts w:ascii="Arial" w:hAnsi="Arial" w:cs="Arial"/>
          <w:color w:val="000000"/>
          <w:sz w:val="22"/>
          <w:szCs w:val="22"/>
        </w:rPr>
        <w:t xml:space="preserve">Marinol (dronabinol) – </w:t>
      </w:r>
      <w:r w:rsidRPr="004F6506">
        <w:rPr>
          <w:rFonts w:ascii="Arial" w:hAnsi="Arial" w:cs="Arial"/>
          <w:b/>
          <w:bCs/>
          <w:color w:val="000000"/>
          <w:sz w:val="22"/>
          <w:szCs w:val="22"/>
        </w:rPr>
        <w:t>PA</w:t>
      </w:r>
      <w:r w:rsidRPr="004F6506">
        <w:rPr>
          <w:rFonts w:ascii="Arial" w:hAnsi="Arial" w:cs="Arial"/>
          <w:color w:val="000000"/>
          <w:sz w:val="22"/>
          <w:szCs w:val="22"/>
        </w:rPr>
        <w:t xml:space="preserve"> </w:t>
      </w:r>
      <w:r w:rsidRPr="004F6506">
        <w:rPr>
          <w:rFonts w:ascii="Arial" w:hAnsi="Arial" w:cs="Arial"/>
          <w:b/>
          <w:bCs/>
          <w:color w:val="000000"/>
          <w:sz w:val="22"/>
          <w:szCs w:val="22"/>
        </w:rPr>
        <w:t>&gt; 2 units/day</w:t>
      </w:r>
      <w:r w:rsidRPr="004F6506">
        <w:rPr>
          <w:rFonts w:ascii="Arial" w:hAnsi="Arial" w:cs="Arial"/>
          <w:color w:val="000000"/>
          <w:sz w:val="22"/>
          <w:szCs w:val="22"/>
        </w:rPr>
        <w:t xml:space="preserve">; BP </w:t>
      </w:r>
    </w:p>
    <w:p w14:paraId="06E1932A" w14:textId="77777777" w:rsidR="007B5B0B" w:rsidRPr="004F6506" w:rsidRDefault="007B5B0B" w:rsidP="007B5B0B">
      <w:pPr>
        <w:numPr>
          <w:ilvl w:val="0"/>
          <w:numId w:val="33"/>
        </w:numPr>
        <w:autoSpaceDE w:val="0"/>
        <w:autoSpaceDN w:val="0"/>
        <w:adjustRightInd w:val="0"/>
        <w:spacing w:line="276" w:lineRule="auto"/>
        <w:ind w:left="990"/>
        <w:rPr>
          <w:rFonts w:ascii="Arial" w:hAnsi="Arial" w:cs="Arial"/>
          <w:color w:val="000000"/>
          <w:sz w:val="22"/>
          <w:szCs w:val="22"/>
        </w:rPr>
      </w:pPr>
      <w:r w:rsidRPr="004F6506">
        <w:rPr>
          <w:rFonts w:ascii="Arial" w:hAnsi="Arial" w:cs="Arial"/>
          <w:color w:val="000000"/>
          <w:sz w:val="22"/>
          <w:szCs w:val="22"/>
        </w:rPr>
        <w:t>Restasis (cyclosporine 0.05% ophthalmic emulsion); BP, A90</w:t>
      </w:r>
    </w:p>
    <w:p w14:paraId="16D76344" w14:textId="77777777" w:rsidR="007B5B0B" w:rsidRPr="004F6506" w:rsidRDefault="007B5B0B" w:rsidP="007B5B0B">
      <w:pPr>
        <w:numPr>
          <w:ilvl w:val="0"/>
          <w:numId w:val="33"/>
        </w:numPr>
        <w:autoSpaceDE w:val="0"/>
        <w:autoSpaceDN w:val="0"/>
        <w:adjustRightInd w:val="0"/>
        <w:spacing w:line="276" w:lineRule="auto"/>
        <w:ind w:left="990"/>
        <w:rPr>
          <w:rFonts w:ascii="Arial" w:hAnsi="Arial" w:cs="Arial"/>
          <w:color w:val="000000"/>
          <w:sz w:val="22"/>
          <w:szCs w:val="22"/>
        </w:rPr>
      </w:pPr>
      <w:proofErr w:type="spellStart"/>
      <w:r w:rsidRPr="004F6506">
        <w:rPr>
          <w:rFonts w:ascii="Arial" w:hAnsi="Arial" w:cs="Arial"/>
          <w:color w:val="000000"/>
          <w:sz w:val="22"/>
          <w:szCs w:val="22"/>
        </w:rPr>
        <w:t>Sprycel</w:t>
      </w:r>
      <w:proofErr w:type="spellEnd"/>
      <w:r w:rsidRPr="004F6506">
        <w:rPr>
          <w:rFonts w:ascii="Arial" w:hAnsi="Arial" w:cs="Arial"/>
          <w:color w:val="000000"/>
          <w:sz w:val="22"/>
          <w:szCs w:val="22"/>
        </w:rPr>
        <w:t xml:space="preserve"> (</w:t>
      </w:r>
      <w:proofErr w:type="spellStart"/>
      <w:r w:rsidRPr="004F6506">
        <w:rPr>
          <w:rFonts w:ascii="Arial" w:hAnsi="Arial" w:cs="Arial"/>
          <w:color w:val="000000"/>
          <w:sz w:val="22"/>
          <w:szCs w:val="22"/>
        </w:rPr>
        <w:t>dasatinib</w:t>
      </w:r>
      <w:proofErr w:type="spellEnd"/>
      <w:r w:rsidRPr="004F6506">
        <w:rPr>
          <w:rFonts w:ascii="Arial" w:hAnsi="Arial" w:cs="Arial"/>
          <w:color w:val="000000"/>
          <w:sz w:val="22"/>
          <w:szCs w:val="22"/>
        </w:rPr>
        <w:t>); BP</w:t>
      </w:r>
    </w:p>
    <w:p w14:paraId="6007D33C" w14:textId="77777777" w:rsidR="007B5B0B" w:rsidRPr="004F6506" w:rsidRDefault="007B5B0B" w:rsidP="007B5B0B">
      <w:pPr>
        <w:numPr>
          <w:ilvl w:val="0"/>
          <w:numId w:val="33"/>
        </w:numPr>
        <w:autoSpaceDE w:val="0"/>
        <w:autoSpaceDN w:val="0"/>
        <w:adjustRightInd w:val="0"/>
        <w:spacing w:line="276" w:lineRule="auto"/>
        <w:ind w:left="990"/>
        <w:rPr>
          <w:rFonts w:ascii="Arial" w:hAnsi="Arial" w:cs="Arial"/>
          <w:color w:val="000000"/>
          <w:sz w:val="22"/>
          <w:szCs w:val="22"/>
        </w:rPr>
      </w:pPr>
      <w:proofErr w:type="spellStart"/>
      <w:r w:rsidRPr="004F6506">
        <w:rPr>
          <w:rFonts w:ascii="Arial" w:hAnsi="Arial" w:cs="Arial"/>
          <w:color w:val="000000"/>
          <w:sz w:val="22"/>
          <w:szCs w:val="22"/>
        </w:rPr>
        <w:t>Toujeo</w:t>
      </w:r>
      <w:proofErr w:type="spellEnd"/>
      <w:r w:rsidRPr="004F6506">
        <w:rPr>
          <w:rFonts w:ascii="Arial" w:hAnsi="Arial" w:cs="Arial"/>
          <w:color w:val="000000"/>
          <w:sz w:val="22"/>
          <w:szCs w:val="22"/>
        </w:rPr>
        <w:t xml:space="preserve"> (insulin glargine); BP</w:t>
      </w:r>
    </w:p>
    <w:p w14:paraId="273F9318" w14:textId="77777777" w:rsidR="007B5B0B" w:rsidRPr="004F6506" w:rsidRDefault="007B5B0B" w:rsidP="007B5B0B">
      <w:pPr>
        <w:numPr>
          <w:ilvl w:val="0"/>
          <w:numId w:val="33"/>
        </w:numPr>
        <w:autoSpaceDE w:val="0"/>
        <w:autoSpaceDN w:val="0"/>
        <w:adjustRightInd w:val="0"/>
        <w:spacing w:line="276" w:lineRule="auto"/>
        <w:ind w:left="990"/>
        <w:rPr>
          <w:rFonts w:ascii="Arial" w:hAnsi="Arial" w:cs="Arial"/>
          <w:color w:val="000000"/>
          <w:sz w:val="22"/>
          <w:szCs w:val="22"/>
        </w:rPr>
      </w:pPr>
      <w:proofErr w:type="spellStart"/>
      <w:r w:rsidRPr="004F6506">
        <w:rPr>
          <w:rFonts w:ascii="Arial" w:hAnsi="Arial" w:cs="Arial"/>
          <w:color w:val="000000"/>
          <w:sz w:val="22"/>
          <w:szCs w:val="22"/>
        </w:rPr>
        <w:t>Xigduo</w:t>
      </w:r>
      <w:proofErr w:type="spellEnd"/>
      <w:r w:rsidRPr="004F6506">
        <w:rPr>
          <w:rFonts w:ascii="Arial" w:hAnsi="Arial" w:cs="Arial"/>
          <w:color w:val="000000"/>
          <w:sz w:val="22"/>
          <w:szCs w:val="22"/>
        </w:rPr>
        <w:t xml:space="preserve"> XR (dapagliflozin/metformin extended-release); BP, M90</w:t>
      </w:r>
    </w:p>
    <w:p w14:paraId="4CFAC195" w14:textId="77777777" w:rsidR="007B5B0B" w:rsidRPr="004F6506" w:rsidRDefault="007B5B0B" w:rsidP="007B5B0B">
      <w:pPr>
        <w:numPr>
          <w:ilvl w:val="0"/>
          <w:numId w:val="32"/>
        </w:numPr>
        <w:autoSpaceDE w:val="0"/>
        <w:autoSpaceDN w:val="0"/>
        <w:adjustRightInd w:val="0"/>
        <w:spacing w:line="276" w:lineRule="auto"/>
        <w:rPr>
          <w:rFonts w:ascii="Arial" w:hAnsi="Arial" w:cs="Arial"/>
          <w:color w:val="000000"/>
          <w:sz w:val="22"/>
          <w:szCs w:val="22"/>
        </w:rPr>
      </w:pPr>
      <w:r w:rsidRPr="004F6506">
        <w:rPr>
          <w:rFonts w:ascii="Arial" w:hAnsi="Arial" w:cs="Arial"/>
          <w:color w:val="000000"/>
          <w:sz w:val="22"/>
          <w:szCs w:val="22"/>
        </w:rPr>
        <w:t xml:space="preserve">Effective </w:t>
      </w:r>
      <w:r w:rsidRPr="004F6506">
        <w:rPr>
          <w:rFonts w:ascii="Arial" w:hAnsi="Arial" w:cs="Arial"/>
          <w:sz w:val="22"/>
          <w:szCs w:val="22"/>
        </w:rPr>
        <w:t xml:space="preserve">May 6, 2024, </w:t>
      </w:r>
      <w:r w:rsidRPr="004F6506">
        <w:rPr>
          <w:rFonts w:ascii="Arial" w:hAnsi="Arial" w:cs="Arial"/>
          <w:color w:val="000000"/>
          <w:sz w:val="22"/>
          <w:szCs w:val="22"/>
        </w:rPr>
        <w:t xml:space="preserve">the following agents will be removed from the MassHealth Brand Name Preferred Over Generic Drug List. </w:t>
      </w:r>
    </w:p>
    <w:bookmarkEnd w:id="3"/>
    <w:p w14:paraId="4AE13E01" w14:textId="77777777" w:rsidR="007B5B0B" w:rsidRPr="004F6506" w:rsidRDefault="007B5B0B" w:rsidP="007B5B0B">
      <w:pPr>
        <w:numPr>
          <w:ilvl w:val="0"/>
          <w:numId w:val="34"/>
        </w:numPr>
        <w:spacing w:after="160" w:line="256" w:lineRule="auto"/>
        <w:contextualSpacing/>
        <w:rPr>
          <w:rFonts w:ascii="Arial" w:hAnsi="Arial" w:cs="Arial"/>
          <w:sz w:val="22"/>
          <w:szCs w:val="22"/>
        </w:rPr>
      </w:pPr>
      <w:proofErr w:type="spellStart"/>
      <w:r w:rsidRPr="004F6506">
        <w:rPr>
          <w:rFonts w:ascii="Arial" w:hAnsi="Arial" w:cs="Arial"/>
          <w:sz w:val="22"/>
          <w:szCs w:val="22"/>
        </w:rPr>
        <w:t>Fortesta</w:t>
      </w:r>
      <w:proofErr w:type="spellEnd"/>
      <w:r w:rsidRPr="004F6506">
        <w:rPr>
          <w:rFonts w:ascii="Arial" w:hAnsi="Arial" w:cs="Arial"/>
          <w:sz w:val="22"/>
          <w:szCs w:val="22"/>
        </w:rPr>
        <w:t xml:space="preserve"> (testosterone 2% gel pump) – </w:t>
      </w:r>
      <w:r w:rsidRPr="004F6506">
        <w:rPr>
          <w:rFonts w:ascii="Arial" w:hAnsi="Arial" w:cs="Arial"/>
          <w:b/>
          <w:bCs/>
          <w:sz w:val="22"/>
          <w:szCs w:val="22"/>
        </w:rPr>
        <w:t>PA</w:t>
      </w:r>
      <w:r w:rsidRPr="004F6506">
        <w:rPr>
          <w:rFonts w:ascii="Arial" w:hAnsi="Arial" w:cs="Arial"/>
          <w:sz w:val="22"/>
          <w:szCs w:val="22"/>
        </w:rPr>
        <w:t xml:space="preserve"> </w:t>
      </w:r>
    </w:p>
    <w:p w14:paraId="3E149424" w14:textId="77777777" w:rsidR="007B5B0B" w:rsidRPr="004F6506" w:rsidRDefault="007B5B0B" w:rsidP="007B5B0B">
      <w:pPr>
        <w:numPr>
          <w:ilvl w:val="0"/>
          <w:numId w:val="34"/>
        </w:numPr>
        <w:spacing w:line="256" w:lineRule="auto"/>
        <w:contextualSpacing/>
        <w:rPr>
          <w:rFonts w:ascii="Arial" w:hAnsi="Arial" w:cs="Arial"/>
          <w:color w:val="000000"/>
          <w:sz w:val="22"/>
          <w:szCs w:val="22"/>
        </w:rPr>
      </w:pPr>
      <w:proofErr w:type="spellStart"/>
      <w:r w:rsidRPr="004F6506">
        <w:rPr>
          <w:rFonts w:ascii="Arial" w:hAnsi="Arial" w:cs="Arial"/>
          <w:color w:val="000000"/>
          <w:sz w:val="22"/>
          <w:szCs w:val="22"/>
        </w:rPr>
        <w:t>Kazano</w:t>
      </w:r>
      <w:proofErr w:type="spellEnd"/>
      <w:r w:rsidRPr="004F6506">
        <w:rPr>
          <w:rFonts w:ascii="Arial" w:hAnsi="Arial" w:cs="Arial"/>
          <w:color w:val="000000"/>
          <w:sz w:val="22"/>
          <w:szCs w:val="22"/>
        </w:rPr>
        <w:t xml:space="preserve"> (alogliptin/metformin)</w:t>
      </w:r>
      <w:r w:rsidRPr="004F6506">
        <w:rPr>
          <w:rFonts w:ascii="Arial" w:eastAsia="Calibri" w:hAnsi="Arial" w:cs="Arial"/>
          <w:sz w:val="22"/>
          <w:szCs w:val="22"/>
        </w:rPr>
        <w:t xml:space="preserve"> – </w:t>
      </w:r>
      <w:r w:rsidRPr="004F6506">
        <w:rPr>
          <w:rFonts w:ascii="Arial" w:eastAsia="Calibri" w:hAnsi="Arial" w:cs="Arial"/>
          <w:b/>
          <w:bCs/>
          <w:sz w:val="22"/>
          <w:szCs w:val="22"/>
        </w:rPr>
        <w:t>PA</w:t>
      </w:r>
      <w:r w:rsidRPr="004F6506">
        <w:rPr>
          <w:rFonts w:ascii="Arial" w:hAnsi="Arial" w:cs="Arial"/>
          <w:sz w:val="22"/>
          <w:szCs w:val="22"/>
        </w:rPr>
        <w:t>; M90</w:t>
      </w:r>
    </w:p>
    <w:p w14:paraId="3683F282" w14:textId="77777777" w:rsidR="007B5B0B" w:rsidRPr="004F6506" w:rsidRDefault="007B5B0B" w:rsidP="007B5B0B">
      <w:pPr>
        <w:numPr>
          <w:ilvl w:val="0"/>
          <w:numId w:val="34"/>
        </w:numPr>
        <w:spacing w:line="256" w:lineRule="auto"/>
        <w:contextualSpacing/>
        <w:rPr>
          <w:rFonts w:ascii="Arial" w:hAnsi="Arial" w:cs="Arial"/>
          <w:color w:val="000000"/>
          <w:sz w:val="22"/>
          <w:szCs w:val="22"/>
        </w:rPr>
      </w:pPr>
      <w:proofErr w:type="spellStart"/>
      <w:r w:rsidRPr="004F6506">
        <w:rPr>
          <w:rFonts w:ascii="Arial" w:eastAsia="Calibri" w:hAnsi="Arial" w:cs="Arial"/>
          <w:sz w:val="22"/>
          <w:szCs w:val="22"/>
        </w:rPr>
        <w:t>Luzu</w:t>
      </w:r>
      <w:proofErr w:type="spellEnd"/>
      <w:r w:rsidRPr="004F6506">
        <w:rPr>
          <w:rFonts w:ascii="Arial" w:eastAsia="Calibri" w:hAnsi="Arial" w:cs="Arial"/>
          <w:sz w:val="22"/>
          <w:szCs w:val="22"/>
        </w:rPr>
        <w:t xml:space="preserve"> (luliconazole) – </w:t>
      </w:r>
      <w:r w:rsidRPr="004F6506">
        <w:rPr>
          <w:rFonts w:ascii="Arial" w:eastAsia="Calibri" w:hAnsi="Arial" w:cs="Arial"/>
          <w:b/>
          <w:bCs/>
          <w:sz w:val="22"/>
          <w:szCs w:val="22"/>
        </w:rPr>
        <w:t>PA</w:t>
      </w:r>
      <w:r w:rsidRPr="004F6506">
        <w:rPr>
          <w:rFonts w:ascii="Arial" w:hAnsi="Arial" w:cs="Arial"/>
          <w:sz w:val="22"/>
          <w:szCs w:val="22"/>
        </w:rPr>
        <w:t>; A90</w:t>
      </w:r>
    </w:p>
    <w:p w14:paraId="7EFB3F5D" w14:textId="77777777" w:rsidR="007B5B0B" w:rsidRPr="004F6506" w:rsidRDefault="007B5B0B" w:rsidP="007B5B0B">
      <w:pPr>
        <w:numPr>
          <w:ilvl w:val="0"/>
          <w:numId w:val="34"/>
        </w:numPr>
        <w:spacing w:line="256" w:lineRule="auto"/>
        <w:contextualSpacing/>
        <w:rPr>
          <w:rFonts w:ascii="Arial" w:hAnsi="Arial" w:cs="Arial"/>
          <w:color w:val="000000"/>
          <w:sz w:val="22"/>
          <w:szCs w:val="22"/>
        </w:rPr>
      </w:pPr>
      <w:r w:rsidRPr="004F6506">
        <w:rPr>
          <w:rFonts w:ascii="Arial" w:hAnsi="Arial" w:cs="Arial"/>
          <w:color w:val="000000"/>
          <w:sz w:val="22"/>
          <w:szCs w:val="22"/>
        </w:rPr>
        <w:t>Nesina (alogliptin)</w:t>
      </w:r>
      <w:r w:rsidRPr="004F6506">
        <w:rPr>
          <w:rFonts w:ascii="Arial" w:eastAsia="Calibri" w:hAnsi="Arial" w:cs="Arial"/>
          <w:sz w:val="22"/>
          <w:szCs w:val="22"/>
        </w:rPr>
        <w:t xml:space="preserve"> – </w:t>
      </w:r>
      <w:r w:rsidRPr="004F6506">
        <w:rPr>
          <w:rFonts w:ascii="Arial" w:eastAsia="Calibri" w:hAnsi="Arial" w:cs="Arial"/>
          <w:b/>
          <w:bCs/>
          <w:sz w:val="22"/>
          <w:szCs w:val="22"/>
        </w:rPr>
        <w:t>PA</w:t>
      </w:r>
      <w:r w:rsidRPr="004F6506">
        <w:rPr>
          <w:rFonts w:ascii="Arial" w:hAnsi="Arial" w:cs="Arial"/>
          <w:sz w:val="22"/>
          <w:szCs w:val="22"/>
        </w:rPr>
        <w:t>; M90</w:t>
      </w:r>
    </w:p>
    <w:p w14:paraId="07BAC056" w14:textId="77777777" w:rsidR="007B5B0B" w:rsidRPr="004F6506" w:rsidRDefault="007B5B0B" w:rsidP="007B5B0B">
      <w:pPr>
        <w:numPr>
          <w:ilvl w:val="0"/>
          <w:numId w:val="34"/>
        </w:numPr>
        <w:spacing w:line="256" w:lineRule="auto"/>
        <w:contextualSpacing/>
        <w:rPr>
          <w:rFonts w:ascii="Arial" w:hAnsi="Arial" w:cs="Arial"/>
          <w:color w:val="000000"/>
          <w:sz w:val="22"/>
          <w:szCs w:val="22"/>
        </w:rPr>
      </w:pPr>
      <w:r w:rsidRPr="004F6506">
        <w:rPr>
          <w:rFonts w:ascii="Arial" w:hAnsi="Arial" w:cs="Arial"/>
          <w:color w:val="000000"/>
          <w:sz w:val="22"/>
          <w:szCs w:val="22"/>
        </w:rPr>
        <w:t>Oseni (alogliptin/pioglitazone)</w:t>
      </w:r>
      <w:r w:rsidRPr="004F6506">
        <w:rPr>
          <w:rFonts w:ascii="Arial" w:eastAsia="Calibri" w:hAnsi="Arial" w:cs="Arial"/>
          <w:sz w:val="22"/>
          <w:szCs w:val="22"/>
        </w:rPr>
        <w:t xml:space="preserve"> – </w:t>
      </w:r>
      <w:r w:rsidRPr="004F6506">
        <w:rPr>
          <w:rFonts w:ascii="Arial" w:eastAsia="Calibri" w:hAnsi="Arial" w:cs="Arial"/>
          <w:b/>
          <w:bCs/>
          <w:sz w:val="22"/>
          <w:szCs w:val="22"/>
        </w:rPr>
        <w:t>PA</w:t>
      </w:r>
      <w:r w:rsidRPr="004F6506">
        <w:rPr>
          <w:rFonts w:ascii="Arial" w:hAnsi="Arial" w:cs="Arial"/>
          <w:sz w:val="22"/>
          <w:szCs w:val="22"/>
        </w:rPr>
        <w:t>; M90</w:t>
      </w:r>
    </w:p>
    <w:p w14:paraId="227145F0" w14:textId="77777777" w:rsidR="007B5B0B" w:rsidRPr="004F6506" w:rsidRDefault="007B5B0B" w:rsidP="007B5B0B">
      <w:pPr>
        <w:numPr>
          <w:ilvl w:val="0"/>
          <w:numId w:val="34"/>
        </w:numPr>
        <w:spacing w:line="256" w:lineRule="auto"/>
        <w:contextualSpacing/>
        <w:rPr>
          <w:rFonts w:ascii="Arial" w:hAnsi="Arial" w:cs="Arial"/>
          <w:color w:val="000000"/>
          <w:sz w:val="22"/>
          <w:szCs w:val="22"/>
        </w:rPr>
      </w:pPr>
      <w:proofErr w:type="spellStart"/>
      <w:r w:rsidRPr="004F6506">
        <w:rPr>
          <w:rFonts w:ascii="Arial" w:hAnsi="Arial" w:cs="Arial"/>
          <w:sz w:val="22"/>
          <w:szCs w:val="22"/>
        </w:rPr>
        <w:t>Oxistat</w:t>
      </w:r>
      <w:proofErr w:type="spellEnd"/>
      <w:r w:rsidRPr="004F6506">
        <w:rPr>
          <w:rFonts w:ascii="Arial" w:hAnsi="Arial" w:cs="Arial"/>
          <w:sz w:val="22"/>
          <w:szCs w:val="22"/>
        </w:rPr>
        <w:t xml:space="preserve"> (oxiconazole cream)</w:t>
      </w:r>
      <w:r w:rsidRPr="004F6506">
        <w:rPr>
          <w:rFonts w:ascii="Arial" w:hAnsi="Arial" w:cs="Arial"/>
          <w:color w:val="000000"/>
          <w:sz w:val="22"/>
          <w:szCs w:val="22"/>
        </w:rPr>
        <w:t xml:space="preserve"> – </w:t>
      </w:r>
      <w:r w:rsidRPr="004F6506">
        <w:rPr>
          <w:rFonts w:ascii="Arial" w:hAnsi="Arial" w:cs="Arial"/>
          <w:b/>
          <w:bCs/>
          <w:color w:val="000000"/>
          <w:sz w:val="22"/>
          <w:szCs w:val="22"/>
        </w:rPr>
        <w:t>PA</w:t>
      </w:r>
      <w:r w:rsidRPr="004F6506">
        <w:rPr>
          <w:rFonts w:ascii="Arial" w:hAnsi="Arial" w:cs="Arial"/>
          <w:color w:val="000000"/>
          <w:sz w:val="22"/>
          <w:szCs w:val="22"/>
        </w:rPr>
        <w:t>; A90</w:t>
      </w:r>
    </w:p>
    <w:p w14:paraId="0BF1FF76" w14:textId="77777777" w:rsidR="00AF18CD" w:rsidRDefault="007B5B0B" w:rsidP="00317034">
      <w:pPr>
        <w:numPr>
          <w:ilvl w:val="0"/>
          <w:numId w:val="34"/>
        </w:numPr>
        <w:autoSpaceDE w:val="0"/>
        <w:autoSpaceDN w:val="0"/>
        <w:adjustRightInd w:val="0"/>
        <w:spacing w:line="276" w:lineRule="auto"/>
        <w:contextualSpacing/>
        <w:rPr>
          <w:rFonts w:ascii="Arial" w:hAnsi="Arial" w:cs="Arial"/>
          <w:color w:val="000000"/>
          <w:sz w:val="22"/>
          <w:szCs w:val="22"/>
        </w:rPr>
      </w:pPr>
      <w:proofErr w:type="spellStart"/>
      <w:r w:rsidRPr="009E5FAD">
        <w:rPr>
          <w:rFonts w:ascii="Arial" w:hAnsi="Arial" w:cs="Arial"/>
          <w:color w:val="000000"/>
          <w:sz w:val="22"/>
          <w:szCs w:val="22"/>
        </w:rPr>
        <w:t>Pennsaid</w:t>
      </w:r>
      <w:proofErr w:type="spellEnd"/>
      <w:r w:rsidRPr="009E5FAD">
        <w:rPr>
          <w:rFonts w:ascii="Arial" w:hAnsi="Arial" w:cs="Arial"/>
          <w:color w:val="000000"/>
          <w:sz w:val="22"/>
          <w:szCs w:val="22"/>
        </w:rPr>
        <w:t xml:space="preserve"> (diclofenac topical solution); #; A90 </w:t>
      </w:r>
    </w:p>
    <w:p w14:paraId="5B82D3D5" w14:textId="55B1EEE6" w:rsidR="007B5B0B" w:rsidRPr="00AF18CD" w:rsidRDefault="00AF18CD" w:rsidP="00AF18CD">
      <w:pPr>
        <w:pStyle w:val="ListParagraph"/>
        <w:numPr>
          <w:ilvl w:val="0"/>
          <w:numId w:val="34"/>
        </w:numPr>
        <w:autoSpaceDE w:val="0"/>
        <w:autoSpaceDN w:val="0"/>
        <w:adjustRightInd w:val="0"/>
        <w:spacing w:line="276" w:lineRule="auto"/>
        <w:contextualSpacing/>
        <w:rPr>
          <w:rFonts w:ascii="Arial" w:hAnsi="Arial" w:cs="Arial"/>
          <w:color w:val="000000"/>
          <w:sz w:val="22"/>
          <w:szCs w:val="22"/>
        </w:rPr>
      </w:pPr>
      <w:r w:rsidRPr="00AF18CD">
        <w:rPr>
          <w:rFonts w:ascii="Arial" w:hAnsi="Arial" w:cs="Arial"/>
          <w:color w:val="000000"/>
          <w:sz w:val="22"/>
          <w:szCs w:val="22"/>
        </w:rPr>
        <w:br w:type="column"/>
      </w:r>
      <w:r w:rsidR="007B5B0B" w:rsidRPr="00AF18CD">
        <w:rPr>
          <w:rFonts w:ascii="Arial" w:hAnsi="Arial" w:cs="Arial"/>
          <w:color w:val="000000"/>
          <w:sz w:val="22"/>
          <w:szCs w:val="22"/>
        </w:rPr>
        <w:t xml:space="preserve">Pristiq (desvenlafaxine succinate extended-release) – </w:t>
      </w:r>
      <w:r w:rsidR="007B5B0B" w:rsidRPr="00AF18CD">
        <w:rPr>
          <w:rFonts w:ascii="Arial" w:hAnsi="Arial" w:cs="Arial"/>
          <w:b/>
          <w:bCs/>
          <w:color w:val="000000"/>
          <w:sz w:val="22"/>
          <w:szCs w:val="22"/>
        </w:rPr>
        <w:t>PA &lt; 6 years and PA &gt; 1 unit/day</w:t>
      </w:r>
      <w:r w:rsidR="007B5B0B" w:rsidRPr="00AF18CD">
        <w:rPr>
          <w:rFonts w:ascii="Arial" w:hAnsi="Arial" w:cs="Arial"/>
          <w:color w:val="000000"/>
          <w:sz w:val="22"/>
          <w:szCs w:val="22"/>
        </w:rPr>
        <w:t>; #, A90</w:t>
      </w:r>
    </w:p>
    <w:bookmarkEnd w:id="4"/>
    <w:p w14:paraId="45057FD9" w14:textId="77777777" w:rsidR="007B5B0B" w:rsidRPr="004F6506" w:rsidRDefault="007B5B0B" w:rsidP="007B5B0B">
      <w:pPr>
        <w:numPr>
          <w:ilvl w:val="0"/>
          <w:numId w:val="34"/>
        </w:numPr>
        <w:spacing w:line="256" w:lineRule="auto"/>
        <w:contextualSpacing/>
        <w:rPr>
          <w:rFonts w:ascii="Arial" w:hAnsi="Arial" w:cs="Arial"/>
          <w:color w:val="000000"/>
          <w:sz w:val="22"/>
          <w:szCs w:val="22"/>
        </w:rPr>
      </w:pPr>
      <w:proofErr w:type="spellStart"/>
      <w:r w:rsidRPr="004F6506">
        <w:rPr>
          <w:rFonts w:ascii="Arial" w:hAnsi="Arial" w:cs="Arial"/>
          <w:color w:val="000000"/>
          <w:sz w:val="22"/>
          <w:szCs w:val="22"/>
        </w:rPr>
        <w:t>Rapamune</w:t>
      </w:r>
      <w:proofErr w:type="spellEnd"/>
      <w:r w:rsidRPr="004F6506">
        <w:rPr>
          <w:rFonts w:ascii="Arial" w:hAnsi="Arial" w:cs="Arial"/>
          <w:color w:val="000000"/>
          <w:sz w:val="22"/>
          <w:szCs w:val="22"/>
        </w:rPr>
        <w:t xml:space="preserve"> (sirolimus solution); #, A90</w:t>
      </w:r>
    </w:p>
    <w:p w14:paraId="7F069021" w14:textId="77777777" w:rsidR="007B5B0B" w:rsidRPr="004F6506" w:rsidRDefault="007B5B0B" w:rsidP="007B5B0B">
      <w:pPr>
        <w:numPr>
          <w:ilvl w:val="0"/>
          <w:numId w:val="34"/>
        </w:numPr>
        <w:spacing w:line="256" w:lineRule="auto"/>
        <w:contextualSpacing/>
        <w:rPr>
          <w:rFonts w:ascii="Arial" w:hAnsi="Arial" w:cs="Arial"/>
          <w:color w:val="000000"/>
          <w:sz w:val="22"/>
          <w:szCs w:val="22"/>
        </w:rPr>
      </w:pPr>
      <w:r w:rsidRPr="004F6506">
        <w:rPr>
          <w:rFonts w:ascii="Arial" w:hAnsi="Arial" w:cs="Arial"/>
          <w:color w:val="000000"/>
          <w:sz w:val="22"/>
          <w:szCs w:val="22"/>
        </w:rPr>
        <w:t>Welchol (</w:t>
      </w:r>
      <w:proofErr w:type="spellStart"/>
      <w:r w:rsidRPr="004F6506">
        <w:rPr>
          <w:rFonts w:ascii="Arial" w:hAnsi="Arial" w:cs="Arial"/>
          <w:color w:val="000000"/>
          <w:sz w:val="22"/>
          <w:szCs w:val="22"/>
        </w:rPr>
        <w:t>colesevelam</w:t>
      </w:r>
      <w:proofErr w:type="spellEnd"/>
      <w:r w:rsidRPr="004F6506">
        <w:rPr>
          <w:rFonts w:ascii="Arial" w:hAnsi="Arial" w:cs="Arial"/>
          <w:color w:val="000000"/>
          <w:sz w:val="22"/>
          <w:szCs w:val="22"/>
        </w:rPr>
        <w:t>); #, M90</w:t>
      </w:r>
    </w:p>
    <w:p w14:paraId="2EE4ABC4" w14:textId="77777777" w:rsidR="007B5B0B" w:rsidRPr="004F6506" w:rsidRDefault="007B5B0B" w:rsidP="007B5B0B">
      <w:pPr>
        <w:pStyle w:val="Default"/>
        <w:tabs>
          <w:tab w:val="left" w:pos="90"/>
        </w:tabs>
        <w:spacing w:before="200" w:after="80"/>
      </w:pPr>
      <w:r w:rsidRPr="004F6506">
        <w:t>Updated MassHealth Over-the-Counter Drug List</w:t>
      </w:r>
    </w:p>
    <w:p w14:paraId="159E59C5" w14:textId="77777777" w:rsidR="007B5B0B" w:rsidRPr="004F6506" w:rsidRDefault="007B5B0B" w:rsidP="007B5B0B">
      <w:pPr>
        <w:rPr>
          <w:rFonts w:ascii="Arial" w:hAnsi="Arial" w:cs="Arial"/>
          <w:sz w:val="22"/>
          <w:szCs w:val="22"/>
        </w:rPr>
      </w:pPr>
      <w:r w:rsidRPr="004F6506">
        <w:rPr>
          <w:rFonts w:ascii="Arial" w:hAnsi="Arial" w:cs="Arial"/>
          <w:sz w:val="22"/>
          <w:szCs w:val="22"/>
        </w:rPr>
        <w:t>The MassHealth Over-the-Counter Drug List has been updated to reflect recent changes to the MassHealth Drug List.</w:t>
      </w:r>
    </w:p>
    <w:p w14:paraId="76E68CB1" w14:textId="77777777" w:rsidR="007B5B0B" w:rsidRPr="004F6506" w:rsidRDefault="007B5B0B" w:rsidP="007B5B0B">
      <w:pPr>
        <w:pStyle w:val="ListParagraph"/>
        <w:numPr>
          <w:ilvl w:val="0"/>
          <w:numId w:val="35"/>
        </w:numPr>
        <w:autoSpaceDE w:val="0"/>
        <w:autoSpaceDN w:val="0"/>
        <w:adjustRightInd w:val="0"/>
        <w:spacing w:line="276" w:lineRule="auto"/>
        <w:rPr>
          <w:rFonts w:ascii="Arial" w:hAnsi="Arial" w:cs="Arial"/>
          <w:color w:val="000000"/>
          <w:sz w:val="22"/>
          <w:szCs w:val="22"/>
        </w:rPr>
      </w:pPr>
      <w:r w:rsidRPr="004F6506">
        <w:rPr>
          <w:rFonts w:ascii="Arial" w:hAnsi="Arial" w:cs="Arial"/>
          <w:color w:val="000000"/>
          <w:sz w:val="22"/>
          <w:szCs w:val="22"/>
        </w:rPr>
        <w:t xml:space="preserve">Effective May 6, 2024, the following antioxidant agent will require PA above newly updated age limits. </w:t>
      </w:r>
    </w:p>
    <w:p w14:paraId="05B05000" w14:textId="77777777" w:rsidR="007B5B0B" w:rsidRPr="00EC6056" w:rsidRDefault="007B5B0B" w:rsidP="007B5B0B">
      <w:pPr>
        <w:numPr>
          <w:ilvl w:val="1"/>
          <w:numId w:val="35"/>
        </w:numPr>
        <w:autoSpaceDE w:val="0"/>
        <w:autoSpaceDN w:val="0"/>
        <w:adjustRightInd w:val="0"/>
        <w:spacing w:line="276" w:lineRule="auto"/>
        <w:rPr>
          <w:rFonts w:eastAsia="Calibri" w:cs="Arial"/>
          <w:color w:val="000000"/>
        </w:rPr>
      </w:pPr>
      <w:r w:rsidRPr="004F6506">
        <w:rPr>
          <w:rFonts w:ascii="Arial" w:hAnsi="Arial" w:cs="Arial"/>
          <w:color w:val="000000"/>
          <w:sz w:val="22"/>
          <w:szCs w:val="22"/>
        </w:rPr>
        <w:t>coenzyme Q10 –</w:t>
      </w:r>
      <w:r w:rsidRPr="00EC6056">
        <w:rPr>
          <w:rFonts w:eastAsia="Calibri" w:cs="Arial"/>
          <w:color w:val="000000"/>
          <w:sz w:val="22"/>
          <w:szCs w:val="22"/>
        </w:rPr>
        <w:t xml:space="preserve"> </w:t>
      </w:r>
      <w:r w:rsidRPr="004F6506">
        <w:rPr>
          <w:rFonts w:ascii="Arial" w:hAnsi="Arial" w:cs="Arial"/>
          <w:b/>
          <w:bCs/>
          <w:color w:val="000000"/>
          <w:sz w:val="22"/>
          <w:szCs w:val="22"/>
        </w:rPr>
        <w:t>PA ≥ 21 years</w:t>
      </w:r>
    </w:p>
    <w:p w14:paraId="57F9C07A" w14:textId="77777777" w:rsidR="007B5B0B" w:rsidRPr="00E80DF9" w:rsidRDefault="007B5B0B" w:rsidP="007B5B0B">
      <w:pPr>
        <w:pStyle w:val="ListParagraph"/>
        <w:numPr>
          <w:ilvl w:val="0"/>
          <w:numId w:val="35"/>
        </w:numPr>
        <w:autoSpaceDE w:val="0"/>
        <w:autoSpaceDN w:val="0"/>
        <w:adjustRightInd w:val="0"/>
        <w:spacing w:line="276" w:lineRule="auto"/>
        <w:rPr>
          <w:rFonts w:ascii="Arial" w:hAnsi="Arial" w:cs="Arial"/>
          <w:color w:val="000000"/>
          <w:sz w:val="22"/>
          <w:szCs w:val="22"/>
        </w:rPr>
      </w:pPr>
      <w:r w:rsidRPr="00E80DF9">
        <w:rPr>
          <w:rFonts w:ascii="Arial" w:hAnsi="Arial" w:cs="Arial"/>
          <w:color w:val="000000"/>
          <w:sz w:val="22"/>
          <w:szCs w:val="22"/>
        </w:rPr>
        <w:t>Effective May 6, 2024, the following antifungal agent will be removed from the MassHealth Over-the-Counter Drug List.</w:t>
      </w:r>
    </w:p>
    <w:p w14:paraId="2359F62B" w14:textId="77777777" w:rsidR="007B5B0B" w:rsidRPr="00E80DF9" w:rsidRDefault="007B5B0B" w:rsidP="007B5B0B">
      <w:pPr>
        <w:numPr>
          <w:ilvl w:val="1"/>
          <w:numId w:val="35"/>
        </w:numPr>
        <w:autoSpaceDE w:val="0"/>
        <w:autoSpaceDN w:val="0"/>
        <w:adjustRightInd w:val="0"/>
        <w:spacing w:line="276" w:lineRule="auto"/>
        <w:rPr>
          <w:rFonts w:ascii="Arial" w:hAnsi="Arial" w:cs="Arial"/>
          <w:color w:val="000000"/>
          <w:sz w:val="22"/>
          <w:szCs w:val="22"/>
        </w:rPr>
      </w:pPr>
      <w:r w:rsidRPr="00E80DF9">
        <w:rPr>
          <w:rFonts w:ascii="Arial" w:hAnsi="Arial" w:cs="Arial"/>
          <w:color w:val="000000"/>
          <w:sz w:val="22"/>
          <w:szCs w:val="22"/>
        </w:rPr>
        <w:t>tolnaftate liquid; *, A90</w:t>
      </w:r>
    </w:p>
    <w:p w14:paraId="1DE2C109" w14:textId="77777777" w:rsidR="0086142C" w:rsidRPr="003C78FE" w:rsidRDefault="0086142C" w:rsidP="0086142C">
      <w:pPr>
        <w:autoSpaceDE w:val="0"/>
        <w:autoSpaceDN w:val="0"/>
        <w:adjustRightInd w:val="0"/>
        <w:spacing w:line="360" w:lineRule="auto"/>
        <w:ind w:left="1080" w:hanging="720"/>
        <w:rPr>
          <w:rFonts w:ascii="Arial" w:hAnsi="Arial" w:cs="Arial"/>
          <w:sz w:val="22"/>
          <w:szCs w:val="22"/>
        </w:rPr>
      </w:pPr>
      <w:r>
        <w:rPr>
          <w:rFonts w:ascii="Arial" w:hAnsi="Arial" w:cs="Arial"/>
          <w:sz w:val="22"/>
          <w:szCs w:val="22"/>
        </w:rPr>
        <w:t>____________________________________</w:t>
      </w:r>
    </w:p>
    <w:p w14:paraId="1F142E8B" w14:textId="77777777" w:rsidR="00EF7C8A" w:rsidRDefault="00EF7C8A" w:rsidP="00B645C9">
      <w:pPr>
        <w:shd w:val="clear" w:color="auto" w:fill="FFFFFF"/>
        <w:ind w:left="729" w:hanging="630"/>
        <w:jc w:val="center"/>
        <w:rPr>
          <w:rFonts w:ascii="Arial" w:hAnsi="Arial"/>
          <w:b/>
          <w:bCs/>
          <w:sz w:val="18"/>
          <w:szCs w:val="18"/>
        </w:rPr>
      </w:pPr>
      <w:r w:rsidRPr="006E1C33">
        <w:rPr>
          <w:rFonts w:ascii="Arial" w:hAnsi="Arial"/>
          <w:b/>
          <w:bCs/>
          <w:sz w:val="18"/>
          <w:szCs w:val="18"/>
        </w:rPr>
        <w:t>Legend</w:t>
      </w:r>
    </w:p>
    <w:p w14:paraId="463BD433" w14:textId="6D269454" w:rsidR="007B5B0B" w:rsidRDefault="00C71E2D" w:rsidP="007B5B0B">
      <w:pPr>
        <w:shd w:val="clear" w:color="auto" w:fill="FFFFFF"/>
        <w:tabs>
          <w:tab w:val="left" w:pos="180"/>
          <w:tab w:val="left" w:pos="360"/>
        </w:tabs>
        <w:ind w:left="270" w:hanging="360"/>
        <w:rPr>
          <w:rFonts w:ascii="Arial" w:hAnsi="Arial"/>
          <w:bCs/>
          <w:sz w:val="18"/>
          <w:szCs w:val="18"/>
        </w:rPr>
      </w:pPr>
      <w:r w:rsidRPr="00C71E2D">
        <w:rPr>
          <w:rFonts w:ascii="Arial" w:hAnsi="Arial"/>
          <w:b/>
          <w:sz w:val="18"/>
          <w:szCs w:val="18"/>
        </w:rPr>
        <w:t>PA</w:t>
      </w:r>
      <w:r w:rsidRPr="00C71E2D">
        <w:rPr>
          <w:rFonts w:ascii="Arial" w:hAnsi="Arial"/>
          <w:bCs/>
          <w:sz w:val="18"/>
          <w:szCs w:val="18"/>
        </w:rPr>
        <w:t xml:space="preserve"> </w:t>
      </w:r>
      <w:r w:rsidR="007B5B0B">
        <w:rPr>
          <w:rFonts w:ascii="Arial" w:hAnsi="Arial"/>
          <w:bCs/>
          <w:sz w:val="18"/>
          <w:szCs w:val="18"/>
        </w:rPr>
        <w:t>Prior authorization is required. The prescriber must obtain prior authorization for the drug in order for the pharmacy to receive payment. Note: PA applies to both the brand-name and the FDA “A”-rated generic equivalent of listed product.</w:t>
      </w:r>
    </w:p>
    <w:p w14:paraId="00488704" w14:textId="77777777" w:rsidR="007B5B0B" w:rsidRDefault="007B5B0B" w:rsidP="007B5B0B">
      <w:pPr>
        <w:shd w:val="clear" w:color="auto" w:fill="FFFFFF"/>
        <w:tabs>
          <w:tab w:val="left" w:pos="360"/>
        </w:tabs>
        <w:ind w:left="270" w:hanging="360"/>
        <w:rPr>
          <w:rFonts w:ascii="Arial" w:hAnsi="Arial"/>
          <w:bCs/>
          <w:sz w:val="18"/>
          <w:szCs w:val="18"/>
        </w:rPr>
      </w:pPr>
    </w:p>
    <w:p w14:paraId="797059CD" w14:textId="77777777" w:rsidR="007B5B0B" w:rsidRPr="009D6D73" w:rsidRDefault="007B5B0B" w:rsidP="007B5B0B">
      <w:pPr>
        <w:shd w:val="clear" w:color="auto" w:fill="FFFFFF"/>
        <w:tabs>
          <w:tab w:val="left" w:pos="270"/>
          <w:tab w:val="left" w:pos="360"/>
        </w:tabs>
        <w:ind w:left="270" w:hanging="360"/>
        <w:rPr>
          <w:rFonts w:ascii="Arial" w:hAnsi="Arial"/>
          <w:bCs/>
          <w:sz w:val="18"/>
          <w:szCs w:val="18"/>
        </w:rPr>
      </w:pPr>
      <w:r w:rsidRPr="005B15B3">
        <w:rPr>
          <w:rFonts w:ascii="Arial" w:hAnsi="Arial"/>
          <w:bCs/>
          <w:sz w:val="22"/>
          <w:szCs w:val="22"/>
        </w:rPr>
        <w:t xml:space="preserve"># </w:t>
      </w:r>
      <w:r w:rsidRPr="009D6D73">
        <w:rPr>
          <w:rFonts w:ascii="Arial" w:hAnsi="Arial"/>
          <w:bCs/>
          <w:sz w:val="18"/>
          <w:szCs w:val="18"/>
        </w:rPr>
        <w:t xml:space="preserve"> </w:t>
      </w:r>
      <w:r>
        <w:rPr>
          <w:rFonts w:ascii="Arial" w:hAnsi="Arial"/>
          <w:bCs/>
          <w:sz w:val="18"/>
          <w:szCs w:val="18"/>
        </w:rPr>
        <w:t xml:space="preserve"> </w:t>
      </w:r>
      <w:r w:rsidRPr="009D6D73">
        <w:rPr>
          <w:rFonts w:ascii="Arial" w:hAnsi="Arial"/>
          <w:bCs/>
          <w:sz w:val="18"/>
          <w:szCs w:val="18"/>
        </w:rPr>
        <w:t xml:space="preserve"> </w:t>
      </w:r>
      <w:r>
        <w:rPr>
          <w:rFonts w:ascii="Arial" w:hAnsi="Arial"/>
          <w:bCs/>
          <w:sz w:val="18"/>
          <w:szCs w:val="18"/>
        </w:rPr>
        <w:t xml:space="preserve"> D</w:t>
      </w:r>
      <w:r w:rsidRPr="009D6D73">
        <w:rPr>
          <w:rFonts w:ascii="Arial" w:hAnsi="Arial"/>
          <w:bCs/>
          <w:sz w:val="18"/>
          <w:szCs w:val="18"/>
        </w:rPr>
        <w:t>esignates a brand-name drug with FDA “A”-rated generic equivalents. </w:t>
      </w:r>
      <w:bookmarkStart w:id="5" w:name="Prior_Authorization"/>
      <w:r w:rsidRPr="009D6D73">
        <w:rPr>
          <w:rFonts w:ascii="Arial" w:hAnsi="Arial"/>
          <w:bCs/>
          <w:sz w:val="18"/>
          <w:szCs w:val="18"/>
        </w:rPr>
        <w:t>Prior authorization</w:t>
      </w:r>
      <w:bookmarkEnd w:id="5"/>
      <w:r w:rsidRPr="009D6D73">
        <w:rPr>
          <w:rFonts w:ascii="Arial" w:hAnsi="Arial"/>
          <w:bCs/>
          <w:sz w:val="18"/>
          <w:szCs w:val="18"/>
        </w:rPr>
        <w:t xml:space="preserve"> is required for the brand, unless a particular form of that drug (for example, tablet, capsule, or liquid) does not have an FDA “A”-rated generic equivalent. </w:t>
      </w:r>
    </w:p>
    <w:p w14:paraId="6631F3E6" w14:textId="77777777" w:rsidR="007B5B0B" w:rsidRPr="005B15B3" w:rsidRDefault="007B5B0B" w:rsidP="007B5B0B">
      <w:pPr>
        <w:shd w:val="clear" w:color="auto" w:fill="FFFFFF"/>
        <w:tabs>
          <w:tab w:val="left" w:pos="360"/>
        </w:tabs>
        <w:ind w:left="540" w:hanging="630"/>
        <w:rPr>
          <w:rFonts w:ascii="Arial" w:hAnsi="Arial"/>
          <w:bCs/>
          <w:sz w:val="22"/>
          <w:szCs w:val="22"/>
        </w:rPr>
      </w:pPr>
    </w:p>
    <w:p w14:paraId="2566B278" w14:textId="77777777" w:rsidR="007B5B0B" w:rsidRDefault="007B5B0B" w:rsidP="007B5B0B">
      <w:pPr>
        <w:shd w:val="clear" w:color="auto" w:fill="FFFFFF"/>
        <w:ind w:left="270" w:hanging="441"/>
        <w:rPr>
          <w:rFonts w:ascii="Arial" w:hAnsi="Arial"/>
          <w:bCs/>
          <w:sz w:val="18"/>
          <w:szCs w:val="18"/>
        </w:rPr>
      </w:pPr>
      <w:r w:rsidRPr="005B15B3">
        <w:rPr>
          <w:rFonts w:ascii="Arial" w:hAnsi="Arial"/>
          <w:b/>
          <w:sz w:val="22"/>
          <w:szCs w:val="22"/>
          <w:vertAlign w:val="superscript"/>
        </w:rPr>
        <w:t xml:space="preserve">BP </w:t>
      </w:r>
      <w:r>
        <w:rPr>
          <w:rFonts w:ascii="Arial" w:hAnsi="Arial"/>
          <w:b/>
          <w:sz w:val="18"/>
          <w:szCs w:val="18"/>
          <w:vertAlign w:val="superscript"/>
        </w:rPr>
        <w:t xml:space="preserve">  </w:t>
      </w:r>
      <w:r>
        <w:rPr>
          <w:rFonts w:ascii="Arial" w:hAnsi="Arial"/>
          <w:bCs/>
          <w:sz w:val="18"/>
          <w:szCs w:val="18"/>
        </w:rPr>
        <w:t xml:space="preserve">  </w:t>
      </w:r>
      <w:r>
        <w:rPr>
          <w:rFonts w:ascii="Arial" w:hAnsi="Arial"/>
          <w:bCs/>
          <w:sz w:val="18"/>
          <w:szCs w:val="18"/>
        </w:rPr>
        <w:tab/>
        <w:t>Brand preferred over generic equivalents. In general, MassHealth requires a trial of the preferred drug or clinical rationale for prescribing the nonpreferred drug generic equivalent.</w:t>
      </w:r>
    </w:p>
    <w:p w14:paraId="6FD97F5B" w14:textId="77777777" w:rsidR="007B5B0B" w:rsidRPr="0041065E" w:rsidRDefault="007B5B0B" w:rsidP="007B5B0B">
      <w:pPr>
        <w:shd w:val="clear" w:color="auto" w:fill="FFFFFF"/>
        <w:ind w:left="270" w:hanging="441"/>
        <w:rPr>
          <w:rFonts w:ascii="Arial" w:hAnsi="Arial" w:cs="Arial"/>
          <w:b/>
          <w:sz w:val="18"/>
          <w:szCs w:val="18"/>
          <w:vertAlign w:val="superscript"/>
        </w:rPr>
      </w:pPr>
    </w:p>
    <w:p w14:paraId="05F7B721" w14:textId="77777777" w:rsidR="007B5B0B" w:rsidRDefault="007B5B0B" w:rsidP="007B5B0B">
      <w:pPr>
        <w:shd w:val="clear" w:color="auto" w:fill="FFFFFF"/>
        <w:ind w:left="270" w:hanging="441"/>
        <w:rPr>
          <w:rFonts w:ascii="Arial" w:hAnsi="Arial"/>
          <w:bCs/>
          <w:sz w:val="18"/>
          <w:szCs w:val="18"/>
        </w:rPr>
      </w:pPr>
      <w:r>
        <w:rPr>
          <w:rFonts w:ascii="Arial" w:hAnsi="Arial" w:cs="Arial"/>
          <w:b/>
          <w:sz w:val="22"/>
          <w:szCs w:val="22"/>
          <w:vertAlign w:val="superscript"/>
        </w:rPr>
        <w:t>A90</w:t>
      </w:r>
      <w:r>
        <w:rPr>
          <w:rFonts w:ascii="Arial" w:hAnsi="Arial" w:cs="Arial"/>
          <w:sz w:val="18"/>
          <w:szCs w:val="18"/>
          <w:vertAlign w:val="superscript"/>
        </w:rPr>
        <w:t xml:space="preserve">    </w:t>
      </w:r>
      <w:r>
        <w:rPr>
          <w:rFonts w:ascii="Arial" w:hAnsi="Arial" w:cs="Arial"/>
          <w:bCs/>
          <w:sz w:val="18"/>
          <w:szCs w:val="18"/>
        </w:rPr>
        <w:t xml:space="preserve"> </w:t>
      </w:r>
      <w:r>
        <w:rPr>
          <w:rFonts w:ascii="Arial" w:hAnsi="Arial" w:cs="Arial"/>
          <w:bCs/>
          <w:sz w:val="18"/>
          <w:szCs w:val="18"/>
        </w:rPr>
        <w:tab/>
      </w:r>
      <w:r w:rsidRPr="00E80DF9">
        <w:rPr>
          <w:rFonts w:ascii="Arial" w:eastAsia="Calibri" w:hAnsi="Arial" w:cs="Arial"/>
          <w:sz w:val="18"/>
          <w:szCs w:val="18"/>
        </w:rPr>
        <w:t>Allowable 90-day supply. Dispensing in up to a 90-day supply is allowed. May not include all strengths or formulations. Quantity limits and other restrictions may apply.</w:t>
      </w:r>
    </w:p>
    <w:p w14:paraId="0B392437" w14:textId="77777777" w:rsidR="007B5B0B" w:rsidRDefault="007B5B0B" w:rsidP="007B5B0B">
      <w:pPr>
        <w:shd w:val="clear" w:color="auto" w:fill="FFFFFF"/>
        <w:ind w:left="270" w:hanging="441"/>
        <w:rPr>
          <w:rFonts w:ascii="Arial" w:eastAsia="Calibri" w:hAnsi="Arial" w:cs="Arial"/>
          <w:sz w:val="18"/>
          <w:szCs w:val="18"/>
        </w:rPr>
      </w:pPr>
      <w:r>
        <w:rPr>
          <w:rFonts w:ascii="Arial" w:hAnsi="Arial"/>
          <w:b/>
          <w:sz w:val="22"/>
          <w:szCs w:val="22"/>
          <w:vertAlign w:val="superscript"/>
        </w:rPr>
        <w:t>M90</w:t>
      </w:r>
      <w:r w:rsidRPr="00B645C9">
        <w:rPr>
          <w:rFonts w:ascii="Arial" w:hAnsi="Arial"/>
          <w:b/>
          <w:sz w:val="18"/>
          <w:szCs w:val="18"/>
          <w:vertAlign w:val="superscript"/>
        </w:rPr>
        <w:t xml:space="preserve">    </w:t>
      </w:r>
      <w:r>
        <w:rPr>
          <w:rFonts w:ascii="Arial" w:hAnsi="Arial"/>
          <w:bCs/>
          <w:sz w:val="18"/>
          <w:szCs w:val="18"/>
          <w:vertAlign w:val="superscript"/>
        </w:rPr>
        <w:tab/>
      </w:r>
      <w:r w:rsidRPr="00E80DF9">
        <w:rPr>
          <w:rFonts w:ascii="Arial" w:eastAsia="Calibri" w:hAnsi="Arial" w:cs="Arial"/>
          <w:sz w:val="18"/>
          <w:szCs w:val="18"/>
        </w:rPr>
        <w:t>Mandatory 90-day supply. After dispensing up to a 30-day supply initial fill, dispensing in a 90-day supply is required. May not include all strengths or formulations. Quantity limits and other restrictions may also apply.</w:t>
      </w:r>
    </w:p>
    <w:p w14:paraId="6CB54A6C" w14:textId="77777777" w:rsidR="009E5FAD" w:rsidRDefault="009E5FAD" w:rsidP="007B5B0B">
      <w:pPr>
        <w:shd w:val="clear" w:color="auto" w:fill="FFFFFF"/>
        <w:ind w:left="270" w:hanging="441"/>
        <w:rPr>
          <w:rFonts w:ascii="Arial" w:eastAsia="Calibri" w:hAnsi="Arial" w:cs="Arial"/>
          <w:sz w:val="18"/>
          <w:szCs w:val="18"/>
        </w:rPr>
        <w:sectPr w:rsidR="009E5FAD" w:rsidSect="00C44C96">
          <w:headerReference w:type="default" r:id="rId12"/>
          <w:footerReference w:type="default" r:id="rId13"/>
          <w:type w:val="continuous"/>
          <w:pgSz w:w="12240" w:h="15840" w:code="1"/>
          <w:pgMar w:top="360" w:right="907" w:bottom="720" w:left="907" w:header="720" w:footer="288" w:gutter="0"/>
          <w:cols w:num="2" w:sep="1" w:space="720"/>
          <w:docGrid w:linePitch="360"/>
        </w:sectPr>
      </w:pPr>
    </w:p>
    <w:p w14:paraId="1AE82799" w14:textId="6657DBCF" w:rsidR="009E5FAD" w:rsidRDefault="009E5FAD" w:rsidP="009E5FAD">
      <w:pPr>
        <w:shd w:val="clear" w:color="auto" w:fill="FFFFFF"/>
        <w:spacing w:after="120"/>
        <w:ind w:left="270" w:hanging="441"/>
        <w:rPr>
          <w:rFonts w:ascii="Arial" w:eastAsia="Calibri" w:hAnsi="Arial" w:cs="Arial"/>
          <w:sz w:val="18"/>
          <w:szCs w:val="18"/>
        </w:rPr>
      </w:pPr>
      <w:r>
        <w:rPr>
          <w:rFonts w:ascii="Arial" w:hAnsi="Arial"/>
          <w:b/>
          <w:sz w:val="22"/>
          <w:szCs w:val="22"/>
          <w:vertAlign w:val="superscript"/>
        </w:rPr>
        <w:lastRenderedPageBreak/>
        <w:t>MB</w:t>
      </w:r>
      <w:r>
        <w:rPr>
          <w:rFonts w:ascii="Arial" w:hAnsi="Arial"/>
          <w:b/>
          <w:sz w:val="22"/>
          <w:szCs w:val="22"/>
          <w:vertAlign w:val="superscript"/>
        </w:rPr>
        <w:tab/>
      </w:r>
      <w:r w:rsidRPr="009E5FAD">
        <w:rPr>
          <w:rFonts w:ascii="Arial" w:eastAsia="Calibri" w:hAnsi="Arial" w:cs="Arial"/>
          <w:sz w:val="18"/>
          <w:szCs w:val="18"/>
        </w:rPr>
        <w:t xml:space="preserve">This drug is available through the health 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 care professionals. Notwithstanding the above, this drug may be an </w:t>
      </w:r>
      <w:r w:rsidRPr="009E5FAD">
        <w:rPr>
          <w:rFonts w:ascii="Arial" w:eastAsia="Calibri" w:hAnsi="Arial" w:cs="Arial"/>
          <w:sz w:val="18"/>
          <w:szCs w:val="18"/>
        </w:rPr>
        <w:t>exception to the unified pharmacy policy; please refer to respective MassHealth Accountable Care Partnership Plans (ACPPs) and Managed Care Organizations (MCOs) for PA status and criteria, if applicable.</w:t>
      </w:r>
    </w:p>
    <w:p w14:paraId="5AEEF800" w14:textId="57C60097" w:rsidR="009E5FAD" w:rsidRDefault="009E5FAD" w:rsidP="007B5B0B">
      <w:pPr>
        <w:shd w:val="clear" w:color="auto" w:fill="FFFFFF"/>
        <w:ind w:left="270" w:hanging="441"/>
        <w:rPr>
          <w:rFonts w:ascii="Arial" w:eastAsia="Calibri" w:hAnsi="Arial" w:cs="Arial"/>
          <w:sz w:val="18"/>
          <w:szCs w:val="18"/>
        </w:rPr>
      </w:pPr>
      <w:r>
        <w:rPr>
          <w:rFonts w:ascii="Arial" w:hAnsi="Arial"/>
          <w:b/>
          <w:sz w:val="22"/>
          <w:szCs w:val="22"/>
          <w:vertAlign w:val="superscript"/>
        </w:rPr>
        <w:t>*</w:t>
      </w:r>
      <w:r>
        <w:rPr>
          <w:rFonts w:ascii="Arial" w:hAnsi="Arial"/>
          <w:b/>
          <w:sz w:val="22"/>
          <w:szCs w:val="22"/>
          <w:vertAlign w:val="superscript"/>
        </w:rPr>
        <w:tab/>
      </w:r>
      <w:r w:rsidRPr="009E5FAD">
        <w:rPr>
          <w:rFonts w:ascii="Arial" w:eastAsia="Calibri" w:hAnsi="Arial" w:cs="Arial"/>
          <w:sz w:val="18"/>
          <w:szCs w:val="18"/>
        </w:rPr>
        <w:t>The generic OTC and, if any, generic prescription versions of the drug are payable under MassHealth without PA.</w:t>
      </w:r>
    </w:p>
    <w:p w14:paraId="1E6B6218" w14:textId="77777777" w:rsidR="009E5FAD" w:rsidRPr="0041065E" w:rsidRDefault="009E5FAD" w:rsidP="007B5B0B">
      <w:pPr>
        <w:shd w:val="clear" w:color="auto" w:fill="FFFFFF"/>
        <w:ind w:left="270" w:hanging="441"/>
        <w:rPr>
          <w:rFonts w:ascii="Arial" w:hAnsi="Arial" w:cs="Arial"/>
          <w:b/>
          <w:sz w:val="18"/>
          <w:szCs w:val="18"/>
          <w:vertAlign w:val="superscript"/>
        </w:rPr>
      </w:pPr>
    </w:p>
    <w:p w14:paraId="328346A1" w14:textId="77777777" w:rsidR="00D66801" w:rsidRDefault="00D66801" w:rsidP="001E2F53">
      <w:pPr>
        <w:shd w:val="clear" w:color="auto" w:fill="FFFFFF"/>
        <w:rPr>
          <w:bCs/>
          <w:sz w:val="18"/>
          <w:szCs w:val="18"/>
        </w:rPr>
        <w:sectPr w:rsidR="00D66801" w:rsidSect="00C44C96">
          <w:footerReference w:type="default" r:id="rId14"/>
          <w:pgSz w:w="12240" w:h="15840" w:code="1"/>
          <w:pgMar w:top="360" w:right="907" w:bottom="720" w:left="907" w:header="720" w:footer="576" w:gutter="0"/>
          <w:cols w:num="2" w:sep="1" w:space="720"/>
          <w:docGrid w:linePitch="360"/>
        </w:sectPr>
      </w:pPr>
    </w:p>
    <w:p w14:paraId="713969F9" w14:textId="77777777" w:rsidR="00A650DC" w:rsidRPr="001721D8" w:rsidRDefault="00A650DC" w:rsidP="001E2F53">
      <w:pPr>
        <w:tabs>
          <w:tab w:val="left" w:pos="1606"/>
        </w:tabs>
      </w:pPr>
    </w:p>
    <w:sectPr w:rsidR="00A650DC" w:rsidRPr="001721D8" w:rsidSect="00C44C96">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3501" w14:textId="77777777" w:rsidR="00C44C96" w:rsidRDefault="00C44C96" w:rsidP="00492602">
      <w:r>
        <w:separator/>
      </w:r>
    </w:p>
  </w:endnote>
  <w:endnote w:type="continuationSeparator" w:id="0">
    <w:p w14:paraId="11992B45" w14:textId="77777777" w:rsidR="00C44C96" w:rsidRDefault="00C44C96"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0CE2" w14:textId="3E2AEB25" w:rsidR="003147AD" w:rsidRPr="00FE5811" w:rsidRDefault="003147AD" w:rsidP="003147AD">
    <w:pPr>
      <w:pBdr>
        <w:top w:val="single" w:sz="18" w:space="1" w:color="auto"/>
      </w:pBdr>
      <w:tabs>
        <w:tab w:val="left" w:pos="-90"/>
        <w:tab w:val="left" w:pos="530"/>
        <w:tab w:val="center" w:pos="5400"/>
      </w:tabs>
      <w:autoSpaceDE w:val="0"/>
      <w:autoSpaceDN w:val="0"/>
      <w:adjustRightInd w:val="0"/>
      <w:textAlignment w:val="baseli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28B0" w14:textId="77777777" w:rsidR="003147AD" w:rsidRDefault="003147AD" w:rsidP="00FE5811">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00D5883C" w14:textId="77777777" w:rsidR="003147AD" w:rsidRPr="00FE5811" w:rsidRDefault="003147AD" w:rsidP="00FE5811">
    <w:pPr>
      <w:tabs>
        <w:tab w:val="left" w:pos="-90"/>
      </w:tabs>
      <w:autoSpaceDE w:val="0"/>
      <w:autoSpaceDN w:val="0"/>
      <w:adjustRightInd w:val="0"/>
      <w:jc w:val="center"/>
      <w:textAlignment w:val="baseline"/>
    </w:pPr>
    <w:hyperlink r:id="rId1" w:history="1">
      <w:r w:rsidRPr="00386AF8">
        <w:rPr>
          <w:rStyle w:val="Hyperlink"/>
          <w:rFonts w:ascii="Arial" w:hAnsi="Arial" w:cs="Arial"/>
          <w:iCs/>
          <w:sz w:val="18"/>
          <w:szCs w:val="18"/>
        </w:rPr>
        <w:t>PharmFactsMA@Conduent.com</w:t>
      </w:r>
    </w:hyperlink>
    <w:r>
      <w:rPr>
        <w:rFonts w:ascii="Arial" w:hAnsi="Arial"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DE477" w14:textId="77777777" w:rsidR="00C44C96" w:rsidRDefault="00C44C96" w:rsidP="00492602">
      <w:r>
        <w:separator/>
      </w:r>
    </w:p>
  </w:footnote>
  <w:footnote w:type="continuationSeparator" w:id="0">
    <w:p w14:paraId="382D6813" w14:textId="77777777" w:rsidR="00C44C96" w:rsidRDefault="00C44C96"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CA5C" w14:textId="77777777" w:rsidR="00492602" w:rsidRDefault="00492602" w:rsidP="00492602">
    <w:pPr>
      <w:pStyle w:val="Header"/>
    </w:pPr>
  </w:p>
  <w:p w14:paraId="70381DC3"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EDF9" w14:textId="06566B92"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7B5B0B" w:rsidRPr="007B5B0B">
      <w:rPr>
        <w:color w:val="auto"/>
        <w:sz w:val="18"/>
        <w:szCs w:val="18"/>
      </w:rPr>
      <w:t>227</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9E5FAD">
      <w:rPr>
        <w:noProof/>
        <w:color w:val="auto"/>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C9A0593"/>
    <w:multiLevelType w:val="hybridMultilevel"/>
    <w:tmpl w:val="CFEABF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2087E"/>
    <w:multiLevelType w:val="hybridMultilevel"/>
    <w:tmpl w:val="B2CEFEE6"/>
    <w:lvl w:ilvl="0" w:tplc="FFFFFFFF">
      <w:start w:val="1"/>
      <w:numFmt w:val="lowerLetter"/>
      <w:lvlText w:val="%1."/>
      <w:lvlJc w:val="left"/>
      <w:pPr>
        <w:ind w:left="720" w:hanging="360"/>
      </w:pPr>
    </w:lvl>
    <w:lvl w:ilvl="1" w:tplc="FFFFFFFF">
      <w:start w:val="1"/>
      <w:numFmt w:val="bullet"/>
      <w:lvlText w:val=""/>
      <w:lvlJc w:val="left"/>
      <w:pPr>
        <w:ind w:left="1080" w:hanging="360"/>
      </w:pPr>
      <w:rPr>
        <w:rFonts w:ascii="Symbol" w:hAnsi="Symbol" w:hint="default"/>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16466F"/>
    <w:multiLevelType w:val="hybridMultilevel"/>
    <w:tmpl w:val="AE8EF8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820206"/>
    <w:multiLevelType w:val="hybridMultilevel"/>
    <w:tmpl w:val="FDE6EAD8"/>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73B90"/>
    <w:multiLevelType w:val="hybridMultilevel"/>
    <w:tmpl w:val="4FE454D2"/>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7C7384"/>
    <w:multiLevelType w:val="hybridMultilevel"/>
    <w:tmpl w:val="5DF27FB2"/>
    <w:lvl w:ilvl="0" w:tplc="04090001">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482787">
    <w:abstractNumId w:val="13"/>
  </w:num>
  <w:num w:numId="2" w16cid:durableId="678387703">
    <w:abstractNumId w:val="19"/>
  </w:num>
  <w:num w:numId="3" w16cid:durableId="171258805">
    <w:abstractNumId w:val="24"/>
  </w:num>
  <w:num w:numId="4" w16cid:durableId="933971704">
    <w:abstractNumId w:val="10"/>
  </w:num>
  <w:num w:numId="5" w16cid:durableId="1146894553">
    <w:abstractNumId w:val="12"/>
  </w:num>
  <w:num w:numId="6" w16cid:durableId="1099835229">
    <w:abstractNumId w:val="18"/>
  </w:num>
  <w:num w:numId="7" w16cid:durableId="1091773746">
    <w:abstractNumId w:val="25"/>
  </w:num>
  <w:num w:numId="8" w16cid:durableId="775977178">
    <w:abstractNumId w:val="3"/>
  </w:num>
  <w:num w:numId="9" w16cid:durableId="1192911353">
    <w:abstractNumId w:val="0"/>
  </w:num>
  <w:num w:numId="10" w16cid:durableId="1998994280">
    <w:abstractNumId w:val="22"/>
  </w:num>
  <w:num w:numId="11" w16cid:durableId="77529562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5"/>
  </w:num>
  <w:num w:numId="13" w16cid:durableId="489909912">
    <w:abstractNumId w:val="24"/>
  </w:num>
  <w:num w:numId="14" w16cid:durableId="127771441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18"/>
  </w:num>
  <w:num w:numId="16" w16cid:durableId="1632830456">
    <w:abstractNumId w:val="21"/>
  </w:num>
  <w:num w:numId="17" w16cid:durableId="1271858877">
    <w:abstractNumId w:val="2"/>
  </w:num>
  <w:num w:numId="18" w16cid:durableId="12856954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7"/>
  </w:num>
  <w:num w:numId="20" w16cid:durableId="155609916">
    <w:abstractNumId w:val="4"/>
  </w:num>
  <w:num w:numId="21" w16cid:durableId="749011242">
    <w:abstractNumId w:val="11"/>
  </w:num>
  <w:num w:numId="22" w16cid:durableId="2135520725">
    <w:abstractNumId w:val="26"/>
  </w:num>
  <w:num w:numId="23" w16cid:durableId="1269894124">
    <w:abstractNumId w:val="27"/>
  </w:num>
  <w:num w:numId="24" w16cid:durableId="1534229008">
    <w:abstractNumId w:val="17"/>
  </w:num>
  <w:num w:numId="25" w16cid:durableId="480999597">
    <w:abstractNumId w:val="23"/>
  </w:num>
  <w:num w:numId="26" w16cid:durableId="2114325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2548006">
    <w:abstractNumId w:val="19"/>
  </w:num>
  <w:num w:numId="28" w16cid:durableId="169399166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582701">
    <w:abstractNumId w:val="9"/>
  </w:num>
  <w:num w:numId="30" w16cid:durableId="840508990">
    <w:abstractNumId w:val="20"/>
  </w:num>
  <w:num w:numId="31" w16cid:durableId="751241357">
    <w:abstractNumId w:val="16"/>
  </w:num>
  <w:num w:numId="32" w16cid:durableId="1354844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035602">
    <w:abstractNumId w:val="18"/>
  </w:num>
  <w:num w:numId="34" w16cid:durableId="2100589765">
    <w:abstractNumId w:val="21"/>
  </w:num>
  <w:num w:numId="35" w16cid:durableId="39374568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17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54839"/>
    <w:rsid w:val="00061F50"/>
    <w:rsid w:val="000658A5"/>
    <w:rsid w:val="000713D3"/>
    <w:rsid w:val="00074014"/>
    <w:rsid w:val="00081E8E"/>
    <w:rsid w:val="000A6318"/>
    <w:rsid w:val="000D1502"/>
    <w:rsid w:val="00123D58"/>
    <w:rsid w:val="0012682D"/>
    <w:rsid w:val="001378CB"/>
    <w:rsid w:val="00137D3D"/>
    <w:rsid w:val="00140D08"/>
    <w:rsid w:val="00147437"/>
    <w:rsid w:val="00157A49"/>
    <w:rsid w:val="00171445"/>
    <w:rsid w:val="001721D8"/>
    <w:rsid w:val="0018357E"/>
    <w:rsid w:val="001864A9"/>
    <w:rsid w:val="001903F9"/>
    <w:rsid w:val="001A125B"/>
    <w:rsid w:val="001C1481"/>
    <w:rsid w:val="001E2F53"/>
    <w:rsid w:val="001E779F"/>
    <w:rsid w:val="0021214A"/>
    <w:rsid w:val="00212477"/>
    <w:rsid w:val="00212622"/>
    <w:rsid w:val="002275AE"/>
    <w:rsid w:val="002352AC"/>
    <w:rsid w:val="002509E9"/>
    <w:rsid w:val="00274F3E"/>
    <w:rsid w:val="00276F3A"/>
    <w:rsid w:val="00286CBE"/>
    <w:rsid w:val="00291397"/>
    <w:rsid w:val="002C7C67"/>
    <w:rsid w:val="002D390F"/>
    <w:rsid w:val="002D738C"/>
    <w:rsid w:val="002E2F9E"/>
    <w:rsid w:val="002F459B"/>
    <w:rsid w:val="003147AD"/>
    <w:rsid w:val="003152DA"/>
    <w:rsid w:val="003240F1"/>
    <w:rsid w:val="0033053B"/>
    <w:rsid w:val="00351497"/>
    <w:rsid w:val="00360067"/>
    <w:rsid w:val="00361733"/>
    <w:rsid w:val="0036343A"/>
    <w:rsid w:val="00372195"/>
    <w:rsid w:val="0037373E"/>
    <w:rsid w:val="00375713"/>
    <w:rsid w:val="00382054"/>
    <w:rsid w:val="003911FC"/>
    <w:rsid w:val="003B6839"/>
    <w:rsid w:val="003C45A1"/>
    <w:rsid w:val="003D3B27"/>
    <w:rsid w:val="003F533B"/>
    <w:rsid w:val="00447A5F"/>
    <w:rsid w:val="00456B5A"/>
    <w:rsid w:val="00457528"/>
    <w:rsid w:val="004664D3"/>
    <w:rsid w:val="00492588"/>
    <w:rsid w:val="00492602"/>
    <w:rsid w:val="0049423D"/>
    <w:rsid w:val="00494D38"/>
    <w:rsid w:val="004A3BAA"/>
    <w:rsid w:val="004A7395"/>
    <w:rsid w:val="004C1DAD"/>
    <w:rsid w:val="004D1BC7"/>
    <w:rsid w:val="004D20D7"/>
    <w:rsid w:val="004D79B2"/>
    <w:rsid w:val="004F5506"/>
    <w:rsid w:val="004F5612"/>
    <w:rsid w:val="005052D9"/>
    <w:rsid w:val="00516394"/>
    <w:rsid w:val="0052118E"/>
    <w:rsid w:val="00527F95"/>
    <w:rsid w:val="005314A6"/>
    <w:rsid w:val="005502E1"/>
    <w:rsid w:val="0055514F"/>
    <w:rsid w:val="0056481B"/>
    <w:rsid w:val="0057156C"/>
    <w:rsid w:val="00571898"/>
    <w:rsid w:val="00574ECE"/>
    <w:rsid w:val="00574F07"/>
    <w:rsid w:val="0057528C"/>
    <w:rsid w:val="00581E50"/>
    <w:rsid w:val="005835F0"/>
    <w:rsid w:val="005842A0"/>
    <w:rsid w:val="005958DD"/>
    <w:rsid w:val="005A57BA"/>
    <w:rsid w:val="005A6477"/>
    <w:rsid w:val="005B15B3"/>
    <w:rsid w:val="005D723D"/>
    <w:rsid w:val="005F2371"/>
    <w:rsid w:val="00623469"/>
    <w:rsid w:val="00634C49"/>
    <w:rsid w:val="00637A67"/>
    <w:rsid w:val="00644AAF"/>
    <w:rsid w:val="00650095"/>
    <w:rsid w:val="00651CA7"/>
    <w:rsid w:val="00656A01"/>
    <w:rsid w:val="00657D21"/>
    <w:rsid w:val="006615EC"/>
    <w:rsid w:val="00673F96"/>
    <w:rsid w:val="00674418"/>
    <w:rsid w:val="00674428"/>
    <w:rsid w:val="006753A6"/>
    <w:rsid w:val="00686C26"/>
    <w:rsid w:val="00687BBF"/>
    <w:rsid w:val="00690023"/>
    <w:rsid w:val="00696F48"/>
    <w:rsid w:val="0069772F"/>
    <w:rsid w:val="006A092F"/>
    <w:rsid w:val="006A7D28"/>
    <w:rsid w:val="006D3B5F"/>
    <w:rsid w:val="006D6140"/>
    <w:rsid w:val="006E0C20"/>
    <w:rsid w:val="006E22A3"/>
    <w:rsid w:val="006F35F9"/>
    <w:rsid w:val="007319D7"/>
    <w:rsid w:val="00731FAF"/>
    <w:rsid w:val="007426BF"/>
    <w:rsid w:val="00760FDF"/>
    <w:rsid w:val="007757E7"/>
    <w:rsid w:val="00781D3B"/>
    <w:rsid w:val="007A038A"/>
    <w:rsid w:val="007A41F5"/>
    <w:rsid w:val="007B2F2D"/>
    <w:rsid w:val="007B4429"/>
    <w:rsid w:val="007B5B0B"/>
    <w:rsid w:val="007B7425"/>
    <w:rsid w:val="007F5417"/>
    <w:rsid w:val="00804116"/>
    <w:rsid w:val="00812480"/>
    <w:rsid w:val="00816CE2"/>
    <w:rsid w:val="00821937"/>
    <w:rsid w:val="008340D0"/>
    <w:rsid w:val="008403CA"/>
    <w:rsid w:val="00847295"/>
    <w:rsid w:val="008474A5"/>
    <w:rsid w:val="0085395A"/>
    <w:rsid w:val="00853F8E"/>
    <w:rsid w:val="0086142C"/>
    <w:rsid w:val="00870F52"/>
    <w:rsid w:val="00872E7F"/>
    <w:rsid w:val="00880FA9"/>
    <w:rsid w:val="008930F1"/>
    <w:rsid w:val="00893F45"/>
    <w:rsid w:val="008C5414"/>
    <w:rsid w:val="008C66D8"/>
    <w:rsid w:val="008E4B33"/>
    <w:rsid w:val="008F0130"/>
    <w:rsid w:val="008F2E4C"/>
    <w:rsid w:val="00905C46"/>
    <w:rsid w:val="00906EEC"/>
    <w:rsid w:val="009166DF"/>
    <w:rsid w:val="009204C7"/>
    <w:rsid w:val="00922030"/>
    <w:rsid w:val="009365C7"/>
    <w:rsid w:val="0094076D"/>
    <w:rsid w:val="00941258"/>
    <w:rsid w:val="00942245"/>
    <w:rsid w:val="00956812"/>
    <w:rsid w:val="0095770E"/>
    <w:rsid w:val="009725E5"/>
    <w:rsid w:val="00974CFD"/>
    <w:rsid w:val="00981567"/>
    <w:rsid w:val="009C3981"/>
    <w:rsid w:val="009D1341"/>
    <w:rsid w:val="009D6D73"/>
    <w:rsid w:val="009D79C6"/>
    <w:rsid w:val="009E5FAD"/>
    <w:rsid w:val="009F0440"/>
    <w:rsid w:val="009F0526"/>
    <w:rsid w:val="00A01DE3"/>
    <w:rsid w:val="00A06542"/>
    <w:rsid w:val="00A11371"/>
    <w:rsid w:val="00A120E1"/>
    <w:rsid w:val="00A31FAA"/>
    <w:rsid w:val="00A343A9"/>
    <w:rsid w:val="00A5239C"/>
    <w:rsid w:val="00A571F6"/>
    <w:rsid w:val="00A650DC"/>
    <w:rsid w:val="00A6764A"/>
    <w:rsid w:val="00A84255"/>
    <w:rsid w:val="00AC1AC7"/>
    <w:rsid w:val="00AD18B8"/>
    <w:rsid w:val="00AD33D5"/>
    <w:rsid w:val="00AE21FC"/>
    <w:rsid w:val="00AF18CD"/>
    <w:rsid w:val="00B01BAA"/>
    <w:rsid w:val="00B07BD7"/>
    <w:rsid w:val="00B10600"/>
    <w:rsid w:val="00B13AA5"/>
    <w:rsid w:val="00B3099B"/>
    <w:rsid w:val="00B40A71"/>
    <w:rsid w:val="00B503C7"/>
    <w:rsid w:val="00B54AB5"/>
    <w:rsid w:val="00B645C9"/>
    <w:rsid w:val="00B86F04"/>
    <w:rsid w:val="00B92C96"/>
    <w:rsid w:val="00BA64D7"/>
    <w:rsid w:val="00BA68F0"/>
    <w:rsid w:val="00BD08CA"/>
    <w:rsid w:val="00BD5821"/>
    <w:rsid w:val="00BF0DF4"/>
    <w:rsid w:val="00C00CF2"/>
    <w:rsid w:val="00C15672"/>
    <w:rsid w:val="00C21680"/>
    <w:rsid w:val="00C31421"/>
    <w:rsid w:val="00C33753"/>
    <w:rsid w:val="00C35B94"/>
    <w:rsid w:val="00C44C96"/>
    <w:rsid w:val="00C559C9"/>
    <w:rsid w:val="00C71E2D"/>
    <w:rsid w:val="00C82FA4"/>
    <w:rsid w:val="00CA0669"/>
    <w:rsid w:val="00CA1E7C"/>
    <w:rsid w:val="00CB0030"/>
    <w:rsid w:val="00CB7521"/>
    <w:rsid w:val="00CC57AC"/>
    <w:rsid w:val="00CC776C"/>
    <w:rsid w:val="00CD6D68"/>
    <w:rsid w:val="00CF2057"/>
    <w:rsid w:val="00D0584B"/>
    <w:rsid w:val="00D2695E"/>
    <w:rsid w:val="00D450C8"/>
    <w:rsid w:val="00D521FA"/>
    <w:rsid w:val="00D66801"/>
    <w:rsid w:val="00D779F2"/>
    <w:rsid w:val="00D81121"/>
    <w:rsid w:val="00D939D0"/>
    <w:rsid w:val="00DA6A55"/>
    <w:rsid w:val="00E06F7D"/>
    <w:rsid w:val="00E24139"/>
    <w:rsid w:val="00E3616D"/>
    <w:rsid w:val="00E50862"/>
    <w:rsid w:val="00E60ABB"/>
    <w:rsid w:val="00E62D91"/>
    <w:rsid w:val="00E67611"/>
    <w:rsid w:val="00E67713"/>
    <w:rsid w:val="00E72DFF"/>
    <w:rsid w:val="00E92E47"/>
    <w:rsid w:val="00E9576D"/>
    <w:rsid w:val="00EC08AC"/>
    <w:rsid w:val="00EC1948"/>
    <w:rsid w:val="00ED4639"/>
    <w:rsid w:val="00EE54D2"/>
    <w:rsid w:val="00EF7C8A"/>
    <w:rsid w:val="00F2514F"/>
    <w:rsid w:val="00F25E7F"/>
    <w:rsid w:val="00F274DE"/>
    <w:rsid w:val="00F6038A"/>
    <w:rsid w:val="00F643E6"/>
    <w:rsid w:val="00F76D69"/>
    <w:rsid w:val="00F9012C"/>
    <w:rsid w:val="00F9097E"/>
    <w:rsid w:val="00F93C6C"/>
    <w:rsid w:val="00FA5147"/>
    <w:rsid w:val="00FB0C11"/>
    <w:rsid w:val="00FB5301"/>
    <w:rsid w:val="00FD4894"/>
    <w:rsid w:val="00FE5811"/>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paragraph" w:styleId="Revision">
    <w:name w:val="Revision"/>
    <w:hidden/>
    <w:uiPriority w:val="99"/>
    <w:semiHidden/>
    <w:rsid w:val="001903F9"/>
    <w:rPr>
      <w:sz w:val="24"/>
      <w:szCs w:val="24"/>
    </w:rPr>
  </w:style>
  <w:style w:type="character" w:styleId="CommentReference">
    <w:name w:val="annotation reference"/>
    <w:basedOn w:val="DefaultParagraphFont"/>
    <w:semiHidden/>
    <w:unhideWhenUsed/>
    <w:rsid w:val="002352AC"/>
    <w:rPr>
      <w:sz w:val="16"/>
      <w:szCs w:val="16"/>
    </w:rPr>
  </w:style>
  <w:style w:type="paragraph" w:styleId="CommentText">
    <w:name w:val="annotation text"/>
    <w:basedOn w:val="Normal"/>
    <w:link w:val="CommentTextChar"/>
    <w:unhideWhenUsed/>
    <w:rsid w:val="002352AC"/>
    <w:rPr>
      <w:sz w:val="20"/>
      <w:szCs w:val="20"/>
    </w:rPr>
  </w:style>
  <w:style w:type="character" w:customStyle="1" w:styleId="CommentTextChar">
    <w:name w:val="Comment Text Char"/>
    <w:basedOn w:val="DefaultParagraphFont"/>
    <w:link w:val="CommentText"/>
    <w:rsid w:val="002352AC"/>
  </w:style>
  <w:style w:type="paragraph" w:styleId="CommentSubject">
    <w:name w:val="annotation subject"/>
    <w:basedOn w:val="CommentText"/>
    <w:next w:val="CommentText"/>
    <w:link w:val="CommentSubjectChar"/>
    <w:semiHidden/>
    <w:unhideWhenUsed/>
    <w:rsid w:val="002352AC"/>
    <w:rPr>
      <w:b/>
      <w:bCs/>
    </w:rPr>
  </w:style>
  <w:style w:type="character" w:customStyle="1" w:styleId="CommentSubjectChar">
    <w:name w:val="Comment Subject Char"/>
    <w:basedOn w:val="CommentTextChar"/>
    <w:link w:val="CommentSubject"/>
    <w:semiHidden/>
    <w:rsid w:val="002352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2024-04-29T17:17:00Z</dcterms:created>
  <dcterms:modified xsi:type="dcterms:W3CDTF">2024-04-29T17:37:00Z</dcterms:modified>
</cp:coreProperties>
</file>