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BD5" w14:textId="3B80878D" w:rsidR="008F2307" w:rsidRDefault="008F2307" w:rsidP="008F2307">
      <w:pPr>
        <w:pStyle w:val="Noparagraphstyle"/>
        <w:rPr>
          <w:rFonts w:ascii="Arial Narrow" w:hAnsi="Arial Narrow"/>
          <w:b/>
          <w:sz w:val="20"/>
          <w:szCs w:val="20"/>
        </w:rPr>
      </w:pPr>
      <w:r>
        <w:rPr>
          <w:rFonts w:ascii="Arial Narrow" w:hAnsi="Arial Narrow"/>
          <w:b/>
          <w:sz w:val="20"/>
          <w:szCs w:val="20"/>
        </w:rPr>
        <w:t xml:space="preserve">Number </w:t>
      </w:r>
      <w:r w:rsidR="009405A0" w:rsidRPr="009405A0">
        <w:rPr>
          <w:rFonts w:ascii="Arial Narrow" w:hAnsi="Arial Narrow"/>
          <w:b/>
          <w:color w:val="auto"/>
          <w:sz w:val="20"/>
          <w:szCs w:val="20"/>
        </w:rPr>
        <w:t>228</w:t>
      </w:r>
      <w:r w:rsidRPr="009405A0">
        <w:rPr>
          <w:rFonts w:ascii="Arial Narrow" w:hAnsi="Arial Narrow"/>
          <w:b/>
          <w:color w:val="auto"/>
          <w:sz w:val="20"/>
          <w:szCs w:val="20"/>
        </w:rPr>
        <w:t xml:space="preserve">, </w:t>
      </w:r>
      <w:r w:rsidR="009405A0" w:rsidRPr="009405A0">
        <w:rPr>
          <w:rFonts w:ascii="Arial Narrow" w:hAnsi="Arial Narrow"/>
          <w:b/>
          <w:color w:val="auto"/>
          <w:sz w:val="20"/>
          <w:szCs w:val="20"/>
        </w:rPr>
        <w:t>May 10, 2024</w:t>
      </w:r>
    </w:p>
    <w:p w14:paraId="56A843BC" w14:textId="06CDA08E" w:rsidR="006F35F9" w:rsidRDefault="0027289D"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11"/>
          <w:footerReference w:type="default" r:id="rId12"/>
          <w:footerReference w:type="first" r:id="rId13"/>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199526FB" wp14:editId="68ACC982">
            <wp:extent cx="6783572" cy="1711183"/>
            <wp:effectExtent l="0" t="0" r="0" b="3810"/>
            <wp:docPr id="196268068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80682" name="Picture 1"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02217" cy="1715886"/>
                    </a:xfrm>
                    <a:prstGeom prst="rect">
                      <a:avLst/>
                    </a:prstGeom>
                  </pic:spPr>
                </pic:pic>
              </a:graphicData>
            </a:graphic>
          </wp:inline>
        </w:drawing>
      </w:r>
    </w:p>
    <w:p w14:paraId="1E709493" w14:textId="77777777" w:rsidR="009A0D2D" w:rsidRDefault="009A0D2D" w:rsidP="00EF7C8A">
      <w:pPr>
        <w:pStyle w:val="BodyText1"/>
        <w:rPr>
          <w:rFonts w:ascii="Arial Black" w:hAnsi="Arial Black"/>
          <w:color w:val="auto"/>
          <w:sz w:val="22"/>
          <w:szCs w:val="22"/>
        </w:rPr>
      </w:pPr>
      <w:r w:rsidRPr="009A0D2D">
        <w:rPr>
          <w:rFonts w:ascii="Arial Black" w:hAnsi="Arial Black"/>
          <w:color w:val="auto"/>
          <w:sz w:val="22"/>
          <w:szCs w:val="22"/>
        </w:rPr>
        <w:t>Naloxone Days’ Supply Guidance</w:t>
      </w:r>
    </w:p>
    <w:p w14:paraId="63F6744E" w14:textId="10A2D5E1" w:rsidR="00C63DCC" w:rsidRDefault="00C63DCC" w:rsidP="00C63DCC">
      <w:pPr>
        <w:pStyle w:val="Subtitle"/>
        <w:rPr>
          <w:rFonts w:ascii="Arial" w:hAnsi="Arial" w:cs="Arial"/>
          <w:color w:val="auto"/>
        </w:rPr>
      </w:pPr>
      <w:r w:rsidRPr="00C63DCC">
        <w:rPr>
          <w:rFonts w:ascii="Arial" w:hAnsi="Arial" w:cs="Arial"/>
          <w:color w:val="auto"/>
        </w:rPr>
        <w:t>MassHealth remains committed to ensuring member</w:t>
      </w:r>
      <w:r w:rsidR="001372CC">
        <w:rPr>
          <w:rFonts w:ascii="Arial" w:hAnsi="Arial" w:cs="Arial"/>
          <w:color w:val="auto"/>
        </w:rPr>
        <w:t>s have</w:t>
      </w:r>
      <w:r w:rsidRPr="00C63DCC">
        <w:rPr>
          <w:rFonts w:ascii="Arial" w:hAnsi="Arial" w:cs="Arial"/>
          <w:color w:val="auto"/>
        </w:rPr>
        <w:t xml:space="preserve"> access to multiple covered naloxone products available at no out-of-pocket cost, without prior authorization (PA) and without quantity limits. The following naloxone products are covered by MassHealth without PA or quantity limits and should be dispensed as a 1-day supply:  </w:t>
      </w:r>
    </w:p>
    <w:p w14:paraId="30E49741"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Kloxxado (naloxone 8 mg/0.1 mL nasal spray)</w:t>
      </w:r>
    </w:p>
    <w:p w14:paraId="4C8B6F15"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naloxone 4 mg/0.1 mL nasal spray*</w:t>
      </w:r>
    </w:p>
    <w:p w14:paraId="1C3143A2"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naloxone vial, 0.4 mg/mL syringe, 2 mg/2 mL syringe</w:t>
      </w:r>
    </w:p>
    <w:p w14:paraId="28FC70E0"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Narcan (naloxone 4 mg/0.1 mL nasal spray)*</w:t>
      </w:r>
    </w:p>
    <w:p w14:paraId="7782FEBD"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Zimhi (naloxone 5 mg /0.5 mL syringe)</w:t>
      </w:r>
    </w:p>
    <w:p w14:paraId="77738FCB" w14:textId="77777777" w:rsidR="00B77D7C" w:rsidRPr="00B77D7C" w:rsidRDefault="00B77D7C" w:rsidP="00B77D7C">
      <w:pPr>
        <w:numPr>
          <w:ilvl w:val="0"/>
          <w:numId w:val="10"/>
        </w:numPr>
        <w:autoSpaceDE w:val="0"/>
        <w:autoSpaceDN w:val="0"/>
        <w:adjustRightInd w:val="0"/>
        <w:spacing w:line="276" w:lineRule="auto"/>
        <w:rPr>
          <w:rFonts w:ascii="Arial" w:hAnsi="Arial" w:cs="Arial"/>
          <w:sz w:val="22"/>
          <w:szCs w:val="22"/>
        </w:rPr>
      </w:pPr>
      <w:r w:rsidRPr="00B77D7C">
        <w:rPr>
          <w:rFonts w:ascii="Arial" w:hAnsi="Arial" w:cs="Arial"/>
          <w:sz w:val="22"/>
          <w:szCs w:val="22"/>
        </w:rPr>
        <w:t>RiVive (naloxone 3 mg nasal spray)*</w:t>
      </w:r>
    </w:p>
    <w:p w14:paraId="276057C2" w14:textId="77777777" w:rsidR="00B77D7C" w:rsidRPr="00B77D7C" w:rsidRDefault="00B77D7C" w:rsidP="00B77D7C">
      <w:pPr>
        <w:autoSpaceDE w:val="0"/>
        <w:autoSpaceDN w:val="0"/>
        <w:adjustRightInd w:val="0"/>
        <w:spacing w:line="276" w:lineRule="auto"/>
        <w:rPr>
          <w:rFonts w:ascii="Arial" w:hAnsi="Arial" w:cs="Arial"/>
          <w:sz w:val="22"/>
          <w:szCs w:val="22"/>
        </w:rPr>
      </w:pPr>
      <w:r w:rsidRPr="00B77D7C">
        <w:rPr>
          <w:rFonts w:ascii="Arial" w:hAnsi="Arial" w:cs="Arial"/>
          <w:sz w:val="22"/>
          <w:szCs w:val="22"/>
        </w:rPr>
        <w:t>*FDA-approved over-the-counter formulation</w:t>
      </w:r>
    </w:p>
    <w:p w14:paraId="149C5FFF" w14:textId="77777777" w:rsidR="00EF7C8A" w:rsidRDefault="00EF7C8A" w:rsidP="00EF7C8A">
      <w:pPr>
        <w:autoSpaceDE w:val="0"/>
        <w:autoSpaceDN w:val="0"/>
        <w:adjustRightInd w:val="0"/>
        <w:spacing w:line="276" w:lineRule="auto"/>
        <w:rPr>
          <w:rFonts w:ascii="Arial" w:hAnsi="Arial" w:cs="Arial"/>
          <w:sz w:val="22"/>
          <w:szCs w:val="22"/>
        </w:rPr>
      </w:pPr>
    </w:p>
    <w:p w14:paraId="1627D7F0" w14:textId="51F3C35F" w:rsidR="00AA01E1" w:rsidRDefault="00AA01E1" w:rsidP="00EF7C8A">
      <w:pPr>
        <w:autoSpaceDE w:val="0"/>
        <w:autoSpaceDN w:val="0"/>
        <w:adjustRightInd w:val="0"/>
        <w:spacing w:line="276" w:lineRule="auto"/>
        <w:rPr>
          <w:rFonts w:ascii="Arial" w:hAnsi="Arial" w:cs="Arial"/>
        </w:rPr>
      </w:pPr>
      <w:r w:rsidRPr="00AA01E1">
        <w:rPr>
          <w:rFonts w:ascii="Arial" w:hAnsi="Arial" w:cs="Arial"/>
          <w:sz w:val="22"/>
          <w:szCs w:val="22"/>
        </w:rPr>
        <w:t xml:space="preserve">When dispensing the naloxone agents listed </w:t>
      </w:r>
      <w:r w:rsidR="00D6183E">
        <w:rPr>
          <w:rFonts w:ascii="Arial" w:hAnsi="Arial" w:cs="Arial"/>
          <w:sz w:val="22"/>
          <w:szCs w:val="22"/>
        </w:rPr>
        <w:t>above</w:t>
      </w:r>
      <w:r w:rsidRPr="00AA01E1">
        <w:rPr>
          <w:rFonts w:ascii="Arial" w:hAnsi="Arial" w:cs="Arial"/>
          <w:sz w:val="22"/>
          <w:szCs w:val="22"/>
        </w:rPr>
        <w:t>, claims should be submitted as a 1-day supply. If additional naloxone is needed for a member within the same day, pharmacists should contact the MassHealth Drug Utilization Review Program for an emergency</w:t>
      </w:r>
      <w:r w:rsidRPr="00C63DCC">
        <w:rPr>
          <w:rFonts w:ascii="Arial" w:hAnsi="Arial" w:cs="Arial"/>
        </w:rPr>
        <w:t xml:space="preserve"> </w:t>
      </w:r>
      <w:r w:rsidRPr="00AA01E1">
        <w:rPr>
          <w:rFonts w:ascii="Arial" w:hAnsi="Arial" w:cs="Arial"/>
          <w:sz w:val="22"/>
          <w:szCs w:val="22"/>
        </w:rPr>
        <w:t>override at 1-800-745-7318 during normal business hours.</w:t>
      </w:r>
      <w:r w:rsidRPr="00C63DCC">
        <w:rPr>
          <w:rFonts w:ascii="Arial" w:hAnsi="Arial" w:cs="Arial"/>
        </w:rPr>
        <w:t xml:space="preserve"> </w:t>
      </w:r>
      <w:r w:rsidRPr="00AA01E1">
        <w:rPr>
          <w:rFonts w:ascii="Arial" w:hAnsi="Arial" w:cs="Arial"/>
          <w:sz w:val="22"/>
          <w:szCs w:val="22"/>
        </w:rPr>
        <w:t>Outside of business hours, pharmacies may submit an emergency override claim with a value of “03” for level of service (Field 418-DI).</w:t>
      </w:r>
    </w:p>
    <w:p w14:paraId="28197A16" w14:textId="77777777" w:rsidR="00AA01E1" w:rsidRDefault="00AA01E1" w:rsidP="00EF7C8A">
      <w:pPr>
        <w:autoSpaceDE w:val="0"/>
        <w:autoSpaceDN w:val="0"/>
        <w:adjustRightInd w:val="0"/>
        <w:spacing w:line="276" w:lineRule="auto"/>
        <w:rPr>
          <w:rFonts w:ascii="Arial" w:hAnsi="Arial" w:cs="Arial"/>
          <w:sz w:val="22"/>
          <w:szCs w:val="22"/>
        </w:rPr>
      </w:pPr>
    </w:p>
    <w:p w14:paraId="6F32AD12" w14:textId="172060F8" w:rsidR="009C59C0" w:rsidRDefault="009C59C0" w:rsidP="009C59C0">
      <w:pPr>
        <w:autoSpaceDE w:val="0"/>
        <w:autoSpaceDN w:val="0"/>
        <w:adjustRightInd w:val="0"/>
        <w:spacing w:line="276" w:lineRule="auto"/>
        <w:rPr>
          <w:rFonts w:ascii="Arial" w:hAnsi="Arial" w:cs="Arial"/>
          <w:sz w:val="22"/>
          <w:szCs w:val="22"/>
        </w:rPr>
      </w:pPr>
      <w:r w:rsidRPr="009C59C0">
        <w:rPr>
          <w:rFonts w:ascii="Arial" w:hAnsi="Arial" w:cs="Arial"/>
          <w:sz w:val="22"/>
          <w:szCs w:val="22"/>
        </w:rPr>
        <w:t>The Massachusetts Board of Pharmacy notes that although there may be limits to the amount of naloxone covered by insurance, there is no regulatory limit to the amount of naloxone that may be dispensed to an individual</w:t>
      </w:r>
      <w:r w:rsidR="00082918">
        <w:rPr>
          <w:rFonts w:ascii="Arial" w:hAnsi="Arial" w:cs="Arial"/>
          <w:sz w:val="22"/>
          <w:szCs w:val="22"/>
        </w:rPr>
        <w:t>.</w:t>
      </w:r>
      <w:r w:rsidRPr="009C59C0">
        <w:rPr>
          <w:rFonts w:ascii="Arial" w:hAnsi="Arial" w:cs="Arial"/>
          <w:sz w:val="22"/>
          <w:szCs w:val="22"/>
        </w:rPr>
        <w:t xml:space="preserve"> (</w:t>
      </w:r>
      <w:r w:rsidR="00082918">
        <w:rPr>
          <w:rFonts w:ascii="Arial" w:hAnsi="Arial" w:cs="Arial"/>
          <w:sz w:val="22"/>
          <w:szCs w:val="22"/>
        </w:rPr>
        <w:t xml:space="preserve">See </w:t>
      </w:r>
      <w:r w:rsidR="00CD2343" w:rsidRPr="00CD2343">
        <w:rPr>
          <w:rFonts w:ascii="Arial" w:hAnsi="Arial" w:cs="Arial"/>
          <w:sz w:val="22"/>
          <w:szCs w:val="22"/>
        </w:rPr>
        <w:t>Policy 2024-01: Naloxone Dispensing</w:t>
      </w:r>
      <w:r w:rsidR="00CD2343">
        <w:rPr>
          <w:rFonts w:ascii="Arial" w:hAnsi="Arial" w:cs="Arial"/>
          <w:sz w:val="22"/>
          <w:szCs w:val="22"/>
        </w:rPr>
        <w:t xml:space="preserve"> at </w:t>
      </w:r>
      <w:hyperlink r:id="rId15" w:history="1">
        <w:r w:rsidR="00CD2343" w:rsidRPr="00CD2343">
          <w:rPr>
            <w:rStyle w:val="Hyperlink"/>
            <w:rFonts w:ascii="Arial" w:hAnsi="Arial" w:cs="Arial"/>
            <w:sz w:val="22"/>
            <w:szCs w:val="22"/>
          </w:rPr>
          <w:t>www.mass.gov/doc/2024-01-naloxone-dispensing-pdf/download</w:t>
        </w:r>
      </w:hyperlink>
      <w:r w:rsidRPr="009C59C0">
        <w:rPr>
          <w:rFonts w:ascii="Arial" w:hAnsi="Arial" w:cs="Arial"/>
          <w:sz w:val="22"/>
          <w:szCs w:val="22"/>
        </w:rPr>
        <w:t>).</w:t>
      </w:r>
    </w:p>
    <w:p w14:paraId="4179429B" w14:textId="77777777" w:rsidR="00D6183E" w:rsidRPr="009C59C0" w:rsidRDefault="00D6183E" w:rsidP="009C59C0">
      <w:pPr>
        <w:autoSpaceDE w:val="0"/>
        <w:autoSpaceDN w:val="0"/>
        <w:adjustRightInd w:val="0"/>
        <w:spacing w:line="276" w:lineRule="auto"/>
        <w:rPr>
          <w:rFonts w:ascii="Arial" w:hAnsi="Arial" w:cs="Arial"/>
          <w:sz w:val="22"/>
          <w:szCs w:val="22"/>
        </w:rPr>
      </w:pPr>
    </w:p>
    <w:p w14:paraId="0B0340DE" w14:textId="17822E76" w:rsidR="009C59C0" w:rsidRPr="009C59C0" w:rsidRDefault="009C59C0" w:rsidP="009C59C0">
      <w:pPr>
        <w:autoSpaceDE w:val="0"/>
        <w:autoSpaceDN w:val="0"/>
        <w:adjustRightInd w:val="0"/>
        <w:spacing w:line="276" w:lineRule="auto"/>
        <w:rPr>
          <w:rFonts w:ascii="Arial" w:hAnsi="Arial" w:cs="Arial"/>
          <w:sz w:val="22"/>
          <w:szCs w:val="22"/>
        </w:rPr>
      </w:pPr>
      <w:r w:rsidRPr="009C59C0">
        <w:rPr>
          <w:rFonts w:ascii="Arial" w:hAnsi="Arial" w:cs="Arial"/>
          <w:sz w:val="22"/>
          <w:szCs w:val="22"/>
        </w:rPr>
        <w:t xml:space="preserve">Although MassHealth generally requires a prescription before it will cover drugs, there is a standing order that allows pharmacists to dispense naloxone without an individual prescription. Please refer to the standing order for naloxone </w:t>
      </w:r>
      <w:r w:rsidR="005322DF">
        <w:rPr>
          <w:rFonts w:ascii="Arial" w:hAnsi="Arial" w:cs="Arial"/>
          <w:sz w:val="22"/>
          <w:szCs w:val="22"/>
        </w:rPr>
        <w:t xml:space="preserve">at </w:t>
      </w:r>
      <w:hyperlink r:id="rId16" w:history="1">
        <w:r w:rsidR="00F83574" w:rsidRPr="00E86253">
          <w:rPr>
            <w:rStyle w:val="Hyperlink"/>
            <w:rFonts w:ascii="Arial" w:hAnsi="Arial" w:cs="Arial"/>
            <w:sz w:val="22"/>
            <w:szCs w:val="22"/>
          </w:rPr>
          <w:t>www.mass.gov/doc/naloxone-standing-order-1/download</w:t>
        </w:r>
      </w:hyperlink>
      <w:r w:rsidRPr="009C59C0">
        <w:rPr>
          <w:rFonts w:ascii="Arial" w:hAnsi="Arial" w:cs="Arial"/>
          <w:sz w:val="22"/>
          <w:szCs w:val="22"/>
        </w:rPr>
        <w:t xml:space="preserve"> and M.G.L. c. 94C, § 19B for further information.</w:t>
      </w:r>
    </w:p>
    <w:p w14:paraId="16DC3581" w14:textId="77777777" w:rsidR="009C59C0" w:rsidRPr="009C59C0" w:rsidRDefault="009C59C0" w:rsidP="009C59C0">
      <w:pPr>
        <w:autoSpaceDE w:val="0"/>
        <w:autoSpaceDN w:val="0"/>
        <w:adjustRightInd w:val="0"/>
        <w:spacing w:line="276" w:lineRule="auto"/>
        <w:rPr>
          <w:rFonts w:ascii="Arial" w:hAnsi="Arial" w:cs="Arial"/>
          <w:sz w:val="22"/>
          <w:szCs w:val="22"/>
        </w:rPr>
      </w:pPr>
    </w:p>
    <w:p w14:paraId="2871C4D2" w14:textId="5D0803AF" w:rsidR="009D6AAA" w:rsidRDefault="009C59C0" w:rsidP="009C59C0">
      <w:pPr>
        <w:autoSpaceDE w:val="0"/>
        <w:autoSpaceDN w:val="0"/>
        <w:adjustRightInd w:val="0"/>
        <w:spacing w:line="276" w:lineRule="auto"/>
        <w:rPr>
          <w:rFonts w:ascii="Arial" w:hAnsi="Arial"/>
          <w:bCs/>
          <w:sz w:val="18"/>
          <w:szCs w:val="18"/>
        </w:rPr>
      </w:pPr>
      <w:r w:rsidRPr="009C59C0">
        <w:rPr>
          <w:rFonts w:ascii="Arial" w:hAnsi="Arial" w:cs="Arial"/>
          <w:sz w:val="22"/>
          <w:szCs w:val="22"/>
        </w:rPr>
        <w:t xml:space="preserve">For the most up-to-date information on the current coverage status of naloxone products and OTC drugs, please see MassHealth Drug List Therapeutic Table 36 and the MassHealth Covered OTC Drug List. The MassHealth Drug List can be found at </w:t>
      </w:r>
      <w:hyperlink r:id="rId17" w:history="1">
        <w:r w:rsidR="000435E5">
          <w:rPr>
            <w:rStyle w:val="Hyperlink"/>
            <w:rFonts w:ascii="Arial" w:hAnsi="Arial" w:cs="Arial"/>
            <w:sz w:val="22"/>
            <w:szCs w:val="22"/>
          </w:rPr>
          <w:t>www.mass.gov/masshealth-pharmacy-program</w:t>
        </w:r>
      </w:hyperlink>
      <w:r w:rsidRPr="009C59C0">
        <w:rPr>
          <w:rFonts w:ascii="Arial" w:hAnsi="Arial" w:cs="Arial"/>
          <w:sz w:val="22"/>
          <w:szCs w:val="22"/>
        </w:rPr>
        <w:t xml:space="preserve">. RiVive will be added to the MassHealth Drug List July 1, 2024, but is covered now.  </w:t>
      </w:r>
    </w:p>
    <w:p w14:paraId="1E0F61C7" w14:textId="77777777"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138F" w14:textId="77777777" w:rsidR="00F85F2A" w:rsidRDefault="00F85F2A" w:rsidP="00492602">
      <w:r>
        <w:separator/>
      </w:r>
    </w:p>
  </w:endnote>
  <w:endnote w:type="continuationSeparator" w:id="0">
    <w:p w14:paraId="0F1CCDFB" w14:textId="77777777" w:rsidR="00F85F2A" w:rsidRDefault="00F85F2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C9EE68C" w:rsidR="00AF19BA" w:rsidRPr="00E24139" w:rsidRDefault="001666DA"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065861">
      <w:rPr>
        <w:rFonts w:ascii="Arial" w:hAnsi="Arial" w:cs="Arial"/>
        <w:iCs/>
        <w:sz w:val="18"/>
        <w:szCs w:val="18"/>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A16B" w14:textId="77777777" w:rsidR="00F85F2A" w:rsidRDefault="00F85F2A" w:rsidP="00492602">
      <w:r>
        <w:separator/>
      </w:r>
    </w:p>
  </w:footnote>
  <w:footnote w:type="continuationSeparator" w:id="0">
    <w:p w14:paraId="2C423D73" w14:textId="77777777" w:rsidR="00F85F2A" w:rsidRDefault="00F85F2A"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2A14EE"/>
    <w:multiLevelType w:val="hybridMultilevel"/>
    <w:tmpl w:val="2BE0791C"/>
    <w:lvl w:ilvl="0" w:tplc="9140C2D2">
      <w:numFmt w:val="bullet"/>
      <w:lvlText w:val=""/>
      <w:lvlJc w:val="left"/>
      <w:pPr>
        <w:ind w:left="478" w:hanging="272"/>
      </w:pPr>
      <w:rPr>
        <w:rFonts w:ascii="Symbol" w:eastAsia="Symbol" w:hAnsi="Symbol" w:cs="Symbol" w:hint="default"/>
        <w:b w:val="0"/>
        <w:bCs w:val="0"/>
        <w:i w:val="0"/>
        <w:iCs w:val="0"/>
        <w:spacing w:val="0"/>
        <w:w w:val="100"/>
        <w:sz w:val="22"/>
        <w:szCs w:val="22"/>
        <w:lang w:val="en-US" w:eastAsia="en-US" w:bidi="ar-SA"/>
      </w:rPr>
    </w:lvl>
    <w:lvl w:ilvl="1" w:tplc="A01E3B90">
      <w:numFmt w:val="bullet"/>
      <w:lvlText w:val="•"/>
      <w:lvlJc w:val="left"/>
      <w:pPr>
        <w:ind w:left="940" w:hanging="272"/>
      </w:pPr>
      <w:rPr>
        <w:rFonts w:hint="default"/>
        <w:lang w:val="en-US" w:eastAsia="en-US" w:bidi="ar-SA"/>
      </w:rPr>
    </w:lvl>
    <w:lvl w:ilvl="2" w:tplc="76F8804A">
      <w:numFmt w:val="bullet"/>
      <w:lvlText w:val="•"/>
      <w:lvlJc w:val="left"/>
      <w:pPr>
        <w:ind w:left="1401" w:hanging="272"/>
      </w:pPr>
      <w:rPr>
        <w:rFonts w:hint="default"/>
        <w:lang w:val="en-US" w:eastAsia="en-US" w:bidi="ar-SA"/>
      </w:rPr>
    </w:lvl>
    <w:lvl w:ilvl="3" w:tplc="23F862D0">
      <w:numFmt w:val="bullet"/>
      <w:lvlText w:val="•"/>
      <w:lvlJc w:val="left"/>
      <w:pPr>
        <w:ind w:left="1862" w:hanging="272"/>
      </w:pPr>
      <w:rPr>
        <w:rFonts w:hint="default"/>
        <w:lang w:val="en-US" w:eastAsia="en-US" w:bidi="ar-SA"/>
      </w:rPr>
    </w:lvl>
    <w:lvl w:ilvl="4" w:tplc="263C3B2A">
      <w:numFmt w:val="bullet"/>
      <w:lvlText w:val="•"/>
      <w:lvlJc w:val="left"/>
      <w:pPr>
        <w:ind w:left="2323" w:hanging="272"/>
      </w:pPr>
      <w:rPr>
        <w:rFonts w:hint="default"/>
        <w:lang w:val="en-US" w:eastAsia="en-US" w:bidi="ar-SA"/>
      </w:rPr>
    </w:lvl>
    <w:lvl w:ilvl="5" w:tplc="3D28B136">
      <w:numFmt w:val="bullet"/>
      <w:lvlText w:val="•"/>
      <w:lvlJc w:val="left"/>
      <w:pPr>
        <w:ind w:left="2784" w:hanging="272"/>
      </w:pPr>
      <w:rPr>
        <w:rFonts w:hint="default"/>
        <w:lang w:val="en-US" w:eastAsia="en-US" w:bidi="ar-SA"/>
      </w:rPr>
    </w:lvl>
    <w:lvl w:ilvl="6" w:tplc="13726826">
      <w:numFmt w:val="bullet"/>
      <w:lvlText w:val="•"/>
      <w:lvlJc w:val="left"/>
      <w:pPr>
        <w:ind w:left="3245" w:hanging="272"/>
      </w:pPr>
      <w:rPr>
        <w:rFonts w:hint="default"/>
        <w:lang w:val="en-US" w:eastAsia="en-US" w:bidi="ar-SA"/>
      </w:rPr>
    </w:lvl>
    <w:lvl w:ilvl="7" w:tplc="E79280EE">
      <w:numFmt w:val="bullet"/>
      <w:lvlText w:val="•"/>
      <w:lvlJc w:val="left"/>
      <w:pPr>
        <w:ind w:left="3706" w:hanging="272"/>
      </w:pPr>
      <w:rPr>
        <w:rFonts w:hint="default"/>
        <w:lang w:val="en-US" w:eastAsia="en-US" w:bidi="ar-SA"/>
      </w:rPr>
    </w:lvl>
    <w:lvl w:ilvl="8" w:tplc="A710880E">
      <w:numFmt w:val="bullet"/>
      <w:lvlText w:val="•"/>
      <w:lvlJc w:val="left"/>
      <w:pPr>
        <w:ind w:left="4167" w:hanging="272"/>
      </w:pPr>
      <w:rPr>
        <w:rFonts w:hint="default"/>
        <w:lang w:val="en-US" w:eastAsia="en-US" w:bidi="ar-SA"/>
      </w:rPr>
    </w:lvl>
  </w:abstractNum>
  <w:abstractNum w:abstractNumId="3"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2900">
    <w:abstractNumId w:val="5"/>
  </w:num>
  <w:num w:numId="2" w16cid:durableId="177275884">
    <w:abstractNumId w:val="7"/>
  </w:num>
  <w:num w:numId="3" w16cid:durableId="1256865367">
    <w:abstractNumId w:val="8"/>
  </w:num>
  <w:num w:numId="4" w16cid:durableId="1261255442">
    <w:abstractNumId w:val="3"/>
  </w:num>
  <w:num w:numId="5" w16cid:durableId="2115860523">
    <w:abstractNumId w:val="4"/>
  </w:num>
  <w:num w:numId="6" w16cid:durableId="519122462">
    <w:abstractNumId w:val="6"/>
  </w:num>
  <w:num w:numId="7" w16cid:durableId="30572276">
    <w:abstractNumId w:val="9"/>
  </w:num>
  <w:num w:numId="8" w16cid:durableId="360130868">
    <w:abstractNumId w:val="1"/>
  </w:num>
  <w:num w:numId="9" w16cid:durableId="1460032301">
    <w:abstractNumId w:val="0"/>
  </w:num>
  <w:num w:numId="10" w16cid:durableId="125875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435E5"/>
    <w:rsid w:val="0005108C"/>
    <w:rsid w:val="00054839"/>
    <w:rsid w:val="00065861"/>
    <w:rsid w:val="00074014"/>
    <w:rsid w:val="00081E8E"/>
    <w:rsid w:val="00082918"/>
    <w:rsid w:val="000A5F36"/>
    <w:rsid w:val="000B340B"/>
    <w:rsid w:val="000D1502"/>
    <w:rsid w:val="001372CC"/>
    <w:rsid w:val="00137D3D"/>
    <w:rsid w:val="00140D08"/>
    <w:rsid w:val="00147437"/>
    <w:rsid w:val="00157A49"/>
    <w:rsid w:val="001666DA"/>
    <w:rsid w:val="001721D8"/>
    <w:rsid w:val="00183133"/>
    <w:rsid w:val="0018357E"/>
    <w:rsid w:val="001864A9"/>
    <w:rsid w:val="001C1481"/>
    <w:rsid w:val="001C17CD"/>
    <w:rsid w:val="001C51F7"/>
    <w:rsid w:val="001E0E7A"/>
    <w:rsid w:val="001F701D"/>
    <w:rsid w:val="002509E9"/>
    <w:rsid w:val="0027289D"/>
    <w:rsid w:val="002729F6"/>
    <w:rsid w:val="00276F3A"/>
    <w:rsid w:val="00286CBE"/>
    <w:rsid w:val="002C3773"/>
    <w:rsid w:val="002C54C4"/>
    <w:rsid w:val="002C7C67"/>
    <w:rsid w:val="002D390F"/>
    <w:rsid w:val="002D738C"/>
    <w:rsid w:val="003152DA"/>
    <w:rsid w:val="0033053B"/>
    <w:rsid w:val="00360067"/>
    <w:rsid w:val="0036343A"/>
    <w:rsid w:val="0037373E"/>
    <w:rsid w:val="00381A1E"/>
    <w:rsid w:val="00382054"/>
    <w:rsid w:val="003B2B39"/>
    <w:rsid w:val="003B3B03"/>
    <w:rsid w:val="003B6839"/>
    <w:rsid w:val="003F6145"/>
    <w:rsid w:val="00410B13"/>
    <w:rsid w:val="00417EB4"/>
    <w:rsid w:val="0043707B"/>
    <w:rsid w:val="004417DC"/>
    <w:rsid w:val="00447A5F"/>
    <w:rsid w:val="004664D3"/>
    <w:rsid w:val="00492602"/>
    <w:rsid w:val="004A3BAA"/>
    <w:rsid w:val="004A7395"/>
    <w:rsid w:val="004C4924"/>
    <w:rsid w:val="004F5612"/>
    <w:rsid w:val="00516394"/>
    <w:rsid w:val="005314A6"/>
    <w:rsid w:val="005322DF"/>
    <w:rsid w:val="005502E1"/>
    <w:rsid w:val="0056481B"/>
    <w:rsid w:val="00571898"/>
    <w:rsid w:val="00574F07"/>
    <w:rsid w:val="00581E50"/>
    <w:rsid w:val="005842A0"/>
    <w:rsid w:val="005958DD"/>
    <w:rsid w:val="005A57BA"/>
    <w:rsid w:val="00623469"/>
    <w:rsid w:val="00637A67"/>
    <w:rsid w:val="00637DA8"/>
    <w:rsid w:val="006421B9"/>
    <w:rsid w:val="00650095"/>
    <w:rsid w:val="00651CA7"/>
    <w:rsid w:val="00666BCC"/>
    <w:rsid w:val="00674418"/>
    <w:rsid w:val="00674428"/>
    <w:rsid w:val="00686C26"/>
    <w:rsid w:val="00690023"/>
    <w:rsid w:val="0069772F"/>
    <w:rsid w:val="006D3B5F"/>
    <w:rsid w:val="006E0C20"/>
    <w:rsid w:val="006E22A3"/>
    <w:rsid w:val="006F35F9"/>
    <w:rsid w:val="007319D7"/>
    <w:rsid w:val="00731FAF"/>
    <w:rsid w:val="007326EC"/>
    <w:rsid w:val="007426BF"/>
    <w:rsid w:val="00760FDF"/>
    <w:rsid w:val="00770E52"/>
    <w:rsid w:val="007757E7"/>
    <w:rsid w:val="007A41F5"/>
    <w:rsid w:val="007B7425"/>
    <w:rsid w:val="007C290F"/>
    <w:rsid w:val="007C6D14"/>
    <w:rsid w:val="007F5417"/>
    <w:rsid w:val="00812480"/>
    <w:rsid w:val="00821937"/>
    <w:rsid w:val="008403CA"/>
    <w:rsid w:val="0085395A"/>
    <w:rsid w:val="00853F8E"/>
    <w:rsid w:val="00861844"/>
    <w:rsid w:val="00872E7F"/>
    <w:rsid w:val="00880FA9"/>
    <w:rsid w:val="008930F1"/>
    <w:rsid w:val="00893F45"/>
    <w:rsid w:val="008978FF"/>
    <w:rsid w:val="008B348F"/>
    <w:rsid w:val="008C5414"/>
    <w:rsid w:val="008E62B4"/>
    <w:rsid w:val="008F0130"/>
    <w:rsid w:val="008F2307"/>
    <w:rsid w:val="008F2E4C"/>
    <w:rsid w:val="00906EEC"/>
    <w:rsid w:val="009166DF"/>
    <w:rsid w:val="009204C7"/>
    <w:rsid w:val="00922030"/>
    <w:rsid w:val="009405A0"/>
    <w:rsid w:val="00941258"/>
    <w:rsid w:val="00942245"/>
    <w:rsid w:val="00956812"/>
    <w:rsid w:val="009725E5"/>
    <w:rsid w:val="00981567"/>
    <w:rsid w:val="009A0D2D"/>
    <w:rsid w:val="009C3981"/>
    <w:rsid w:val="009C59C0"/>
    <w:rsid w:val="009D4391"/>
    <w:rsid w:val="009D6AAA"/>
    <w:rsid w:val="009F0440"/>
    <w:rsid w:val="00A01DE3"/>
    <w:rsid w:val="00A11371"/>
    <w:rsid w:val="00A120E1"/>
    <w:rsid w:val="00A262A2"/>
    <w:rsid w:val="00A330FD"/>
    <w:rsid w:val="00A343A9"/>
    <w:rsid w:val="00A405B4"/>
    <w:rsid w:val="00A5239C"/>
    <w:rsid w:val="00A650DC"/>
    <w:rsid w:val="00A84255"/>
    <w:rsid w:val="00A87E7D"/>
    <w:rsid w:val="00A91725"/>
    <w:rsid w:val="00AA01E1"/>
    <w:rsid w:val="00AC1AC7"/>
    <w:rsid w:val="00AD18B8"/>
    <w:rsid w:val="00AD4750"/>
    <w:rsid w:val="00AD7369"/>
    <w:rsid w:val="00AE21FC"/>
    <w:rsid w:val="00AF19BA"/>
    <w:rsid w:val="00AF3D5A"/>
    <w:rsid w:val="00B01BAA"/>
    <w:rsid w:val="00B07BD7"/>
    <w:rsid w:val="00B3099B"/>
    <w:rsid w:val="00B54AB5"/>
    <w:rsid w:val="00B77D7C"/>
    <w:rsid w:val="00B92C96"/>
    <w:rsid w:val="00BA68F0"/>
    <w:rsid w:val="00BD08CA"/>
    <w:rsid w:val="00C31421"/>
    <w:rsid w:val="00C33753"/>
    <w:rsid w:val="00C35B94"/>
    <w:rsid w:val="00C63DCC"/>
    <w:rsid w:val="00C671DE"/>
    <w:rsid w:val="00C82FA4"/>
    <w:rsid w:val="00CA0669"/>
    <w:rsid w:val="00CB0030"/>
    <w:rsid w:val="00CB7178"/>
    <w:rsid w:val="00CC3C2D"/>
    <w:rsid w:val="00CC57AC"/>
    <w:rsid w:val="00CC776C"/>
    <w:rsid w:val="00CD2343"/>
    <w:rsid w:val="00CE1E17"/>
    <w:rsid w:val="00D2695E"/>
    <w:rsid w:val="00D4030C"/>
    <w:rsid w:val="00D6183E"/>
    <w:rsid w:val="00D63E59"/>
    <w:rsid w:val="00D81121"/>
    <w:rsid w:val="00D93833"/>
    <w:rsid w:val="00E2145B"/>
    <w:rsid w:val="00E24139"/>
    <w:rsid w:val="00E60ABB"/>
    <w:rsid w:val="00E67713"/>
    <w:rsid w:val="00E92E47"/>
    <w:rsid w:val="00E9576D"/>
    <w:rsid w:val="00EC08AC"/>
    <w:rsid w:val="00EC2856"/>
    <w:rsid w:val="00EF7C8A"/>
    <w:rsid w:val="00F03AE8"/>
    <w:rsid w:val="00F053E2"/>
    <w:rsid w:val="00F25E7F"/>
    <w:rsid w:val="00F76D69"/>
    <w:rsid w:val="00F83574"/>
    <w:rsid w:val="00F85F2A"/>
    <w:rsid w:val="00F906CF"/>
    <w:rsid w:val="00F9387A"/>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BodyText">
    <w:name w:val="Body Text"/>
    <w:basedOn w:val="Normal"/>
    <w:link w:val="BodyTextChar0"/>
    <w:semiHidden/>
    <w:unhideWhenUsed/>
    <w:rsid w:val="00B77D7C"/>
    <w:pPr>
      <w:spacing w:after="120"/>
    </w:pPr>
  </w:style>
  <w:style w:type="character" w:customStyle="1" w:styleId="BodyTextChar0">
    <w:name w:val="Body Text Char"/>
    <w:basedOn w:val="DefaultParagraphFont"/>
    <w:link w:val="BodyText"/>
    <w:semiHidden/>
    <w:rsid w:val="00B77D7C"/>
    <w:rPr>
      <w:sz w:val="24"/>
      <w:szCs w:val="24"/>
    </w:rPr>
  </w:style>
  <w:style w:type="paragraph" w:styleId="Revision">
    <w:name w:val="Revision"/>
    <w:hidden/>
    <w:uiPriority w:val="99"/>
    <w:semiHidden/>
    <w:rsid w:val="001372CC"/>
    <w:rPr>
      <w:sz w:val="24"/>
      <w:szCs w:val="24"/>
    </w:rPr>
  </w:style>
  <w:style w:type="character" w:styleId="UnresolvedMention">
    <w:name w:val="Unresolved Mention"/>
    <w:basedOn w:val="DefaultParagraphFont"/>
    <w:uiPriority w:val="99"/>
    <w:semiHidden/>
    <w:unhideWhenUsed/>
    <w:rsid w:val="00D6183E"/>
    <w:rPr>
      <w:color w:val="605E5C"/>
      <w:shd w:val="clear" w:color="auto" w:fill="E1DFDD"/>
    </w:rPr>
  </w:style>
  <w:style w:type="character" w:styleId="FollowedHyperlink">
    <w:name w:val="FollowedHyperlink"/>
    <w:basedOn w:val="DefaultParagraphFont"/>
    <w:semiHidden/>
    <w:unhideWhenUsed/>
    <w:rsid w:val="00082918"/>
    <w:rPr>
      <w:color w:val="800080" w:themeColor="followedHyperlink"/>
      <w:u w:val="single"/>
    </w:rPr>
  </w:style>
  <w:style w:type="character" w:styleId="CommentReference">
    <w:name w:val="annotation reference"/>
    <w:basedOn w:val="DefaultParagraphFont"/>
    <w:semiHidden/>
    <w:unhideWhenUsed/>
    <w:rsid w:val="003F6145"/>
    <w:rPr>
      <w:sz w:val="16"/>
      <w:szCs w:val="16"/>
    </w:rPr>
  </w:style>
  <w:style w:type="paragraph" w:styleId="CommentText">
    <w:name w:val="annotation text"/>
    <w:basedOn w:val="Normal"/>
    <w:link w:val="CommentTextChar"/>
    <w:unhideWhenUsed/>
    <w:rsid w:val="003F6145"/>
    <w:rPr>
      <w:sz w:val="20"/>
      <w:szCs w:val="20"/>
    </w:rPr>
  </w:style>
  <w:style w:type="character" w:customStyle="1" w:styleId="CommentTextChar">
    <w:name w:val="Comment Text Char"/>
    <w:basedOn w:val="DefaultParagraphFont"/>
    <w:link w:val="CommentText"/>
    <w:rsid w:val="003F6145"/>
  </w:style>
  <w:style w:type="paragraph" w:styleId="CommentSubject">
    <w:name w:val="annotation subject"/>
    <w:basedOn w:val="CommentText"/>
    <w:next w:val="CommentText"/>
    <w:link w:val="CommentSubjectChar"/>
    <w:semiHidden/>
    <w:unhideWhenUsed/>
    <w:rsid w:val="003F6145"/>
    <w:rPr>
      <w:b/>
      <w:bCs/>
    </w:rPr>
  </w:style>
  <w:style w:type="character" w:customStyle="1" w:styleId="CommentSubjectChar">
    <w:name w:val="Comment Subject Char"/>
    <w:basedOn w:val="CommentTextChar"/>
    <w:link w:val="CommentSubject"/>
    <w:semiHidden/>
    <w:rsid w:val="003F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masshealth-pharmacy-program" TargetMode="External"/><Relationship Id="rId2" Type="http://schemas.openxmlformats.org/officeDocument/2006/relationships/customXml" Target="../customXml/item2.xml"/><Relationship Id="rId16" Type="http://schemas.openxmlformats.org/officeDocument/2006/relationships/hyperlink" Target="https://www.mass.gov/doc/naloxone-standing-order-1/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doc/2024-01-naloxone-dispensing-pdf/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2D672D591AC4FA0C691D548520F40" ma:contentTypeVersion="17" ma:contentTypeDescription="Create a new document." ma:contentTypeScope="" ma:versionID="d9ea20ddb36d394f8c0efa50a30b2b05">
  <xsd:schema xmlns:xsd="http://www.w3.org/2001/XMLSchema" xmlns:xs="http://www.w3.org/2001/XMLSchema" xmlns:p="http://schemas.microsoft.com/office/2006/metadata/properties" xmlns:ns3="9daa6cee-1565-4a7b-93dd-c6fd380cec91" xmlns:ns4="92fba599-fb41-453b-918c-6d199132b1f5" targetNamespace="http://schemas.microsoft.com/office/2006/metadata/properties" ma:root="true" ma:fieldsID="ed2750082b59189e7eaab2c329058def" ns3:_="" ns4:_="">
    <xsd:import namespace="9daa6cee-1565-4a7b-93dd-c6fd380cec91"/>
    <xsd:import namespace="92fba599-fb41-453b-918c-6d199132b1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6cee-1565-4a7b-93dd-c6fd380ce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ba599-fb41-453b-918c-6d199132b1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daa6cee-1565-4a7b-93dd-c6fd380cec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0EF23-04EB-4903-8BA1-F4017E1C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a6cee-1565-4a7b-93dd-c6fd380cec91"/>
    <ds:schemaRef ds:uri="92fba599-fb41-453b-918c-6d199132b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customXml/itemProps3.xml><?xml version="1.0" encoding="utf-8"?>
<ds:datastoreItem xmlns:ds="http://schemas.openxmlformats.org/officeDocument/2006/customXml" ds:itemID="{7E974ED3-0325-4EC3-803F-32EA9772AAD5}">
  <ds:schemaRefs>
    <ds:schemaRef ds:uri="http://purl.org/dc/terms/"/>
    <ds:schemaRef ds:uri="http://schemas.microsoft.com/office/2006/metadata/properties"/>
    <ds:schemaRef ds:uri="http://schemas.microsoft.com/office/2006/documentManagement/types"/>
    <ds:schemaRef ds:uri="92fba599-fb41-453b-918c-6d199132b1f5"/>
    <ds:schemaRef ds:uri="http://purl.org/dc/elements/1.1/"/>
    <ds:schemaRef ds:uri="http://purl.org/dc/dcmitype/"/>
    <ds:schemaRef ds:uri="9daa6cee-1565-4a7b-93dd-c6fd380cec9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97BA45-B13E-4971-99A3-8655CF8D5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2024-05-10T16:30:00Z</dcterms:created>
  <dcterms:modified xsi:type="dcterms:W3CDTF">2024-05-10T16:30:00Z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0x010100C152D672D591AC4FA0C691D548520F40</vt:lpwstr>
  </property>
</Properties>
</file>