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A8BE7" w14:textId="194B4051" w:rsidR="007E4380" w:rsidRDefault="007E4380" w:rsidP="007E4380">
      <w:pPr>
        <w:pStyle w:val="Noparagraphstyle"/>
        <w:rPr>
          <w:rFonts w:ascii="Arial Narrow" w:hAnsi="Arial Narrow"/>
          <w:b/>
          <w:sz w:val="20"/>
          <w:szCs w:val="20"/>
        </w:rPr>
      </w:pPr>
      <w:r>
        <w:rPr>
          <w:rFonts w:ascii="Arial Narrow" w:hAnsi="Arial Narrow"/>
          <w:b/>
          <w:sz w:val="20"/>
          <w:szCs w:val="20"/>
        </w:rPr>
        <w:t>Number</w:t>
      </w:r>
      <w:r w:rsidR="00234B21">
        <w:rPr>
          <w:rFonts w:ascii="Arial Narrow" w:hAnsi="Arial Narrow"/>
          <w:b/>
          <w:sz w:val="20"/>
          <w:szCs w:val="20"/>
        </w:rPr>
        <w:t xml:space="preserve"> 229, June 2</w:t>
      </w:r>
      <w:r w:rsidR="00411782">
        <w:rPr>
          <w:rFonts w:ascii="Arial Narrow" w:hAnsi="Arial Narrow"/>
          <w:b/>
          <w:sz w:val="20"/>
          <w:szCs w:val="20"/>
        </w:rPr>
        <w:t>5</w:t>
      </w:r>
      <w:r w:rsidR="00234B21">
        <w:rPr>
          <w:rFonts w:ascii="Arial Narrow" w:hAnsi="Arial Narrow"/>
          <w:b/>
          <w:sz w:val="20"/>
          <w:szCs w:val="20"/>
        </w:rPr>
        <w:t>, 2024</w:t>
      </w:r>
    </w:p>
    <w:p w14:paraId="5B1A8BE8" w14:textId="36508A1C" w:rsidR="006F35F9" w:rsidRDefault="00172862" w:rsidP="00E44D32">
      <w:pPr>
        <w:tabs>
          <w:tab w:val="left" w:pos="10530"/>
        </w:tabs>
        <w:spacing w:after="240"/>
        <w:ind w:left="-144"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4ACF3654" wp14:editId="14062284">
            <wp:extent cx="6753584" cy="1713336"/>
            <wp:effectExtent l="0" t="0" r="0" b="1270"/>
            <wp:docPr id="2062501706" name="Picture 1" descr="MassHealth Pharmacy Program logo; Pharmacy Facts logo; &quot;Pharmacy Facts: Current information for pharmacists about the MassHealth Pharmacy Program; www.mass.gov/masshealth-pharmacy-facts; Editor: Ryan Bettencourt Contributors: Eliza Anderson, Jennifer Banks, Aimee Evers, Neha Kashalikar, Kim Lenz, Mckenzie McVeigh, Natalie Rod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01706" name="Picture 1" descr="MassHealth Pharmacy Program logo; Pharmacy Facts logo; &quot;Pharmacy Facts: Current information for pharmacists about the MassHealth Pharmacy Program; www.mass.gov/masshealth-pharmacy-facts; Editor: Ryan Bettencourt Contributors: Eliza Anderson, Jennifer Banks, Aimee Evers, Neha Kashalikar, Kim Lenz, Mckenzie McVeigh, Natalie Rodenber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73424" cy="1718369"/>
                    </a:xfrm>
                    <a:prstGeom prst="rect">
                      <a:avLst/>
                    </a:prstGeom>
                  </pic:spPr>
                </pic:pic>
              </a:graphicData>
            </a:graphic>
          </wp:inline>
        </w:drawing>
      </w:r>
    </w:p>
    <w:p w14:paraId="725213D1" w14:textId="77777777" w:rsidR="00BC3EB4" w:rsidRPr="00C903F9" w:rsidRDefault="00BC3EB4" w:rsidP="00C903F9">
      <w:pPr>
        <w:pStyle w:val="Heading1"/>
      </w:pPr>
      <w:proofErr w:type="spellStart"/>
      <w:r w:rsidRPr="00C903F9">
        <w:t>MHDL</w:t>
      </w:r>
      <w:proofErr w:type="spellEnd"/>
      <w:r w:rsidRPr="00C903F9">
        <w:t xml:space="preserve"> Update </w:t>
      </w:r>
    </w:p>
    <w:p w14:paraId="51CF2C04" w14:textId="53E67260" w:rsidR="00BC3EB4" w:rsidRPr="00EF7C8A" w:rsidRDefault="00BC3EB4" w:rsidP="00BC3EB4">
      <w:pPr>
        <w:pStyle w:val="BodyText10"/>
        <w:rPr>
          <w:color w:val="auto"/>
          <w:sz w:val="22"/>
          <w:szCs w:val="22"/>
        </w:rPr>
      </w:pPr>
      <w:r w:rsidRPr="00614DE2">
        <w:rPr>
          <w:color w:val="auto"/>
          <w:sz w:val="22"/>
          <w:szCs w:val="22"/>
        </w:rPr>
        <w:t>Below are certain updates to the MassHealth Drug List (</w:t>
      </w:r>
      <w:proofErr w:type="spellStart"/>
      <w:r w:rsidRPr="00614DE2">
        <w:rPr>
          <w:color w:val="auto"/>
          <w:sz w:val="22"/>
          <w:szCs w:val="22"/>
        </w:rPr>
        <w:t>MHDL</w:t>
      </w:r>
      <w:proofErr w:type="spellEnd"/>
      <w:r w:rsidRPr="00614DE2">
        <w:rPr>
          <w:color w:val="auto"/>
          <w:sz w:val="22"/>
          <w:szCs w:val="22"/>
        </w:rPr>
        <w:t xml:space="preserve">). See the </w:t>
      </w:r>
      <w:proofErr w:type="spellStart"/>
      <w:r w:rsidRPr="00614DE2">
        <w:rPr>
          <w:color w:val="auto"/>
          <w:sz w:val="22"/>
          <w:szCs w:val="22"/>
        </w:rPr>
        <w:t>MHDL</w:t>
      </w:r>
      <w:proofErr w:type="spellEnd"/>
      <w:r w:rsidRPr="00614DE2">
        <w:rPr>
          <w:color w:val="auto"/>
          <w:sz w:val="22"/>
          <w:szCs w:val="22"/>
        </w:rPr>
        <w:t xml:space="preserve"> for a complete list of updates</w:t>
      </w:r>
      <w:r w:rsidR="00193FF2">
        <w:rPr>
          <w:color w:val="auto"/>
          <w:sz w:val="22"/>
          <w:szCs w:val="22"/>
        </w:rPr>
        <w:t>.</w:t>
      </w:r>
      <w:r w:rsidRPr="00614DE2">
        <w:rPr>
          <w:color w:val="auto"/>
          <w:sz w:val="22"/>
          <w:szCs w:val="22"/>
        </w:rPr>
        <w:t xml:space="preserve"> </w:t>
      </w:r>
    </w:p>
    <w:p w14:paraId="13D86F4C" w14:textId="77777777" w:rsidR="00BC3EB4" w:rsidRPr="00C903F9" w:rsidRDefault="00BC3EB4" w:rsidP="00C903F9">
      <w:pPr>
        <w:pStyle w:val="Heading2"/>
      </w:pPr>
      <w:r w:rsidRPr="00C903F9">
        <w:t>Additions</w:t>
      </w:r>
    </w:p>
    <w:p w14:paraId="713261EA" w14:textId="77777777" w:rsidR="00BC3EB4" w:rsidRPr="00C671DE" w:rsidRDefault="00BC3EB4" w:rsidP="00BC3EB4">
      <w:pPr>
        <w:pStyle w:val="BodyText10"/>
        <w:rPr>
          <w:color w:val="auto"/>
          <w:sz w:val="22"/>
          <w:szCs w:val="22"/>
          <w:lang w:val="fr-FR"/>
        </w:rPr>
      </w:pPr>
      <w:r w:rsidRPr="00614DE2">
        <w:rPr>
          <w:color w:val="auto"/>
          <w:sz w:val="22"/>
          <w:szCs w:val="22"/>
          <w:lang w:val="fr-FR"/>
        </w:rPr>
        <w:t xml:space="preserve">Effective July 1, 2024, the </w:t>
      </w:r>
      <w:proofErr w:type="spellStart"/>
      <w:r w:rsidRPr="00614DE2">
        <w:rPr>
          <w:color w:val="auto"/>
          <w:sz w:val="22"/>
          <w:szCs w:val="22"/>
          <w:lang w:val="fr-FR"/>
        </w:rPr>
        <w:t>following</w:t>
      </w:r>
      <w:proofErr w:type="spellEnd"/>
      <w:r w:rsidRPr="00614DE2">
        <w:rPr>
          <w:color w:val="auto"/>
          <w:sz w:val="22"/>
          <w:szCs w:val="22"/>
          <w:lang w:val="fr-FR"/>
        </w:rPr>
        <w:t xml:space="preserve"> </w:t>
      </w:r>
      <w:proofErr w:type="spellStart"/>
      <w:r w:rsidRPr="00614DE2">
        <w:rPr>
          <w:color w:val="auto"/>
          <w:sz w:val="22"/>
          <w:szCs w:val="22"/>
          <w:lang w:val="fr-FR"/>
        </w:rPr>
        <w:t>newly</w:t>
      </w:r>
      <w:proofErr w:type="spellEnd"/>
      <w:r w:rsidRPr="00614DE2">
        <w:rPr>
          <w:color w:val="auto"/>
          <w:sz w:val="22"/>
          <w:szCs w:val="22"/>
          <w:lang w:val="fr-FR"/>
        </w:rPr>
        <w:t xml:space="preserve"> </w:t>
      </w:r>
      <w:proofErr w:type="spellStart"/>
      <w:r w:rsidRPr="00614DE2">
        <w:rPr>
          <w:color w:val="auto"/>
          <w:sz w:val="22"/>
          <w:szCs w:val="22"/>
          <w:lang w:val="fr-FR"/>
        </w:rPr>
        <w:t>marketed</w:t>
      </w:r>
      <w:proofErr w:type="spellEnd"/>
      <w:r w:rsidRPr="00614DE2">
        <w:rPr>
          <w:color w:val="auto"/>
          <w:sz w:val="22"/>
          <w:szCs w:val="22"/>
          <w:lang w:val="fr-FR"/>
        </w:rPr>
        <w:t xml:space="preserve"> </w:t>
      </w:r>
      <w:proofErr w:type="spellStart"/>
      <w:r w:rsidRPr="00614DE2">
        <w:rPr>
          <w:color w:val="auto"/>
          <w:sz w:val="22"/>
          <w:szCs w:val="22"/>
          <w:lang w:val="fr-FR"/>
        </w:rPr>
        <w:t>drugs</w:t>
      </w:r>
      <w:proofErr w:type="spellEnd"/>
      <w:r w:rsidRPr="00614DE2">
        <w:rPr>
          <w:color w:val="auto"/>
          <w:sz w:val="22"/>
          <w:szCs w:val="22"/>
          <w:lang w:val="fr-FR"/>
        </w:rPr>
        <w:t xml:space="preserve"> have been </w:t>
      </w:r>
      <w:proofErr w:type="spellStart"/>
      <w:r w:rsidRPr="00614DE2">
        <w:rPr>
          <w:color w:val="auto"/>
          <w:sz w:val="22"/>
          <w:szCs w:val="22"/>
          <w:lang w:val="fr-FR"/>
        </w:rPr>
        <w:t>added</w:t>
      </w:r>
      <w:proofErr w:type="spellEnd"/>
      <w:r w:rsidRPr="00614DE2">
        <w:rPr>
          <w:color w:val="auto"/>
          <w:sz w:val="22"/>
          <w:szCs w:val="22"/>
          <w:lang w:val="fr-FR"/>
        </w:rPr>
        <w:t xml:space="preserve"> to the </w:t>
      </w:r>
      <w:proofErr w:type="spellStart"/>
      <w:r w:rsidRPr="00614DE2">
        <w:rPr>
          <w:color w:val="auto"/>
          <w:sz w:val="22"/>
          <w:szCs w:val="22"/>
          <w:lang w:val="fr-FR"/>
        </w:rPr>
        <w:t>MassHealth</w:t>
      </w:r>
      <w:proofErr w:type="spellEnd"/>
      <w:r w:rsidRPr="00614DE2">
        <w:rPr>
          <w:color w:val="auto"/>
          <w:sz w:val="22"/>
          <w:szCs w:val="22"/>
          <w:lang w:val="fr-FR"/>
        </w:rPr>
        <w:t xml:space="preserve"> Drug List. </w:t>
      </w:r>
    </w:p>
    <w:p w14:paraId="34E34DC3"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r w:rsidRPr="00614DE2">
        <w:rPr>
          <w:rFonts w:ascii="Arial" w:hAnsi="Arial" w:cs="Arial"/>
          <w:sz w:val="22"/>
          <w:szCs w:val="22"/>
        </w:rPr>
        <w:t>adalimumab-</w:t>
      </w:r>
      <w:proofErr w:type="spellStart"/>
      <w:r w:rsidRPr="00614DE2">
        <w:rPr>
          <w:rFonts w:ascii="Arial" w:hAnsi="Arial" w:cs="Arial"/>
          <w:sz w:val="22"/>
          <w:szCs w:val="22"/>
        </w:rPr>
        <w:t>aaty</w:t>
      </w:r>
      <w:proofErr w:type="spellEnd"/>
      <w:r w:rsidRPr="00614DE2">
        <w:rPr>
          <w:rFonts w:ascii="Arial" w:hAnsi="Arial" w:cs="Arial"/>
          <w:sz w:val="22"/>
          <w:szCs w:val="22"/>
        </w:rPr>
        <w:t xml:space="preserve">, unbranded – </w:t>
      </w:r>
      <w:r w:rsidRPr="00193FF2">
        <w:rPr>
          <w:rFonts w:ascii="Arial" w:hAnsi="Arial" w:cs="Arial"/>
          <w:b/>
          <w:bCs/>
          <w:sz w:val="22"/>
          <w:szCs w:val="22"/>
        </w:rPr>
        <w:t>PA</w:t>
      </w:r>
    </w:p>
    <w:p w14:paraId="0F2B0025"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Augtyro</w:t>
      </w:r>
      <w:proofErr w:type="spellEnd"/>
      <w:r w:rsidRPr="00614DE2">
        <w:rPr>
          <w:rFonts w:ascii="Arial" w:hAnsi="Arial" w:cs="Arial"/>
          <w:sz w:val="22"/>
          <w:szCs w:val="22"/>
        </w:rPr>
        <w:t xml:space="preserve"> (</w:t>
      </w:r>
      <w:proofErr w:type="spellStart"/>
      <w:r w:rsidRPr="00614DE2">
        <w:rPr>
          <w:rFonts w:ascii="Arial" w:hAnsi="Arial" w:cs="Arial"/>
          <w:sz w:val="22"/>
          <w:szCs w:val="22"/>
        </w:rPr>
        <w:t>repotrectinib</w:t>
      </w:r>
      <w:proofErr w:type="spellEnd"/>
      <w:r w:rsidRPr="00614DE2">
        <w:rPr>
          <w:rFonts w:ascii="Arial" w:hAnsi="Arial" w:cs="Arial"/>
          <w:sz w:val="22"/>
          <w:szCs w:val="22"/>
        </w:rPr>
        <w:t xml:space="preserve">) – </w:t>
      </w:r>
      <w:r w:rsidRPr="00193FF2">
        <w:rPr>
          <w:rFonts w:ascii="Arial" w:hAnsi="Arial" w:cs="Arial"/>
          <w:b/>
          <w:bCs/>
          <w:sz w:val="22"/>
          <w:szCs w:val="22"/>
        </w:rPr>
        <w:t>PA</w:t>
      </w:r>
    </w:p>
    <w:p w14:paraId="7FB137CC"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Aphexda</w:t>
      </w:r>
      <w:proofErr w:type="spellEnd"/>
      <w:r w:rsidRPr="00614DE2">
        <w:rPr>
          <w:rFonts w:ascii="Arial" w:hAnsi="Arial" w:cs="Arial"/>
          <w:sz w:val="22"/>
          <w:szCs w:val="22"/>
        </w:rPr>
        <w:t xml:space="preserve"> (</w:t>
      </w:r>
      <w:proofErr w:type="spellStart"/>
      <w:r w:rsidRPr="00614DE2">
        <w:rPr>
          <w:rFonts w:ascii="Arial" w:hAnsi="Arial" w:cs="Arial"/>
          <w:sz w:val="22"/>
          <w:szCs w:val="22"/>
        </w:rPr>
        <w:t>motixafortide</w:t>
      </w:r>
      <w:proofErr w:type="spellEnd"/>
      <w:r w:rsidRPr="00614DE2">
        <w:rPr>
          <w:rFonts w:ascii="Arial" w:hAnsi="Arial" w:cs="Arial"/>
          <w:sz w:val="22"/>
          <w:szCs w:val="22"/>
        </w:rPr>
        <w:t xml:space="preserve">) – </w:t>
      </w:r>
      <w:r w:rsidRPr="00193FF2">
        <w:rPr>
          <w:rFonts w:ascii="Arial" w:hAnsi="Arial" w:cs="Arial"/>
          <w:b/>
          <w:bCs/>
          <w:sz w:val="22"/>
          <w:szCs w:val="22"/>
        </w:rPr>
        <w:t>PA</w:t>
      </w:r>
      <w:r w:rsidRPr="00614DE2">
        <w:rPr>
          <w:rFonts w:ascii="Arial" w:hAnsi="Arial" w:cs="Arial"/>
          <w:sz w:val="22"/>
          <w:szCs w:val="22"/>
        </w:rPr>
        <w:t xml:space="preserve">; </w:t>
      </w:r>
      <w:r w:rsidRPr="00190E80">
        <w:rPr>
          <w:rFonts w:ascii="Arial" w:hAnsi="Arial" w:cs="Arial"/>
          <w:sz w:val="22"/>
          <w:szCs w:val="22"/>
        </w:rPr>
        <w:t>MB</w:t>
      </w:r>
    </w:p>
    <w:p w14:paraId="4CB67B54"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Bimzelx</w:t>
      </w:r>
      <w:proofErr w:type="spellEnd"/>
      <w:r w:rsidRPr="00614DE2">
        <w:rPr>
          <w:rFonts w:ascii="Arial" w:hAnsi="Arial" w:cs="Arial"/>
          <w:sz w:val="22"/>
          <w:szCs w:val="22"/>
        </w:rPr>
        <w:t xml:space="preserve"> (</w:t>
      </w:r>
      <w:proofErr w:type="spellStart"/>
      <w:r w:rsidRPr="00614DE2">
        <w:rPr>
          <w:rFonts w:ascii="Arial" w:hAnsi="Arial" w:cs="Arial"/>
          <w:sz w:val="22"/>
          <w:szCs w:val="22"/>
        </w:rPr>
        <w:t>bimekizumab-bkzx</w:t>
      </w:r>
      <w:proofErr w:type="spellEnd"/>
      <w:r w:rsidRPr="00614DE2">
        <w:rPr>
          <w:rFonts w:ascii="Arial" w:hAnsi="Arial" w:cs="Arial"/>
          <w:sz w:val="22"/>
          <w:szCs w:val="22"/>
        </w:rPr>
        <w:t xml:space="preserve">) – </w:t>
      </w:r>
      <w:r w:rsidRPr="00193FF2">
        <w:rPr>
          <w:rFonts w:ascii="Arial" w:hAnsi="Arial" w:cs="Arial"/>
          <w:b/>
          <w:bCs/>
          <w:sz w:val="22"/>
          <w:szCs w:val="22"/>
        </w:rPr>
        <w:t>PA</w:t>
      </w:r>
    </w:p>
    <w:p w14:paraId="0FA626DA"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r w:rsidRPr="00614DE2">
        <w:rPr>
          <w:rFonts w:ascii="Arial" w:hAnsi="Arial" w:cs="Arial"/>
          <w:sz w:val="22"/>
          <w:szCs w:val="22"/>
        </w:rPr>
        <w:t xml:space="preserve">Eylea HD (aflibercept 8 mg); </w:t>
      </w:r>
      <w:r w:rsidRPr="00190E80">
        <w:rPr>
          <w:rFonts w:ascii="Arial" w:hAnsi="Arial" w:cs="Arial"/>
          <w:sz w:val="22"/>
          <w:szCs w:val="22"/>
        </w:rPr>
        <w:t>MB</w:t>
      </w:r>
    </w:p>
    <w:p w14:paraId="742D2ACC"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Jylamvo</w:t>
      </w:r>
      <w:proofErr w:type="spellEnd"/>
      <w:r w:rsidRPr="00614DE2">
        <w:rPr>
          <w:rFonts w:ascii="Arial" w:hAnsi="Arial" w:cs="Arial"/>
          <w:sz w:val="22"/>
          <w:szCs w:val="22"/>
        </w:rPr>
        <w:t xml:space="preserve"> (methotrexate 2 mg/mL oral solution) – </w:t>
      </w:r>
      <w:r w:rsidRPr="00193FF2">
        <w:rPr>
          <w:rFonts w:ascii="Arial" w:hAnsi="Arial" w:cs="Arial"/>
          <w:b/>
          <w:bCs/>
          <w:sz w:val="22"/>
          <w:szCs w:val="22"/>
        </w:rPr>
        <w:t>PA</w:t>
      </w:r>
      <w:r w:rsidRPr="00614DE2">
        <w:rPr>
          <w:rFonts w:ascii="Arial" w:hAnsi="Arial" w:cs="Arial"/>
          <w:sz w:val="22"/>
          <w:szCs w:val="22"/>
        </w:rPr>
        <w:t xml:space="preserve"> </w:t>
      </w:r>
    </w:p>
    <w:p w14:paraId="03CFB765"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Loqtorzi</w:t>
      </w:r>
      <w:proofErr w:type="spellEnd"/>
      <w:r w:rsidRPr="00614DE2">
        <w:rPr>
          <w:rFonts w:ascii="Arial" w:hAnsi="Arial" w:cs="Arial"/>
          <w:sz w:val="22"/>
          <w:szCs w:val="22"/>
        </w:rPr>
        <w:t xml:space="preserve"> (</w:t>
      </w:r>
      <w:proofErr w:type="spellStart"/>
      <w:r w:rsidRPr="00614DE2">
        <w:rPr>
          <w:rFonts w:ascii="Arial" w:hAnsi="Arial" w:cs="Arial"/>
          <w:sz w:val="22"/>
          <w:szCs w:val="22"/>
        </w:rPr>
        <w:t>toripalimab-tpzi</w:t>
      </w:r>
      <w:proofErr w:type="spellEnd"/>
      <w:r w:rsidRPr="00614DE2">
        <w:rPr>
          <w:rFonts w:ascii="Arial" w:hAnsi="Arial" w:cs="Arial"/>
          <w:sz w:val="22"/>
          <w:szCs w:val="22"/>
        </w:rPr>
        <w:t xml:space="preserve">) – </w:t>
      </w:r>
      <w:r w:rsidRPr="00193FF2">
        <w:rPr>
          <w:rFonts w:ascii="Arial" w:hAnsi="Arial" w:cs="Arial"/>
          <w:b/>
          <w:bCs/>
          <w:sz w:val="22"/>
          <w:szCs w:val="22"/>
        </w:rPr>
        <w:t>PA</w:t>
      </w:r>
      <w:r w:rsidRPr="00614DE2">
        <w:rPr>
          <w:rFonts w:ascii="Arial" w:hAnsi="Arial" w:cs="Arial"/>
          <w:sz w:val="22"/>
          <w:szCs w:val="22"/>
        </w:rPr>
        <w:t xml:space="preserve">; </w:t>
      </w:r>
      <w:r w:rsidRPr="00190E80">
        <w:rPr>
          <w:rFonts w:ascii="Arial" w:hAnsi="Arial" w:cs="Arial"/>
          <w:sz w:val="22"/>
          <w:szCs w:val="22"/>
        </w:rPr>
        <w:t>MB</w:t>
      </w:r>
      <w:r w:rsidRPr="00614DE2">
        <w:rPr>
          <w:rFonts w:ascii="Arial" w:hAnsi="Arial" w:cs="Arial"/>
          <w:sz w:val="22"/>
          <w:szCs w:val="22"/>
        </w:rPr>
        <w:t xml:space="preserve"> </w:t>
      </w:r>
    </w:p>
    <w:p w14:paraId="52BB44BA"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Lyfgenia</w:t>
      </w:r>
      <w:proofErr w:type="spellEnd"/>
      <w:r w:rsidRPr="00614DE2">
        <w:rPr>
          <w:rFonts w:ascii="Arial" w:hAnsi="Arial" w:cs="Arial"/>
          <w:sz w:val="22"/>
          <w:szCs w:val="22"/>
        </w:rPr>
        <w:t xml:space="preserve"> (</w:t>
      </w:r>
      <w:proofErr w:type="spellStart"/>
      <w:r w:rsidRPr="00614DE2">
        <w:rPr>
          <w:rFonts w:ascii="Arial" w:hAnsi="Arial" w:cs="Arial"/>
          <w:sz w:val="22"/>
          <w:szCs w:val="22"/>
        </w:rPr>
        <w:t>lovotibeglogene</w:t>
      </w:r>
      <w:proofErr w:type="spellEnd"/>
      <w:r w:rsidRPr="00614DE2">
        <w:rPr>
          <w:rFonts w:ascii="Arial" w:hAnsi="Arial" w:cs="Arial"/>
          <w:sz w:val="22"/>
          <w:szCs w:val="22"/>
        </w:rPr>
        <w:t xml:space="preserve"> </w:t>
      </w:r>
      <w:proofErr w:type="spellStart"/>
      <w:r w:rsidRPr="00614DE2">
        <w:rPr>
          <w:rFonts w:ascii="Arial" w:hAnsi="Arial" w:cs="Arial"/>
          <w:sz w:val="22"/>
          <w:szCs w:val="22"/>
        </w:rPr>
        <w:t>autotemcel</w:t>
      </w:r>
      <w:proofErr w:type="spellEnd"/>
      <w:r w:rsidRPr="00614DE2">
        <w:rPr>
          <w:rFonts w:ascii="Arial" w:hAnsi="Arial" w:cs="Arial"/>
          <w:sz w:val="22"/>
          <w:szCs w:val="22"/>
        </w:rPr>
        <w:t xml:space="preserve">) – </w:t>
      </w:r>
      <w:r w:rsidRPr="00193FF2">
        <w:rPr>
          <w:rFonts w:ascii="Arial" w:hAnsi="Arial" w:cs="Arial"/>
          <w:b/>
          <w:bCs/>
          <w:sz w:val="22"/>
          <w:szCs w:val="22"/>
        </w:rPr>
        <w:t>PA</w:t>
      </w:r>
      <w:r w:rsidRPr="00614DE2">
        <w:rPr>
          <w:rFonts w:ascii="Arial" w:hAnsi="Arial" w:cs="Arial"/>
          <w:sz w:val="22"/>
          <w:szCs w:val="22"/>
        </w:rPr>
        <w:t xml:space="preserve">; CO, </w:t>
      </w:r>
      <w:r w:rsidRPr="00190E80">
        <w:rPr>
          <w:rFonts w:ascii="Arial" w:hAnsi="Arial" w:cs="Arial"/>
          <w:sz w:val="22"/>
          <w:szCs w:val="22"/>
        </w:rPr>
        <w:t>MB</w:t>
      </w:r>
    </w:p>
    <w:p w14:paraId="754885C2"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Ojjaara</w:t>
      </w:r>
      <w:proofErr w:type="spellEnd"/>
      <w:r w:rsidRPr="00614DE2">
        <w:rPr>
          <w:rFonts w:ascii="Arial" w:hAnsi="Arial" w:cs="Arial"/>
          <w:sz w:val="22"/>
          <w:szCs w:val="22"/>
        </w:rPr>
        <w:t xml:space="preserve"> (</w:t>
      </w:r>
      <w:proofErr w:type="spellStart"/>
      <w:r w:rsidRPr="00614DE2">
        <w:rPr>
          <w:rFonts w:ascii="Arial" w:hAnsi="Arial" w:cs="Arial"/>
          <w:sz w:val="22"/>
          <w:szCs w:val="22"/>
        </w:rPr>
        <w:t>momelotinib</w:t>
      </w:r>
      <w:proofErr w:type="spellEnd"/>
      <w:r w:rsidRPr="00614DE2">
        <w:rPr>
          <w:rFonts w:ascii="Arial" w:hAnsi="Arial" w:cs="Arial"/>
          <w:sz w:val="22"/>
          <w:szCs w:val="22"/>
        </w:rPr>
        <w:t xml:space="preserve">) – </w:t>
      </w:r>
      <w:r w:rsidRPr="00193FF2">
        <w:rPr>
          <w:rFonts w:ascii="Arial" w:hAnsi="Arial" w:cs="Arial"/>
          <w:b/>
          <w:bCs/>
          <w:sz w:val="22"/>
          <w:szCs w:val="22"/>
        </w:rPr>
        <w:t>PA</w:t>
      </w:r>
    </w:p>
    <w:p w14:paraId="7A405CC8"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Opfolda</w:t>
      </w:r>
      <w:proofErr w:type="spellEnd"/>
      <w:r w:rsidRPr="00614DE2">
        <w:rPr>
          <w:rFonts w:ascii="Arial" w:hAnsi="Arial" w:cs="Arial"/>
          <w:sz w:val="22"/>
          <w:szCs w:val="22"/>
        </w:rPr>
        <w:t xml:space="preserve"> (</w:t>
      </w:r>
      <w:proofErr w:type="spellStart"/>
      <w:r w:rsidRPr="00614DE2">
        <w:rPr>
          <w:rFonts w:ascii="Arial" w:hAnsi="Arial" w:cs="Arial"/>
          <w:sz w:val="22"/>
          <w:szCs w:val="22"/>
        </w:rPr>
        <w:t>miglustat</w:t>
      </w:r>
      <w:proofErr w:type="spellEnd"/>
      <w:r w:rsidRPr="00614DE2">
        <w:rPr>
          <w:rFonts w:ascii="Arial" w:hAnsi="Arial" w:cs="Arial"/>
          <w:sz w:val="22"/>
          <w:szCs w:val="22"/>
        </w:rPr>
        <w:t xml:space="preserve"> 65 mg) – </w:t>
      </w:r>
      <w:r w:rsidRPr="00193FF2">
        <w:rPr>
          <w:rFonts w:ascii="Arial" w:hAnsi="Arial" w:cs="Arial"/>
          <w:b/>
          <w:bCs/>
          <w:sz w:val="22"/>
          <w:szCs w:val="22"/>
        </w:rPr>
        <w:t>PA</w:t>
      </w:r>
    </w:p>
    <w:p w14:paraId="123467DC"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Pombiliti</w:t>
      </w:r>
      <w:proofErr w:type="spellEnd"/>
      <w:r w:rsidRPr="00614DE2">
        <w:rPr>
          <w:rFonts w:ascii="Arial" w:hAnsi="Arial" w:cs="Arial"/>
          <w:sz w:val="22"/>
          <w:szCs w:val="22"/>
        </w:rPr>
        <w:t xml:space="preserve"> (</w:t>
      </w:r>
      <w:proofErr w:type="spellStart"/>
      <w:r w:rsidRPr="00614DE2">
        <w:rPr>
          <w:rFonts w:ascii="Arial" w:hAnsi="Arial" w:cs="Arial"/>
          <w:sz w:val="22"/>
          <w:szCs w:val="22"/>
        </w:rPr>
        <w:t>cipaglucosidase</w:t>
      </w:r>
      <w:proofErr w:type="spellEnd"/>
      <w:r w:rsidRPr="00614DE2">
        <w:rPr>
          <w:rFonts w:ascii="Arial" w:hAnsi="Arial" w:cs="Arial"/>
          <w:sz w:val="22"/>
          <w:szCs w:val="22"/>
        </w:rPr>
        <w:t xml:space="preserve"> alfa-</w:t>
      </w:r>
      <w:proofErr w:type="spellStart"/>
      <w:r w:rsidRPr="00614DE2">
        <w:rPr>
          <w:rFonts w:ascii="Arial" w:hAnsi="Arial" w:cs="Arial"/>
          <w:sz w:val="22"/>
          <w:szCs w:val="22"/>
        </w:rPr>
        <w:t>atga</w:t>
      </w:r>
      <w:proofErr w:type="spellEnd"/>
      <w:r w:rsidRPr="00614DE2">
        <w:rPr>
          <w:rFonts w:ascii="Arial" w:hAnsi="Arial" w:cs="Arial"/>
          <w:sz w:val="22"/>
          <w:szCs w:val="22"/>
        </w:rPr>
        <w:t xml:space="preserve">) – </w:t>
      </w:r>
      <w:r w:rsidRPr="00193FF2">
        <w:rPr>
          <w:rFonts w:ascii="Arial" w:hAnsi="Arial" w:cs="Arial"/>
          <w:b/>
          <w:bCs/>
          <w:sz w:val="22"/>
          <w:szCs w:val="22"/>
        </w:rPr>
        <w:t>PA</w:t>
      </w:r>
      <w:r w:rsidRPr="00614DE2">
        <w:rPr>
          <w:rFonts w:ascii="Arial" w:hAnsi="Arial" w:cs="Arial"/>
          <w:sz w:val="22"/>
          <w:szCs w:val="22"/>
        </w:rPr>
        <w:t xml:space="preserve">; </w:t>
      </w:r>
      <w:r w:rsidRPr="00190E80">
        <w:rPr>
          <w:rFonts w:ascii="Arial" w:hAnsi="Arial" w:cs="Arial"/>
          <w:sz w:val="22"/>
          <w:szCs w:val="22"/>
        </w:rPr>
        <w:t>MB</w:t>
      </w:r>
      <w:r w:rsidRPr="00614DE2">
        <w:rPr>
          <w:rFonts w:ascii="Arial" w:hAnsi="Arial" w:cs="Arial"/>
          <w:sz w:val="22"/>
          <w:szCs w:val="22"/>
        </w:rPr>
        <w:t xml:space="preserve"> </w:t>
      </w:r>
    </w:p>
    <w:p w14:paraId="7F81187E"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Truqap</w:t>
      </w:r>
      <w:proofErr w:type="spellEnd"/>
      <w:r w:rsidRPr="00614DE2">
        <w:rPr>
          <w:rFonts w:ascii="Arial" w:hAnsi="Arial" w:cs="Arial"/>
          <w:sz w:val="22"/>
          <w:szCs w:val="22"/>
        </w:rPr>
        <w:t xml:space="preserve"> (</w:t>
      </w:r>
      <w:proofErr w:type="spellStart"/>
      <w:r w:rsidRPr="00614DE2">
        <w:rPr>
          <w:rFonts w:ascii="Arial" w:hAnsi="Arial" w:cs="Arial"/>
          <w:sz w:val="22"/>
          <w:szCs w:val="22"/>
        </w:rPr>
        <w:t>capivasertib</w:t>
      </w:r>
      <w:proofErr w:type="spellEnd"/>
      <w:r w:rsidRPr="00614DE2">
        <w:rPr>
          <w:rFonts w:ascii="Arial" w:hAnsi="Arial" w:cs="Arial"/>
          <w:sz w:val="22"/>
          <w:szCs w:val="22"/>
        </w:rPr>
        <w:t xml:space="preserve">) – </w:t>
      </w:r>
      <w:r w:rsidRPr="00193FF2">
        <w:rPr>
          <w:rFonts w:ascii="Arial" w:hAnsi="Arial" w:cs="Arial"/>
          <w:b/>
          <w:bCs/>
          <w:sz w:val="22"/>
          <w:szCs w:val="22"/>
        </w:rPr>
        <w:t>PA</w:t>
      </w:r>
    </w:p>
    <w:p w14:paraId="1695951C"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Velsipity</w:t>
      </w:r>
      <w:proofErr w:type="spellEnd"/>
      <w:r w:rsidRPr="00614DE2">
        <w:rPr>
          <w:rFonts w:ascii="Arial" w:hAnsi="Arial" w:cs="Arial"/>
          <w:sz w:val="22"/>
          <w:szCs w:val="22"/>
        </w:rPr>
        <w:t xml:space="preserve"> (</w:t>
      </w:r>
      <w:proofErr w:type="spellStart"/>
      <w:r w:rsidRPr="00614DE2">
        <w:rPr>
          <w:rFonts w:ascii="Arial" w:hAnsi="Arial" w:cs="Arial"/>
          <w:sz w:val="22"/>
          <w:szCs w:val="22"/>
        </w:rPr>
        <w:t>etrasimod</w:t>
      </w:r>
      <w:proofErr w:type="spellEnd"/>
      <w:r w:rsidRPr="00614DE2">
        <w:rPr>
          <w:rFonts w:ascii="Arial" w:hAnsi="Arial" w:cs="Arial"/>
          <w:sz w:val="22"/>
          <w:szCs w:val="22"/>
        </w:rPr>
        <w:t xml:space="preserve">) – </w:t>
      </w:r>
      <w:r w:rsidRPr="00193FF2">
        <w:rPr>
          <w:rFonts w:ascii="Arial" w:hAnsi="Arial" w:cs="Arial"/>
          <w:b/>
          <w:bCs/>
          <w:sz w:val="22"/>
          <w:szCs w:val="22"/>
        </w:rPr>
        <w:t>PA</w:t>
      </w:r>
    </w:p>
    <w:p w14:paraId="0386060D"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Wainua</w:t>
      </w:r>
      <w:proofErr w:type="spellEnd"/>
      <w:r w:rsidRPr="00614DE2">
        <w:rPr>
          <w:rFonts w:ascii="Arial" w:hAnsi="Arial" w:cs="Arial"/>
          <w:sz w:val="22"/>
          <w:szCs w:val="22"/>
        </w:rPr>
        <w:t xml:space="preserve"> (</w:t>
      </w:r>
      <w:proofErr w:type="spellStart"/>
      <w:r w:rsidRPr="00614DE2">
        <w:rPr>
          <w:rFonts w:ascii="Arial" w:hAnsi="Arial" w:cs="Arial"/>
          <w:sz w:val="22"/>
          <w:szCs w:val="22"/>
        </w:rPr>
        <w:t>eplontersen</w:t>
      </w:r>
      <w:proofErr w:type="spellEnd"/>
      <w:r w:rsidRPr="00614DE2">
        <w:rPr>
          <w:rFonts w:ascii="Arial" w:hAnsi="Arial" w:cs="Arial"/>
          <w:sz w:val="22"/>
          <w:szCs w:val="22"/>
        </w:rPr>
        <w:t xml:space="preserve">) – </w:t>
      </w:r>
      <w:r w:rsidRPr="00193FF2">
        <w:rPr>
          <w:rFonts w:ascii="Arial" w:hAnsi="Arial" w:cs="Arial"/>
          <w:b/>
          <w:bCs/>
          <w:sz w:val="22"/>
          <w:szCs w:val="22"/>
        </w:rPr>
        <w:t>PA</w:t>
      </w:r>
    </w:p>
    <w:p w14:paraId="47A2E103"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Xphozah</w:t>
      </w:r>
      <w:proofErr w:type="spellEnd"/>
      <w:r w:rsidRPr="00614DE2">
        <w:rPr>
          <w:rFonts w:ascii="Arial" w:hAnsi="Arial" w:cs="Arial"/>
          <w:sz w:val="22"/>
          <w:szCs w:val="22"/>
        </w:rPr>
        <w:t xml:space="preserve"> (</w:t>
      </w:r>
      <w:proofErr w:type="spellStart"/>
      <w:r w:rsidRPr="00614DE2">
        <w:rPr>
          <w:rFonts w:ascii="Arial" w:hAnsi="Arial" w:cs="Arial"/>
          <w:sz w:val="22"/>
          <w:szCs w:val="22"/>
        </w:rPr>
        <w:t>tenapanor</w:t>
      </w:r>
      <w:proofErr w:type="spellEnd"/>
      <w:r w:rsidRPr="00614DE2">
        <w:rPr>
          <w:rFonts w:ascii="Arial" w:hAnsi="Arial" w:cs="Arial"/>
          <w:sz w:val="22"/>
          <w:szCs w:val="22"/>
        </w:rPr>
        <w:t xml:space="preserve"> 20 mg, 30 mg tablet) – </w:t>
      </w:r>
      <w:r w:rsidRPr="00193FF2">
        <w:rPr>
          <w:rFonts w:ascii="Arial" w:hAnsi="Arial" w:cs="Arial"/>
          <w:b/>
          <w:bCs/>
          <w:sz w:val="22"/>
          <w:szCs w:val="22"/>
        </w:rPr>
        <w:t>PA</w:t>
      </w:r>
      <w:r w:rsidRPr="00614DE2">
        <w:rPr>
          <w:rFonts w:ascii="Arial" w:hAnsi="Arial" w:cs="Arial"/>
          <w:sz w:val="22"/>
          <w:szCs w:val="22"/>
        </w:rPr>
        <w:t xml:space="preserve"> </w:t>
      </w:r>
    </w:p>
    <w:p w14:paraId="4E9F0415"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Zituvio</w:t>
      </w:r>
      <w:proofErr w:type="spellEnd"/>
      <w:r w:rsidRPr="00614DE2">
        <w:rPr>
          <w:rFonts w:ascii="Arial" w:hAnsi="Arial" w:cs="Arial"/>
          <w:sz w:val="22"/>
          <w:szCs w:val="22"/>
        </w:rPr>
        <w:t xml:space="preserve"> (sitagliptin) – </w:t>
      </w:r>
      <w:r w:rsidRPr="00193FF2">
        <w:rPr>
          <w:rFonts w:ascii="Arial" w:hAnsi="Arial" w:cs="Arial"/>
          <w:b/>
          <w:bCs/>
          <w:sz w:val="22"/>
          <w:szCs w:val="22"/>
        </w:rPr>
        <w:t>PA</w:t>
      </w:r>
      <w:r w:rsidRPr="00614DE2">
        <w:rPr>
          <w:rFonts w:ascii="Arial" w:hAnsi="Arial" w:cs="Arial"/>
          <w:sz w:val="22"/>
          <w:szCs w:val="22"/>
        </w:rPr>
        <w:t xml:space="preserve">; </w:t>
      </w:r>
      <w:proofErr w:type="spellStart"/>
      <w:r w:rsidRPr="00614DE2">
        <w:rPr>
          <w:rFonts w:ascii="Arial" w:hAnsi="Arial" w:cs="Arial"/>
          <w:sz w:val="22"/>
          <w:szCs w:val="22"/>
        </w:rPr>
        <w:t>M90</w:t>
      </w:r>
      <w:proofErr w:type="spellEnd"/>
    </w:p>
    <w:p w14:paraId="456C8B38" w14:textId="77777777" w:rsidR="00BC3EB4" w:rsidRPr="00614DE2"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614DE2">
        <w:rPr>
          <w:rFonts w:ascii="Arial" w:hAnsi="Arial" w:cs="Arial"/>
          <w:sz w:val="22"/>
          <w:szCs w:val="22"/>
        </w:rPr>
        <w:t>Zoryve</w:t>
      </w:r>
      <w:proofErr w:type="spellEnd"/>
      <w:r w:rsidRPr="00614DE2">
        <w:rPr>
          <w:rFonts w:ascii="Arial" w:hAnsi="Arial" w:cs="Arial"/>
          <w:sz w:val="22"/>
          <w:szCs w:val="22"/>
        </w:rPr>
        <w:t xml:space="preserve"> (roflumilast foam) – </w:t>
      </w:r>
      <w:r w:rsidRPr="00193FF2">
        <w:rPr>
          <w:rFonts w:ascii="Arial" w:hAnsi="Arial" w:cs="Arial"/>
          <w:b/>
          <w:bCs/>
          <w:sz w:val="22"/>
          <w:szCs w:val="22"/>
        </w:rPr>
        <w:t>PA</w:t>
      </w:r>
      <w:r w:rsidRPr="00614DE2">
        <w:rPr>
          <w:rFonts w:ascii="Arial" w:hAnsi="Arial" w:cs="Arial"/>
          <w:sz w:val="22"/>
          <w:szCs w:val="22"/>
        </w:rPr>
        <w:t xml:space="preserve"> </w:t>
      </w:r>
    </w:p>
    <w:p w14:paraId="74F3ED6E" w14:textId="77777777" w:rsidR="00BC3EB4" w:rsidRPr="00C903F9" w:rsidRDefault="00BC3EB4" w:rsidP="00C903F9">
      <w:pPr>
        <w:pStyle w:val="Heading2"/>
      </w:pPr>
      <w:r w:rsidRPr="00C903F9">
        <w:t>Change in Prior-Authorization Status</w:t>
      </w:r>
    </w:p>
    <w:p w14:paraId="4CE88D5F" w14:textId="3B852661" w:rsidR="00BC3EB4" w:rsidRPr="00614DE2" w:rsidRDefault="00BC3EB4" w:rsidP="005F003E">
      <w:pPr>
        <w:pStyle w:val="ListParagraph"/>
        <w:numPr>
          <w:ilvl w:val="0"/>
          <w:numId w:val="26"/>
        </w:numPr>
        <w:autoSpaceDE w:val="0"/>
        <w:autoSpaceDN w:val="0"/>
        <w:adjustRightInd w:val="0"/>
        <w:spacing w:line="276" w:lineRule="auto"/>
        <w:contextualSpacing/>
        <w:outlineLvl w:val="0"/>
        <w:rPr>
          <w:rFonts w:ascii="Arial" w:hAnsi="Arial" w:cs="Arial"/>
          <w:sz w:val="22"/>
          <w:szCs w:val="22"/>
        </w:rPr>
      </w:pPr>
      <w:r w:rsidRPr="00614DE2">
        <w:rPr>
          <w:rFonts w:ascii="Arial" w:hAnsi="Arial" w:cs="Arial"/>
          <w:sz w:val="22"/>
          <w:szCs w:val="22"/>
        </w:rPr>
        <w:t xml:space="preserve">Effective July 1, 2024, the following antiviral agent will require </w:t>
      </w:r>
      <w:r w:rsidR="00193FF2">
        <w:rPr>
          <w:rFonts w:ascii="Arial" w:hAnsi="Arial" w:cs="Arial"/>
          <w:sz w:val="22"/>
          <w:szCs w:val="22"/>
        </w:rPr>
        <w:t>prior authorization (</w:t>
      </w:r>
      <w:r w:rsidRPr="00614DE2">
        <w:rPr>
          <w:rFonts w:ascii="Arial" w:hAnsi="Arial" w:cs="Arial"/>
          <w:sz w:val="22"/>
          <w:szCs w:val="22"/>
        </w:rPr>
        <w:t>PA</w:t>
      </w:r>
      <w:r w:rsidR="00193FF2">
        <w:rPr>
          <w:rFonts w:ascii="Arial" w:hAnsi="Arial" w:cs="Arial"/>
          <w:sz w:val="22"/>
          <w:szCs w:val="22"/>
        </w:rPr>
        <w:t>)</w:t>
      </w:r>
      <w:r w:rsidRPr="00614DE2">
        <w:rPr>
          <w:rFonts w:ascii="Arial" w:hAnsi="Arial" w:cs="Arial"/>
          <w:sz w:val="22"/>
          <w:szCs w:val="22"/>
        </w:rPr>
        <w:t xml:space="preserve">. </w:t>
      </w:r>
    </w:p>
    <w:p w14:paraId="10844B75"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614DE2">
        <w:rPr>
          <w:rFonts w:ascii="Arial" w:hAnsi="Arial" w:cs="Arial"/>
          <w:sz w:val="22"/>
          <w:szCs w:val="22"/>
        </w:rPr>
        <w:t>Valcyte</w:t>
      </w:r>
      <w:proofErr w:type="spellEnd"/>
      <w:r w:rsidRPr="00614DE2">
        <w:rPr>
          <w:rFonts w:ascii="Arial" w:hAnsi="Arial" w:cs="Arial"/>
          <w:sz w:val="22"/>
          <w:szCs w:val="22"/>
        </w:rPr>
        <w:t xml:space="preserve"> (valganciclovir powder for oral solution) – </w:t>
      </w:r>
      <w:r w:rsidRPr="00193FF2">
        <w:rPr>
          <w:rFonts w:ascii="Arial" w:hAnsi="Arial" w:cs="Arial"/>
          <w:b/>
          <w:bCs/>
          <w:sz w:val="22"/>
          <w:szCs w:val="22"/>
        </w:rPr>
        <w:t>PA</w:t>
      </w:r>
      <w:r w:rsidRPr="00614DE2">
        <w:rPr>
          <w:rFonts w:ascii="Arial" w:hAnsi="Arial" w:cs="Arial"/>
          <w:sz w:val="22"/>
          <w:szCs w:val="22"/>
        </w:rPr>
        <w:t xml:space="preserve">; BP; </w:t>
      </w:r>
      <w:proofErr w:type="spellStart"/>
      <w:r w:rsidRPr="00614DE2">
        <w:rPr>
          <w:rFonts w:ascii="Arial" w:hAnsi="Arial" w:cs="Arial"/>
          <w:sz w:val="22"/>
          <w:szCs w:val="22"/>
        </w:rPr>
        <w:t>A90</w:t>
      </w:r>
      <w:proofErr w:type="spellEnd"/>
    </w:p>
    <w:p w14:paraId="0C24CA3A" w14:textId="77777777" w:rsidR="00BC3EB4" w:rsidRPr="00614DE2" w:rsidRDefault="00BC3EB4" w:rsidP="005F003E">
      <w:pPr>
        <w:pStyle w:val="ListParagraph"/>
        <w:numPr>
          <w:ilvl w:val="0"/>
          <w:numId w:val="26"/>
        </w:numPr>
        <w:autoSpaceDE w:val="0"/>
        <w:autoSpaceDN w:val="0"/>
        <w:adjustRightInd w:val="0"/>
        <w:spacing w:line="276" w:lineRule="auto"/>
        <w:contextualSpacing/>
        <w:outlineLvl w:val="0"/>
        <w:rPr>
          <w:rFonts w:ascii="Arial" w:hAnsi="Arial" w:cs="Arial"/>
          <w:sz w:val="22"/>
          <w:szCs w:val="22"/>
        </w:rPr>
      </w:pPr>
      <w:r w:rsidRPr="00614DE2">
        <w:rPr>
          <w:rFonts w:ascii="Arial" w:hAnsi="Arial" w:cs="Arial"/>
          <w:sz w:val="22"/>
          <w:szCs w:val="22"/>
        </w:rPr>
        <w:t>Effective July 1, 2024, the following antiviral agent will no longer require PA.</w:t>
      </w:r>
    </w:p>
    <w:p w14:paraId="7A6ECDD0"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614DE2">
        <w:rPr>
          <w:rFonts w:ascii="Arial" w:hAnsi="Arial" w:cs="Arial"/>
          <w:sz w:val="22"/>
          <w:szCs w:val="22"/>
        </w:rPr>
        <w:t>Denavir</w:t>
      </w:r>
      <w:proofErr w:type="spellEnd"/>
      <w:r w:rsidRPr="00614DE2">
        <w:rPr>
          <w:rFonts w:ascii="Arial" w:hAnsi="Arial" w:cs="Arial"/>
          <w:sz w:val="22"/>
          <w:szCs w:val="22"/>
        </w:rPr>
        <w:t xml:space="preserve"> (penciclovir); BP</w:t>
      </w:r>
    </w:p>
    <w:p w14:paraId="07DA8DFE" w14:textId="77777777" w:rsidR="00BC3EB4" w:rsidRPr="00614DE2" w:rsidRDefault="00BC3EB4" w:rsidP="00BC3EB4">
      <w:pPr>
        <w:autoSpaceDE w:val="0"/>
        <w:autoSpaceDN w:val="0"/>
        <w:adjustRightInd w:val="0"/>
        <w:spacing w:line="276" w:lineRule="auto"/>
        <w:ind w:left="1080"/>
        <w:rPr>
          <w:rFonts w:ascii="Arial" w:hAnsi="Arial" w:cs="Arial"/>
          <w:sz w:val="22"/>
          <w:szCs w:val="22"/>
        </w:rPr>
      </w:pPr>
    </w:p>
    <w:p w14:paraId="6685EC43" w14:textId="77777777" w:rsidR="00BC3EB4" w:rsidRPr="00614DE2" w:rsidRDefault="00BC3EB4" w:rsidP="005F003E">
      <w:pPr>
        <w:pStyle w:val="ListParagraph"/>
        <w:numPr>
          <w:ilvl w:val="0"/>
          <w:numId w:val="26"/>
        </w:numPr>
        <w:autoSpaceDE w:val="0"/>
        <w:autoSpaceDN w:val="0"/>
        <w:adjustRightInd w:val="0"/>
        <w:spacing w:line="276" w:lineRule="auto"/>
        <w:contextualSpacing/>
        <w:outlineLvl w:val="0"/>
        <w:rPr>
          <w:rFonts w:ascii="Arial" w:hAnsi="Arial" w:cs="Arial"/>
          <w:sz w:val="22"/>
          <w:szCs w:val="22"/>
        </w:rPr>
      </w:pPr>
      <w:r w:rsidRPr="00614DE2">
        <w:rPr>
          <w:rFonts w:ascii="Arial" w:hAnsi="Arial" w:cs="Arial"/>
          <w:sz w:val="22"/>
          <w:szCs w:val="22"/>
        </w:rPr>
        <w:t>Effective July 1, 2024, the following gastrointestinal anti-inflammatory agents will require PA.</w:t>
      </w:r>
    </w:p>
    <w:p w14:paraId="3AC5BFE0" w14:textId="77777777" w:rsidR="00BC3EB4" w:rsidRPr="00614DE2"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614DE2">
        <w:rPr>
          <w:rFonts w:ascii="Arial" w:hAnsi="Arial" w:cs="Arial"/>
          <w:sz w:val="22"/>
          <w:szCs w:val="22"/>
        </w:rPr>
        <w:t>Delzicol</w:t>
      </w:r>
      <w:proofErr w:type="spellEnd"/>
      <w:r w:rsidRPr="00614DE2">
        <w:rPr>
          <w:rFonts w:ascii="Arial" w:hAnsi="Arial" w:cs="Arial"/>
          <w:sz w:val="22"/>
          <w:szCs w:val="22"/>
        </w:rPr>
        <w:t xml:space="preserve"> DR (mesalamine 400 mg delayed-release capsule) – </w:t>
      </w:r>
      <w:r w:rsidRPr="00193FF2">
        <w:rPr>
          <w:rFonts w:ascii="Arial" w:hAnsi="Arial" w:cs="Arial"/>
          <w:b/>
          <w:bCs/>
          <w:sz w:val="22"/>
          <w:szCs w:val="22"/>
        </w:rPr>
        <w:t>PA</w:t>
      </w:r>
      <w:r w:rsidRPr="00614DE2">
        <w:rPr>
          <w:rFonts w:ascii="Arial" w:hAnsi="Arial" w:cs="Arial"/>
          <w:sz w:val="22"/>
          <w:szCs w:val="22"/>
        </w:rPr>
        <w:t xml:space="preserve">; </w:t>
      </w:r>
      <w:proofErr w:type="spellStart"/>
      <w:r w:rsidRPr="00614DE2">
        <w:rPr>
          <w:rFonts w:ascii="Arial" w:hAnsi="Arial" w:cs="Arial"/>
          <w:sz w:val="22"/>
          <w:szCs w:val="22"/>
        </w:rPr>
        <w:t>A90</w:t>
      </w:r>
      <w:proofErr w:type="spellEnd"/>
    </w:p>
    <w:p w14:paraId="4F5EBFAD"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614DE2">
        <w:rPr>
          <w:rFonts w:ascii="Arial" w:hAnsi="Arial" w:cs="Arial"/>
          <w:sz w:val="22"/>
          <w:szCs w:val="22"/>
        </w:rPr>
        <w:t xml:space="preserve">mesalamine 800 mg delayed-release tablet – </w:t>
      </w:r>
      <w:r w:rsidRPr="00193FF2">
        <w:rPr>
          <w:rFonts w:ascii="Arial" w:hAnsi="Arial" w:cs="Arial"/>
          <w:b/>
          <w:bCs/>
          <w:sz w:val="22"/>
          <w:szCs w:val="22"/>
        </w:rPr>
        <w:t>PA</w:t>
      </w:r>
      <w:r w:rsidRPr="00614DE2">
        <w:rPr>
          <w:rFonts w:ascii="Arial" w:hAnsi="Arial" w:cs="Arial"/>
          <w:sz w:val="22"/>
          <w:szCs w:val="22"/>
        </w:rPr>
        <w:t xml:space="preserve">; </w:t>
      </w:r>
      <w:proofErr w:type="spellStart"/>
      <w:r w:rsidRPr="00614DE2">
        <w:rPr>
          <w:rFonts w:ascii="Arial" w:hAnsi="Arial" w:cs="Arial"/>
          <w:sz w:val="22"/>
          <w:szCs w:val="22"/>
        </w:rPr>
        <w:t>A90</w:t>
      </w:r>
      <w:proofErr w:type="spellEnd"/>
    </w:p>
    <w:p w14:paraId="00EC3EBF" w14:textId="77777777" w:rsidR="00BC3EB4" w:rsidRPr="00614DE2" w:rsidRDefault="00BC3EB4" w:rsidP="00BC3EB4">
      <w:pPr>
        <w:autoSpaceDE w:val="0"/>
        <w:autoSpaceDN w:val="0"/>
        <w:adjustRightInd w:val="0"/>
        <w:spacing w:line="276" w:lineRule="auto"/>
        <w:ind w:left="1080"/>
        <w:rPr>
          <w:rFonts w:ascii="Arial" w:hAnsi="Arial" w:cs="Arial"/>
          <w:sz w:val="22"/>
          <w:szCs w:val="22"/>
        </w:rPr>
      </w:pPr>
    </w:p>
    <w:p w14:paraId="022FD246" w14:textId="77777777" w:rsidR="00BC3EB4" w:rsidRPr="00614DE2" w:rsidRDefault="00BC3EB4" w:rsidP="005F003E">
      <w:pPr>
        <w:pStyle w:val="ListParagraph"/>
        <w:numPr>
          <w:ilvl w:val="0"/>
          <w:numId w:val="26"/>
        </w:numPr>
        <w:autoSpaceDE w:val="0"/>
        <w:autoSpaceDN w:val="0"/>
        <w:adjustRightInd w:val="0"/>
        <w:spacing w:line="276" w:lineRule="auto"/>
        <w:contextualSpacing/>
        <w:outlineLvl w:val="0"/>
        <w:rPr>
          <w:rFonts w:ascii="Arial" w:hAnsi="Arial" w:cs="Arial"/>
          <w:sz w:val="22"/>
          <w:szCs w:val="22"/>
        </w:rPr>
      </w:pPr>
      <w:r w:rsidRPr="00614DE2">
        <w:rPr>
          <w:rFonts w:ascii="Arial" w:hAnsi="Arial" w:cs="Arial"/>
          <w:sz w:val="22"/>
          <w:szCs w:val="22"/>
        </w:rPr>
        <w:t xml:space="preserve">Effective July 1, 2024, the following nonsteroidal anti-inflammatory agent will require PA. </w:t>
      </w:r>
    </w:p>
    <w:p w14:paraId="7FA27356"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614DE2">
        <w:rPr>
          <w:rFonts w:ascii="Arial" w:hAnsi="Arial" w:cs="Arial"/>
          <w:sz w:val="22"/>
          <w:szCs w:val="22"/>
        </w:rPr>
        <w:t xml:space="preserve">indomethacin suppository – </w:t>
      </w:r>
      <w:r w:rsidRPr="00193FF2">
        <w:rPr>
          <w:rFonts w:ascii="Arial" w:hAnsi="Arial" w:cs="Arial"/>
          <w:b/>
          <w:bCs/>
          <w:sz w:val="22"/>
          <w:szCs w:val="22"/>
        </w:rPr>
        <w:t>PA</w:t>
      </w:r>
    </w:p>
    <w:p w14:paraId="162FA084" w14:textId="77777777" w:rsidR="00BC3EB4" w:rsidRPr="00614DE2" w:rsidRDefault="00BC3EB4" w:rsidP="00BC3EB4">
      <w:pPr>
        <w:autoSpaceDE w:val="0"/>
        <w:autoSpaceDN w:val="0"/>
        <w:adjustRightInd w:val="0"/>
        <w:spacing w:line="276" w:lineRule="auto"/>
        <w:ind w:left="1080"/>
        <w:rPr>
          <w:rFonts w:ascii="Arial" w:hAnsi="Arial" w:cs="Arial"/>
          <w:sz w:val="22"/>
          <w:szCs w:val="22"/>
        </w:rPr>
      </w:pPr>
    </w:p>
    <w:p w14:paraId="3C2DB342" w14:textId="77777777" w:rsidR="00BC3EB4" w:rsidRPr="00614DE2" w:rsidRDefault="00BC3EB4" w:rsidP="005F003E">
      <w:pPr>
        <w:pStyle w:val="ListParagraph"/>
        <w:numPr>
          <w:ilvl w:val="0"/>
          <w:numId w:val="26"/>
        </w:numPr>
        <w:autoSpaceDE w:val="0"/>
        <w:autoSpaceDN w:val="0"/>
        <w:adjustRightInd w:val="0"/>
        <w:spacing w:line="276" w:lineRule="auto"/>
        <w:contextualSpacing/>
        <w:outlineLvl w:val="0"/>
        <w:rPr>
          <w:rFonts w:ascii="Arial" w:hAnsi="Arial" w:cs="Arial"/>
          <w:sz w:val="22"/>
          <w:szCs w:val="22"/>
        </w:rPr>
      </w:pPr>
      <w:r w:rsidRPr="00614DE2">
        <w:rPr>
          <w:rFonts w:ascii="Arial" w:hAnsi="Arial" w:cs="Arial"/>
          <w:sz w:val="22"/>
          <w:szCs w:val="22"/>
        </w:rPr>
        <w:t>Effective July 1, 2024, the following vitamin D analog agent will require PA.</w:t>
      </w:r>
    </w:p>
    <w:p w14:paraId="4042B382"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614DE2">
        <w:rPr>
          <w:rFonts w:ascii="Arial" w:hAnsi="Arial" w:cs="Arial"/>
          <w:sz w:val="22"/>
          <w:szCs w:val="22"/>
        </w:rPr>
        <w:t>Rocaltrol</w:t>
      </w:r>
      <w:proofErr w:type="spellEnd"/>
      <w:r w:rsidRPr="00614DE2">
        <w:rPr>
          <w:rFonts w:ascii="Arial" w:hAnsi="Arial" w:cs="Arial"/>
          <w:sz w:val="22"/>
          <w:szCs w:val="22"/>
        </w:rPr>
        <w:t xml:space="preserve"> (calcitriol solution) – </w:t>
      </w:r>
      <w:r w:rsidRPr="00193FF2">
        <w:rPr>
          <w:rFonts w:ascii="Arial" w:hAnsi="Arial" w:cs="Arial"/>
          <w:b/>
          <w:bCs/>
          <w:sz w:val="22"/>
          <w:szCs w:val="22"/>
        </w:rPr>
        <w:t>PA</w:t>
      </w:r>
      <w:r w:rsidRPr="00614DE2">
        <w:rPr>
          <w:rFonts w:ascii="Arial" w:hAnsi="Arial" w:cs="Arial"/>
          <w:sz w:val="22"/>
          <w:szCs w:val="22"/>
        </w:rPr>
        <w:t xml:space="preserve">; </w:t>
      </w:r>
      <w:proofErr w:type="spellStart"/>
      <w:r w:rsidRPr="00614DE2">
        <w:rPr>
          <w:rFonts w:ascii="Arial" w:hAnsi="Arial" w:cs="Arial"/>
          <w:sz w:val="22"/>
          <w:szCs w:val="22"/>
        </w:rPr>
        <w:t>M90</w:t>
      </w:r>
      <w:proofErr w:type="spellEnd"/>
    </w:p>
    <w:p w14:paraId="59ED5578" w14:textId="77777777" w:rsidR="00BC3EB4" w:rsidRPr="00614DE2" w:rsidRDefault="00BC3EB4" w:rsidP="00BC3EB4">
      <w:pPr>
        <w:autoSpaceDE w:val="0"/>
        <w:autoSpaceDN w:val="0"/>
        <w:adjustRightInd w:val="0"/>
        <w:spacing w:line="276" w:lineRule="auto"/>
        <w:ind w:left="1080"/>
        <w:rPr>
          <w:rFonts w:ascii="Arial" w:hAnsi="Arial" w:cs="Arial"/>
          <w:sz w:val="22"/>
          <w:szCs w:val="22"/>
        </w:rPr>
      </w:pPr>
    </w:p>
    <w:p w14:paraId="00F4D53C" w14:textId="77777777" w:rsidR="00BC3EB4" w:rsidRPr="00614DE2" w:rsidRDefault="00BC3EB4" w:rsidP="005F003E">
      <w:pPr>
        <w:pStyle w:val="ListParagraph"/>
        <w:numPr>
          <w:ilvl w:val="0"/>
          <w:numId w:val="26"/>
        </w:numPr>
        <w:autoSpaceDE w:val="0"/>
        <w:autoSpaceDN w:val="0"/>
        <w:adjustRightInd w:val="0"/>
        <w:spacing w:line="276" w:lineRule="auto"/>
        <w:contextualSpacing/>
        <w:outlineLvl w:val="0"/>
        <w:rPr>
          <w:rFonts w:ascii="Arial" w:hAnsi="Arial" w:cs="Arial"/>
          <w:sz w:val="22"/>
          <w:szCs w:val="22"/>
        </w:rPr>
      </w:pPr>
      <w:r w:rsidRPr="00614DE2">
        <w:rPr>
          <w:rFonts w:ascii="Arial" w:hAnsi="Arial" w:cs="Arial"/>
          <w:sz w:val="22"/>
          <w:szCs w:val="22"/>
        </w:rPr>
        <w:t xml:space="preserve">Effective July 1, 2024, the following </w:t>
      </w:r>
      <w:proofErr w:type="spellStart"/>
      <w:r w:rsidRPr="00614DE2">
        <w:rPr>
          <w:rFonts w:ascii="Arial" w:hAnsi="Arial" w:cs="Arial"/>
          <w:sz w:val="22"/>
          <w:szCs w:val="22"/>
        </w:rPr>
        <w:t>otic</w:t>
      </w:r>
      <w:proofErr w:type="spellEnd"/>
      <w:r w:rsidRPr="00614DE2">
        <w:rPr>
          <w:rFonts w:ascii="Arial" w:hAnsi="Arial" w:cs="Arial"/>
          <w:sz w:val="22"/>
          <w:szCs w:val="22"/>
        </w:rPr>
        <w:t xml:space="preserve"> agent will require PA.</w:t>
      </w:r>
    </w:p>
    <w:p w14:paraId="4BA4FCD8"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614DE2">
        <w:rPr>
          <w:rFonts w:ascii="Arial" w:hAnsi="Arial" w:cs="Arial"/>
          <w:sz w:val="22"/>
          <w:szCs w:val="22"/>
        </w:rPr>
        <w:t xml:space="preserve">ciprofloxacin/dexamethasone </w:t>
      </w:r>
      <w:proofErr w:type="spellStart"/>
      <w:r w:rsidRPr="00614DE2">
        <w:rPr>
          <w:rFonts w:ascii="Arial" w:hAnsi="Arial" w:cs="Arial"/>
          <w:sz w:val="22"/>
          <w:szCs w:val="22"/>
        </w:rPr>
        <w:t>otic</w:t>
      </w:r>
      <w:proofErr w:type="spellEnd"/>
      <w:r w:rsidRPr="00614DE2">
        <w:rPr>
          <w:rFonts w:ascii="Arial" w:hAnsi="Arial" w:cs="Arial"/>
          <w:sz w:val="22"/>
          <w:szCs w:val="22"/>
        </w:rPr>
        <w:t xml:space="preserve"> suspension – </w:t>
      </w:r>
      <w:r w:rsidRPr="00193FF2">
        <w:rPr>
          <w:rFonts w:ascii="Arial" w:hAnsi="Arial" w:cs="Arial"/>
          <w:b/>
          <w:bCs/>
          <w:sz w:val="22"/>
          <w:szCs w:val="22"/>
        </w:rPr>
        <w:t>PA</w:t>
      </w:r>
      <w:r w:rsidRPr="00614DE2">
        <w:rPr>
          <w:rFonts w:ascii="Arial" w:hAnsi="Arial" w:cs="Arial"/>
          <w:sz w:val="22"/>
          <w:szCs w:val="22"/>
        </w:rPr>
        <w:t xml:space="preserve">; </w:t>
      </w:r>
      <w:proofErr w:type="spellStart"/>
      <w:r w:rsidRPr="00614DE2">
        <w:rPr>
          <w:rFonts w:ascii="Arial" w:hAnsi="Arial" w:cs="Arial"/>
          <w:sz w:val="22"/>
          <w:szCs w:val="22"/>
        </w:rPr>
        <w:t>A90</w:t>
      </w:r>
      <w:proofErr w:type="spellEnd"/>
    </w:p>
    <w:p w14:paraId="1384BE18" w14:textId="77777777" w:rsidR="00BC3EB4" w:rsidRPr="00614DE2" w:rsidRDefault="00BC3EB4" w:rsidP="00BC3EB4">
      <w:pPr>
        <w:autoSpaceDE w:val="0"/>
        <w:autoSpaceDN w:val="0"/>
        <w:adjustRightInd w:val="0"/>
        <w:spacing w:line="276" w:lineRule="auto"/>
        <w:ind w:left="1080"/>
        <w:rPr>
          <w:rFonts w:ascii="Arial" w:hAnsi="Arial" w:cs="Arial"/>
          <w:sz w:val="22"/>
          <w:szCs w:val="22"/>
        </w:rPr>
      </w:pPr>
    </w:p>
    <w:p w14:paraId="667D5291" w14:textId="04A63CAE" w:rsidR="00BC3EB4" w:rsidRPr="00614DE2" w:rsidRDefault="00BC3EB4" w:rsidP="005F003E">
      <w:pPr>
        <w:pStyle w:val="ListParagraph"/>
        <w:numPr>
          <w:ilvl w:val="0"/>
          <w:numId w:val="26"/>
        </w:numPr>
        <w:autoSpaceDE w:val="0"/>
        <w:autoSpaceDN w:val="0"/>
        <w:adjustRightInd w:val="0"/>
        <w:spacing w:line="276" w:lineRule="auto"/>
        <w:contextualSpacing/>
        <w:outlineLvl w:val="0"/>
        <w:rPr>
          <w:rFonts w:ascii="Arial" w:hAnsi="Arial" w:cs="Arial"/>
          <w:sz w:val="22"/>
          <w:szCs w:val="22"/>
        </w:rPr>
      </w:pPr>
      <w:r w:rsidRPr="00614DE2">
        <w:rPr>
          <w:rFonts w:ascii="Arial" w:hAnsi="Arial" w:cs="Arial"/>
          <w:sz w:val="22"/>
          <w:szCs w:val="22"/>
        </w:rPr>
        <w:t xml:space="preserve">Effective July 1, 2024, the following antidepressants will require PA. Pediatric Behavioral Health Medication Initiative criteria will apply. For additional information, please see the Pediatric Behavioral Health </w:t>
      </w:r>
      <w:r w:rsidR="00777FBD">
        <w:rPr>
          <w:rFonts w:ascii="Arial" w:hAnsi="Arial" w:cs="Arial"/>
          <w:sz w:val="22"/>
          <w:szCs w:val="22"/>
        </w:rPr>
        <w:t xml:space="preserve">Medication </w:t>
      </w:r>
      <w:r w:rsidRPr="00614DE2">
        <w:rPr>
          <w:rFonts w:ascii="Arial" w:hAnsi="Arial" w:cs="Arial"/>
          <w:sz w:val="22"/>
          <w:szCs w:val="22"/>
        </w:rPr>
        <w:t xml:space="preserve">Initiative documents at </w:t>
      </w:r>
      <w:hyperlink r:id="rId12" w:history="1">
        <w:r w:rsidRPr="00437861">
          <w:rPr>
            <w:rStyle w:val="Hyperlink"/>
            <w:rFonts w:ascii="Arial" w:hAnsi="Arial" w:cs="Arial"/>
            <w:sz w:val="22"/>
            <w:szCs w:val="22"/>
          </w:rPr>
          <w:t>mass.gov/</w:t>
        </w:r>
        <w:proofErr w:type="spellStart"/>
        <w:r w:rsidRPr="00437861">
          <w:rPr>
            <w:rStyle w:val="Hyperlink"/>
            <w:rFonts w:ascii="Arial" w:hAnsi="Arial" w:cs="Arial"/>
            <w:sz w:val="22"/>
            <w:szCs w:val="22"/>
          </w:rPr>
          <w:t>druglist</w:t>
        </w:r>
        <w:proofErr w:type="spellEnd"/>
      </w:hyperlink>
      <w:r w:rsidRPr="00614DE2">
        <w:rPr>
          <w:rFonts w:ascii="Arial" w:hAnsi="Arial" w:cs="Arial"/>
          <w:sz w:val="22"/>
          <w:szCs w:val="22"/>
        </w:rPr>
        <w:t xml:space="preserve">. </w:t>
      </w:r>
    </w:p>
    <w:p w14:paraId="70D57930" w14:textId="77777777" w:rsidR="00BC3EB4" w:rsidRPr="00614DE2"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614DE2">
        <w:rPr>
          <w:rFonts w:ascii="Arial" w:hAnsi="Arial" w:cs="Arial"/>
          <w:sz w:val="22"/>
          <w:szCs w:val="22"/>
        </w:rPr>
        <w:t xml:space="preserve">amoxapine – </w:t>
      </w:r>
      <w:r w:rsidRPr="00193FF2">
        <w:rPr>
          <w:rFonts w:ascii="Arial" w:hAnsi="Arial" w:cs="Arial"/>
          <w:b/>
          <w:bCs/>
          <w:sz w:val="22"/>
          <w:szCs w:val="22"/>
        </w:rPr>
        <w:t>PA</w:t>
      </w:r>
      <w:r w:rsidRPr="00614DE2">
        <w:rPr>
          <w:rFonts w:ascii="Arial" w:hAnsi="Arial" w:cs="Arial"/>
          <w:sz w:val="22"/>
          <w:szCs w:val="22"/>
        </w:rPr>
        <w:t xml:space="preserve">; </w:t>
      </w:r>
      <w:proofErr w:type="spellStart"/>
      <w:r w:rsidRPr="00614DE2">
        <w:rPr>
          <w:rFonts w:ascii="Arial" w:hAnsi="Arial" w:cs="Arial"/>
          <w:sz w:val="22"/>
          <w:szCs w:val="22"/>
        </w:rPr>
        <w:t>A90</w:t>
      </w:r>
      <w:proofErr w:type="spellEnd"/>
    </w:p>
    <w:p w14:paraId="48971196"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614DE2">
        <w:rPr>
          <w:rFonts w:ascii="Arial" w:hAnsi="Arial" w:cs="Arial"/>
          <w:sz w:val="22"/>
          <w:szCs w:val="22"/>
        </w:rPr>
        <w:t>Aplenzin</w:t>
      </w:r>
      <w:proofErr w:type="spellEnd"/>
      <w:r w:rsidRPr="00614DE2">
        <w:rPr>
          <w:rFonts w:ascii="Arial" w:hAnsi="Arial" w:cs="Arial"/>
          <w:sz w:val="22"/>
          <w:szCs w:val="22"/>
        </w:rPr>
        <w:t xml:space="preserve"> (bupropion hydrobromide extended-release) – </w:t>
      </w:r>
      <w:r w:rsidRPr="00193FF2">
        <w:rPr>
          <w:rFonts w:ascii="Arial" w:hAnsi="Arial" w:cs="Arial"/>
          <w:b/>
          <w:bCs/>
          <w:sz w:val="22"/>
          <w:szCs w:val="22"/>
        </w:rPr>
        <w:t>PA</w:t>
      </w:r>
    </w:p>
    <w:p w14:paraId="69207C1A" w14:textId="77777777" w:rsidR="00BC3EB4" w:rsidRPr="00614DE2" w:rsidRDefault="00BC3EB4" w:rsidP="00BC3EB4">
      <w:pPr>
        <w:pStyle w:val="ListParagraph"/>
        <w:numPr>
          <w:ilvl w:val="0"/>
          <w:numId w:val="26"/>
        </w:numPr>
        <w:autoSpaceDE w:val="0"/>
        <w:autoSpaceDN w:val="0"/>
        <w:adjustRightInd w:val="0"/>
        <w:spacing w:line="276" w:lineRule="auto"/>
        <w:contextualSpacing/>
        <w:rPr>
          <w:rFonts w:ascii="Arial" w:hAnsi="Arial" w:cs="Arial"/>
          <w:sz w:val="22"/>
          <w:szCs w:val="22"/>
        </w:rPr>
      </w:pPr>
      <w:r w:rsidRPr="00614DE2">
        <w:rPr>
          <w:rFonts w:ascii="Arial" w:hAnsi="Arial" w:cs="Arial"/>
          <w:sz w:val="22"/>
          <w:szCs w:val="22"/>
        </w:rPr>
        <w:lastRenderedPageBreak/>
        <w:t>Effective July 1, 2024, the following compounded pharmaceutical products will require PA.</w:t>
      </w:r>
    </w:p>
    <w:p w14:paraId="1E45E79C"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614DE2">
        <w:rPr>
          <w:rFonts w:ascii="Arial" w:hAnsi="Arial" w:cs="Arial"/>
          <w:sz w:val="22"/>
          <w:szCs w:val="22"/>
        </w:rPr>
        <w:t xml:space="preserve">compounded pharmaceutical product with intradermal route of administration – </w:t>
      </w:r>
      <w:r w:rsidRPr="00193FF2">
        <w:rPr>
          <w:rFonts w:ascii="Arial" w:hAnsi="Arial" w:cs="Arial"/>
          <w:b/>
          <w:bCs/>
          <w:sz w:val="22"/>
          <w:szCs w:val="22"/>
        </w:rPr>
        <w:t>PA</w:t>
      </w:r>
      <w:r w:rsidRPr="00614DE2">
        <w:rPr>
          <w:rFonts w:ascii="Arial" w:hAnsi="Arial" w:cs="Arial"/>
          <w:sz w:val="22"/>
          <w:szCs w:val="22"/>
        </w:rPr>
        <w:t>; CP</w:t>
      </w:r>
    </w:p>
    <w:p w14:paraId="7AD3104E" w14:textId="77777777" w:rsidR="00BC3EB4" w:rsidRPr="00614DE2" w:rsidRDefault="00BC3EB4" w:rsidP="00BC3EB4">
      <w:pPr>
        <w:autoSpaceDE w:val="0"/>
        <w:autoSpaceDN w:val="0"/>
        <w:adjustRightInd w:val="0"/>
        <w:spacing w:line="276" w:lineRule="auto"/>
        <w:ind w:left="1080"/>
        <w:rPr>
          <w:rFonts w:ascii="Arial" w:hAnsi="Arial" w:cs="Arial"/>
          <w:sz w:val="22"/>
          <w:szCs w:val="22"/>
        </w:rPr>
      </w:pPr>
    </w:p>
    <w:p w14:paraId="0E2568DD" w14:textId="77777777" w:rsidR="00BC3EB4" w:rsidRPr="00614DE2" w:rsidRDefault="00BC3EB4" w:rsidP="00BC3EB4">
      <w:pPr>
        <w:pStyle w:val="ListParagraph"/>
        <w:numPr>
          <w:ilvl w:val="0"/>
          <w:numId w:val="26"/>
        </w:numPr>
        <w:autoSpaceDE w:val="0"/>
        <w:autoSpaceDN w:val="0"/>
        <w:adjustRightInd w:val="0"/>
        <w:spacing w:line="276" w:lineRule="auto"/>
        <w:contextualSpacing/>
        <w:rPr>
          <w:rFonts w:ascii="Arial" w:hAnsi="Arial" w:cs="Arial"/>
          <w:sz w:val="22"/>
          <w:szCs w:val="22"/>
        </w:rPr>
      </w:pPr>
      <w:r w:rsidRPr="00614DE2">
        <w:rPr>
          <w:rFonts w:ascii="Arial" w:hAnsi="Arial" w:cs="Arial"/>
          <w:sz w:val="22"/>
          <w:szCs w:val="22"/>
        </w:rPr>
        <w:t>Effective July 1, 2024, the following butalbital-containing agent will no longer require PA within age and quantity limits.</w:t>
      </w:r>
    </w:p>
    <w:p w14:paraId="4C34A8BF" w14:textId="77777777"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614DE2">
        <w:rPr>
          <w:rFonts w:ascii="Arial" w:hAnsi="Arial" w:cs="Arial"/>
          <w:sz w:val="22"/>
          <w:szCs w:val="22"/>
        </w:rPr>
        <w:t xml:space="preserve">butalbital/aspirin/caffeine capsule – </w:t>
      </w:r>
      <w:r w:rsidRPr="00193FF2">
        <w:rPr>
          <w:rFonts w:ascii="Arial" w:hAnsi="Arial" w:cs="Arial"/>
          <w:b/>
          <w:bCs/>
          <w:sz w:val="22"/>
          <w:szCs w:val="22"/>
        </w:rPr>
        <w:t>PA</w:t>
      </w:r>
      <w:r w:rsidRPr="00614DE2">
        <w:rPr>
          <w:rFonts w:ascii="Arial" w:hAnsi="Arial" w:cs="Arial"/>
          <w:sz w:val="22"/>
          <w:szCs w:val="22"/>
        </w:rPr>
        <w:t xml:space="preserve"> &lt; 18 years and </w:t>
      </w:r>
      <w:r w:rsidRPr="00193FF2">
        <w:rPr>
          <w:rFonts w:ascii="Arial" w:hAnsi="Arial" w:cs="Arial"/>
          <w:b/>
          <w:bCs/>
          <w:sz w:val="22"/>
          <w:szCs w:val="22"/>
        </w:rPr>
        <w:t>PA</w:t>
      </w:r>
      <w:r w:rsidRPr="00614DE2">
        <w:rPr>
          <w:rFonts w:ascii="Arial" w:hAnsi="Arial" w:cs="Arial"/>
          <w:sz w:val="22"/>
          <w:szCs w:val="22"/>
        </w:rPr>
        <w:t xml:space="preserve"> &gt; 20 units/30 days</w:t>
      </w:r>
    </w:p>
    <w:p w14:paraId="165FBAC3" w14:textId="77777777" w:rsidR="00BC3EB4" w:rsidRPr="00BC3EB4" w:rsidRDefault="00BC3EB4" w:rsidP="00C903F9">
      <w:pPr>
        <w:pStyle w:val="Heading2"/>
      </w:pPr>
      <w:r w:rsidRPr="00BC3EB4">
        <w:t>Change in Coverage Status</w:t>
      </w:r>
    </w:p>
    <w:p w14:paraId="718C8475" w14:textId="77777777" w:rsidR="00BC3EB4" w:rsidRPr="00BC3EB4" w:rsidRDefault="00BC3EB4" w:rsidP="00BC3EB4">
      <w:pPr>
        <w:pStyle w:val="BodyText10"/>
        <w:rPr>
          <w:color w:val="auto"/>
          <w:sz w:val="22"/>
          <w:szCs w:val="22"/>
        </w:rPr>
      </w:pPr>
      <w:r w:rsidRPr="00BC3EB4">
        <w:rPr>
          <w:color w:val="auto"/>
          <w:sz w:val="22"/>
          <w:szCs w:val="22"/>
        </w:rPr>
        <w:t>Effective July 1, 2024, the following agent will be available through medical billing only and will no longer be available through pharmacy billing.</w:t>
      </w:r>
    </w:p>
    <w:p w14:paraId="5B1A8C40" w14:textId="363C81F2" w:rsidR="0041065E" w:rsidRPr="00BC3EB4" w:rsidRDefault="00BC3EB4" w:rsidP="00BC3EB4">
      <w:pPr>
        <w:numPr>
          <w:ilvl w:val="0"/>
          <w:numId w:val="9"/>
        </w:numPr>
        <w:autoSpaceDE w:val="0"/>
        <w:autoSpaceDN w:val="0"/>
        <w:adjustRightInd w:val="0"/>
        <w:spacing w:line="276" w:lineRule="auto"/>
        <w:rPr>
          <w:rFonts w:ascii="Arial" w:hAnsi="Arial" w:cs="Arial"/>
          <w:sz w:val="22"/>
          <w:szCs w:val="22"/>
        </w:rPr>
      </w:pPr>
      <w:proofErr w:type="spellStart"/>
      <w:r w:rsidRPr="00BC3EB4">
        <w:rPr>
          <w:rFonts w:ascii="Arial" w:hAnsi="Arial" w:cs="Arial"/>
          <w:sz w:val="22"/>
          <w:szCs w:val="22"/>
        </w:rPr>
        <w:t>Mozobil</w:t>
      </w:r>
      <w:proofErr w:type="spellEnd"/>
      <w:r w:rsidRPr="00BC3EB4">
        <w:rPr>
          <w:rFonts w:ascii="Arial" w:hAnsi="Arial" w:cs="Arial"/>
          <w:sz w:val="22"/>
          <w:szCs w:val="22"/>
        </w:rPr>
        <w:t xml:space="preserve"> (plerixafor); </w:t>
      </w:r>
      <w:r w:rsidRPr="00190E80">
        <w:rPr>
          <w:rFonts w:ascii="Arial" w:hAnsi="Arial" w:cs="Arial"/>
          <w:sz w:val="22"/>
          <w:szCs w:val="22"/>
        </w:rPr>
        <w:t>MB</w:t>
      </w:r>
    </w:p>
    <w:p w14:paraId="397B853E" w14:textId="77777777" w:rsidR="00BC3EB4" w:rsidRPr="00BC3EB4" w:rsidRDefault="00BC3EB4" w:rsidP="00C903F9">
      <w:pPr>
        <w:pStyle w:val="Heading2"/>
      </w:pPr>
      <w:r w:rsidRPr="00BC3EB4">
        <w:t>Updated MassHealth Brand Name Preferred Over Generic Drug List</w:t>
      </w:r>
    </w:p>
    <w:p w14:paraId="4B1A31E7" w14:textId="77777777" w:rsidR="00BC3EB4" w:rsidRPr="00BC3EB4" w:rsidRDefault="00BC3EB4" w:rsidP="00BC3EB4">
      <w:pPr>
        <w:pStyle w:val="BodyText10"/>
        <w:rPr>
          <w:color w:val="auto"/>
          <w:sz w:val="22"/>
          <w:szCs w:val="22"/>
        </w:rPr>
      </w:pPr>
      <w:r w:rsidRPr="00BC3EB4">
        <w:rPr>
          <w:color w:val="auto"/>
          <w:sz w:val="22"/>
          <w:szCs w:val="22"/>
        </w:rPr>
        <w:t>The MassHealth Brand Name Preferred Over Generic Drug List has been updated to reflect recent changes to the MassHealth Drug List.</w:t>
      </w:r>
    </w:p>
    <w:p w14:paraId="46F94DE6" w14:textId="54F6B62C" w:rsidR="00BC3EB4" w:rsidRPr="00BC3EB4" w:rsidRDefault="00BC3EB4" w:rsidP="00BC3EB4">
      <w:pPr>
        <w:pStyle w:val="ListParagraph"/>
        <w:numPr>
          <w:ilvl w:val="0"/>
          <w:numId w:val="27"/>
        </w:numPr>
        <w:autoSpaceDE w:val="0"/>
        <w:autoSpaceDN w:val="0"/>
        <w:adjustRightInd w:val="0"/>
        <w:spacing w:line="276" w:lineRule="auto"/>
        <w:contextualSpacing/>
        <w:rPr>
          <w:rFonts w:ascii="Arial" w:hAnsi="Arial" w:cs="Arial"/>
          <w:sz w:val="22"/>
          <w:szCs w:val="22"/>
        </w:rPr>
      </w:pPr>
      <w:r w:rsidRPr="00BC3EB4">
        <w:rPr>
          <w:rFonts w:ascii="Arial" w:hAnsi="Arial" w:cs="Arial"/>
          <w:sz w:val="22"/>
          <w:szCs w:val="22"/>
        </w:rPr>
        <w:t xml:space="preserve">Effective July 1, 2024, the following agents will be added to the MassHealth Brand Name Preferred Over Generic Drug List. </w:t>
      </w:r>
    </w:p>
    <w:p w14:paraId="652E485E" w14:textId="60FF3EBC"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Denavir</w:t>
      </w:r>
      <w:proofErr w:type="spellEnd"/>
      <w:r w:rsidRPr="00BC3EB4">
        <w:rPr>
          <w:rFonts w:ascii="Arial" w:hAnsi="Arial" w:cs="Arial"/>
          <w:sz w:val="22"/>
          <w:szCs w:val="22"/>
        </w:rPr>
        <w:t xml:space="preserve"> (penciclovir); BP</w:t>
      </w:r>
    </w:p>
    <w:p w14:paraId="3B9B39DB" w14:textId="6CE2572D"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Valcyte</w:t>
      </w:r>
      <w:proofErr w:type="spellEnd"/>
      <w:r w:rsidRPr="00BC3EB4">
        <w:rPr>
          <w:rFonts w:ascii="Arial" w:hAnsi="Arial" w:cs="Arial"/>
          <w:sz w:val="22"/>
          <w:szCs w:val="22"/>
        </w:rPr>
        <w:t xml:space="preserve"> (valganciclovir powder for oral solution) – </w:t>
      </w:r>
      <w:r w:rsidRPr="00193FF2">
        <w:rPr>
          <w:rFonts w:ascii="Arial" w:hAnsi="Arial" w:cs="Arial"/>
          <w:b/>
          <w:bCs/>
          <w:sz w:val="22"/>
          <w:szCs w:val="22"/>
        </w:rPr>
        <w:t>PA</w:t>
      </w:r>
      <w:r w:rsidRPr="00BC3EB4">
        <w:rPr>
          <w:rFonts w:ascii="Arial" w:hAnsi="Arial" w:cs="Arial"/>
          <w:sz w:val="22"/>
          <w:szCs w:val="22"/>
        </w:rPr>
        <w:t xml:space="preserve">; BP, </w:t>
      </w:r>
      <w:proofErr w:type="spellStart"/>
      <w:r w:rsidRPr="00BC3EB4">
        <w:rPr>
          <w:rFonts w:ascii="Arial" w:hAnsi="Arial" w:cs="Arial"/>
          <w:sz w:val="22"/>
          <w:szCs w:val="22"/>
        </w:rPr>
        <w:t>A90</w:t>
      </w:r>
      <w:proofErr w:type="spellEnd"/>
    </w:p>
    <w:p w14:paraId="5CD5B19C" w14:textId="77777777" w:rsidR="00BC3EB4" w:rsidRPr="00BC3EB4" w:rsidRDefault="00BC3EB4" w:rsidP="00BC3EB4">
      <w:pPr>
        <w:autoSpaceDE w:val="0"/>
        <w:autoSpaceDN w:val="0"/>
        <w:adjustRightInd w:val="0"/>
        <w:spacing w:line="276" w:lineRule="auto"/>
        <w:ind w:left="1080"/>
        <w:rPr>
          <w:rFonts w:ascii="Arial" w:hAnsi="Arial" w:cs="Arial"/>
          <w:sz w:val="22"/>
          <w:szCs w:val="22"/>
        </w:rPr>
      </w:pPr>
    </w:p>
    <w:p w14:paraId="4D075C20" w14:textId="66ACCEFB" w:rsidR="00BC3EB4" w:rsidRPr="00BC3EB4" w:rsidRDefault="00BC3EB4" w:rsidP="00BC3EB4">
      <w:pPr>
        <w:pStyle w:val="ListParagraph"/>
        <w:numPr>
          <w:ilvl w:val="0"/>
          <w:numId w:val="27"/>
        </w:numPr>
        <w:autoSpaceDE w:val="0"/>
        <w:autoSpaceDN w:val="0"/>
        <w:adjustRightInd w:val="0"/>
        <w:spacing w:line="276" w:lineRule="auto"/>
        <w:contextualSpacing/>
        <w:rPr>
          <w:rFonts w:ascii="Arial" w:hAnsi="Arial" w:cs="Arial"/>
          <w:sz w:val="22"/>
          <w:szCs w:val="22"/>
        </w:rPr>
      </w:pPr>
      <w:r w:rsidRPr="00BC3EB4">
        <w:rPr>
          <w:rFonts w:ascii="Arial" w:hAnsi="Arial" w:cs="Arial"/>
          <w:sz w:val="22"/>
          <w:szCs w:val="22"/>
        </w:rPr>
        <w:t xml:space="preserve">Effective July 1, 2024, the following agents will be removed from the MassHealth Brand Name Preferred Over Generic Drug List. </w:t>
      </w:r>
    </w:p>
    <w:p w14:paraId="2E662219" w14:textId="66E53E41"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Delzicol</w:t>
      </w:r>
      <w:proofErr w:type="spellEnd"/>
      <w:r w:rsidRPr="00BC3EB4">
        <w:rPr>
          <w:rFonts w:ascii="Arial" w:hAnsi="Arial" w:cs="Arial"/>
          <w:sz w:val="22"/>
          <w:szCs w:val="22"/>
        </w:rPr>
        <w:t xml:space="preserve"> DR (mesalamine 400 mg delayed-release capsule) – </w:t>
      </w:r>
      <w:r w:rsidRPr="00193FF2">
        <w:rPr>
          <w:rFonts w:ascii="Arial" w:hAnsi="Arial" w:cs="Arial"/>
          <w:b/>
          <w:bCs/>
          <w:sz w:val="22"/>
          <w:szCs w:val="22"/>
        </w:rPr>
        <w:t>PA</w:t>
      </w:r>
      <w:r w:rsidRPr="00BC3EB4">
        <w:rPr>
          <w:rFonts w:ascii="Arial" w:hAnsi="Arial" w:cs="Arial"/>
          <w:sz w:val="22"/>
          <w:szCs w:val="22"/>
        </w:rPr>
        <w:t xml:space="preserve">; </w:t>
      </w:r>
      <w:proofErr w:type="spellStart"/>
      <w:r w:rsidRPr="00BC3EB4">
        <w:rPr>
          <w:rFonts w:ascii="Arial" w:hAnsi="Arial" w:cs="Arial"/>
          <w:sz w:val="22"/>
          <w:szCs w:val="22"/>
        </w:rPr>
        <w:t>A90</w:t>
      </w:r>
      <w:proofErr w:type="spellEnd"/>
    </w:p>
    <w:p w14:paraId="1F36F732" w14:textId="1C99C21A"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Lexiva</w:t>
      </w:r>
      <w:proofErr w:type="spellEnd"/>
      <w:r w:rsidRPr="00BC3EB4">
        <w:rPr>
          <w:rFonts w:ascii="Arial" w:hAnsi="Arial" w:cs="Arial"/>
          <w:sz w:val="22"/>
          <w:szCs w:val="22"/>
        </w:rPr>
        <w:t xml:space="preserve"> (</w:t>
      </w:r>
      <w:proofErr w:type="spellStart"/>
      <w:r w:rsidRPr="00BC3EB4">
        <w:rPr>
          <w:rFonts w:ascii="Arial" w:hAnsi="Arial" w:cs="Arial"/>
          <w:sz w:val="22"/>
          <w:szCs w:val="22"/>
        </w:rPr>
        <w:t>fosamprenavir</w:t>
      </w:r>
      <w:proofErr w:type="spellEnd"/>
      <w:r w:rsidRPr="00BC3EB4">
        <w:rPr>
          <w:rFonts w:ascii="Arial" w:hAnsi="Arial" w:cs="Arial"/>
          <w:sz w:val="22"/>
          <w:szCs w:val="22"/>
        </w:rPr>
        <w:t xml:space="preserve">); </w:t>
      </w:r>
      <w:proofErr w:type="spellStart"/>
      <w:r w:rsidRPr="00BC3EB4">
        <w:rPr>
          <w:rFonts w:ascii="Arial" w:hAnsi="Arial" w:cs="Arial"/>
          <w:sz w:val="22"/>
          <w:szCs w:val="22"/>
        </w:rPr>
        <w:t>A90</w:t>
      </w:r>
      <w:proofErr w:type="spellEnd"/>
    </w:p>
    <w:p w14:paraId="1AB5F20A" w14:textId="1EFCAAED"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Noxafil</w:t>
      </w:r>
      <w:proofErr w:type="spellEnd"/>
      <w:r w:rsidRPr="00BC3EB4">
        <w:rPr>
          <w:rFonts w:ascii="Arial" w:hAnsi="Arial" w:cs="Arial"/>
          <w:sz w:val="22"/>
          <w:szCs w:val="22"/>
        </w:rPr>
        <w:t xml:space="preserve"> (posaconazole suspension) – </w:t>
      </w:r>
      <w:r w:rsidRPr="00193FF2">
        <w:rPr>
          <w:rFonts w:ascii="Arial" w:hAnsi="Arial" w:cs="Arial"/>
          <w:b/>
          <w:bCs/>
          <w:sz w:val="22"/>
          <w:szCs w:val="22"/>
        </w:rPr>
        <w:t>PA</w:t>
      </w:r>
      <w:r w:rsidRPr="00BC3EB4">
        <w:rPr>
          <w:rFonts w:ascii="Arial" w:hAnsi="Arial" w:cs="Arial"/>
          <w:sz w:val="22"/>
          <w:szCs w:val="22"/>
        </w:rPr>
        <w:t xml:space="preserve">; </w:t>
      </w:r>
      <w:proofErr w:type="spellStart"/>
      <w:r w:rsidRPr="00BC3EB4">
        <w:rPr>
          <w:rFonts w:ascii="Arial" w:hAnsi="Arial" w:cs="Arial"/>
          <w:sz w:val="22"/>
          <w:szCs w:val="22"/>
        </w:rPr>
        <w:t>A90</w:t>
      </w:r>
      <w:proofErr w:type="spellEnd"/>
    </w:p>
    <w:p w14:paraId="511317F0" w14:textId="577510EB"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Prezista</w:t>
      </w:r>
      <w:proofErr w:type="spellEnd"/>
      <w:r w:rsidRPr="00BC3EB4">
        <w:rPr>
          <w:rFonts w:ascii="Arial" w:hAnsi="Arial" w:cs="Arial"/>
          <w:sz w:val="22"/>
          <w:szCs w:val="22"/>
        </w:rPr>
        <w:t xml:space="preserve"> (darunavir); #, </w:t>
      </w:r>
      <w:proofErr w:type="spellStart"/>
      <w:r w:rsidRPr="00BC3EB4">
        <w:rPr>
          <w:rFonts w:ascii="Arial" w:hAnsi="Arial" w:cs="Arial"/>
          <w:sz w:val="22"/>
          <w:szCs w:val="22"/>
        </w:rPr>
        <w:t>A90</w:t>
      </w:r>
      <w:proofErr w:type="spellEnd"/>
    </w:p>
    <w:p w14:paraId="648A35C4" w14:textId="27D00F03"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BC3EB4">
        <w:rPr>
          <w:rFonts w:ascii="Arial" w:hAnsi="Arial" w:cs="Arial"/>
          <w:sz w:val="22"/>
          <w:szCs w:val="22"/>
        </w:rPr>
        <w:t xml:space="preserve">Proair HFA (albuterol inhaler); </w:t>
      </w:r>
      <w:proofErr w:type="spellStart"/>
      <w:r w:rsidRPr="00BC3EB4">
        <w:rPr>
          <w:rFonts w:ascii="Arial" w:hAnsi="Arial" w:cs="Arial"/>
          <w:sz w:val="22"/>
          <w:szCs w:val="22"/>
        </w:rPr>
        <w:t>A90</w:t>
      </w:r>
      <w:proofErr w:type="spellEnd"/>
    </w:p>
    <w:p w14:paraId="253D8968" w14:textId="74BC3626"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BC3EB4">
        <w:rPr>
          <w:rFonts w:ascii="Arial" w:hAnsi="Arial" w:cs="Arial"/>
          <w:sz w:val="22"/>
          <w:szCs w:val="22"/>
        </w:rPr>
        <w:t xml:space="preserve">Proventil (albuterol inhaler); </w:t>
      </w:r>
      <w:proofErr w:type="spellStart"/>
      <w:r w:rsidRPr="00BC3EB4">
        <w:rPr>
          <w:rFonts w:ascii="Arial" w:hAnsi="Arial" w:cs="Arial"/>
          <w:sz w:val="22"/>
          <w:szCs w:val="22"/>
        </w:rPr>
        <w:t>A90</w:t>
      </w:r>
      <w:proofErr w:type="spellEnd"/>
      <w:r w:rsidRPr="00BC3EB4">
        <w:rPr>
          <w:rFonts w:ascii="Arial" w:hAnsi="Arial" w:cs="Arial"/>
          <w:sz w:val="22"/>
          <w:szCs w:val="22"/>
        </w:rPr>
        <w:t xml:space="preserve"> </w:t>
      </w:r>
    </w:p>
    <w:p w14:paraId="44CD0F28" w14:textId="5A82C48F"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Sorilux</w:t>
      </w:r>
      <w:proofErr w:type="spellEnd"/>
      <w:r w:rsidRPr="00BC3EB4">
        <w:rPr>
          <w:rFonts w:ascii="Arial" w:hAnsi="Arial" w:cs="Arial"/>
          <w:sz w:val="22"/>
          <w:szCs w:val="22"/>
        </w:rPr>
        <w:t xml:space="preserve"> (calcipotriene foam) – </w:t>
      </w:r>
      <w:r w:rsidRPr="00193FF2">
        <w:rPr>
          <w:rFonts w:ascii="Arial" w:hAnsi="Arial" w:cs="Arial"/>
          <w:b/>
          <w:bCs/>
          <w:sz w:val="22"/>
          <w:szCs w:val="22"/>
        </w:rPr>
        <w:t>PA</w:t>
      </w:r>
      <w:r w:rsidRPr="00BC3EB4">
        <w:rPr>
          <w:rFonts w:ascii="Arial" w:hAnsi="Arial" w:cs="Arial"/>
          <w:sz w:val="22"/>
          <w:szCs w:val="22"/>
        </w:rPr>
        <w:t xml:space="preserve">; </w:t>
      </w:r>
      <w:proofErr w:type="spellStart"/>
      <w:r w:rsidRPr="00BC3EB4">
        <w:rPr>
          <w:rFonts w:ascii="Arial" w:hAnsi="Arial" w:cs="Arial"/>
          <w:sz w:val="22"/>
          <w:szCs w:val="22"/>
        </w:rPr>
        <w:t>A90</w:t>
      </w:r>
      <w:proofErr w:type="spellEnd"/>
      <w:r w:rsidRPr="00BC3EB4">
        <w:rPr>
          <w:rFonts w:ascii="Arial" w:hAnsi="Arial" w:cs="Arial"/>
          <w:sz w:val="22"/>
          <w:szCs w:val="22"/>
        </w:rPr>
        <w:t xml:space="preserve"> </w:t>
      </w:r>
    </w:p>
    <w:p w14:paraId="56E66F62" w14:textId="77777777" w:rsidR="00BC3EB4" w:rsidRPr="00C903F9" w:rsidRDefault="00BC3EB4" w:rsidP="00C903F9">
      <w:pPr>
        <w:pStyle w:val="Heading2"/>
      </w:pPr>
      <w:r w:rsidRPr="00C903F9">
        <w:t>Updated MassHealth 90-day Initiative</w:t>
      </w:r>
    </w:p>
    <w:p w14:paraId="614BD552" w14:textId="77777777" w:rsidR="00BC3EB4" w:rsidRPr="00BC3EB4" w:rsidRDefault="00BC3EB4" w:rsidP="00BC3EB4">
      <w:pPr>
        <w:pStyle w:val="BodyText10"/>
        <w:rPr>
          <w:color w:val="auto"/>
          <w:sz w:val="22"/>
          <w:szCs w:val="22"/>
        </w:rPr>
      </w:pPr>
      <w:r w:rsidRPr="00BC3EB4">
        <w:rPr>
          <w:color w:val="auto"/>
          <w:sz w:val="22"/>
          <w:szCs w:val="22"/>
        </w:rPr>
        <w:t>The MassHealth 90-day Initiative has been updated to reflect recent changes to the MassHealth Drug List.</w:t>
      </w:r>
    </w:p>
    <w:p w14:paraId="35439902" w14:textId="28E45A12" w:rsidR="00BC3EB4" w:rsidRPr="00BC3EB4" w:rsidRDefault="00BC3EB4" w:rsidP="00BC3EB4">
      <w:pPr>
        <w:pStyle w:val="ListParagraph"/>
        <w:numPr>
          <w:ilvl w:val="0"/>
          <w:numId w:val="28"/>
        </w:numPr>
        <w:autoSpaceDE w:val="0"/>
        <w:autoSpaceDN w:val="0"/>
        <w:adjustRightInd w:val="0"/>
        <w:spacing w:line="276" w:lineRule="auto"/>
        <w:contextualSpacing/>
        <w:rPr>
          <w:rFonts w:ascii="Arial" w:hAnsi="Arial" w:cs="Arial"/>
          <w:sz w:val="22"/>
          <w:szCs w:val="22"/>
        </w:rPr>
      </w:pPr>
      <w:r w:rsidRPr="00BC3EB4">
        <w:rPr>
          <w:rFonts w:ascii="Arial" w:hAnsi="Arial" w:cs="Arial"/>
          <w:sz w:val="22"/>
          <w:szCs w:val="22"/>
        </w:rPr>
        <w:t xml:space="preserve">Effective July 1, 2024, the following agents may be allowed or mandated to be dispensed in up to a 90-day supply. </w:t>
      </w:r>
    </w:p>
    <w:p w14:paraId="7D51C2FB" w14:textId="043ED269"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BC3EB4">
        <w:rPr>
          <w:rFonts w:ascii="Arial" w:hAnsi="Arial" w:cs="Arial"/>
          <w:sz w:val="22"/>
          <w:szCs w:val="22"/>
        </w:rPr>
        <w:t xml:space="preserve">estradiol gel; </w:t>
      </w:r>
      <w:proofErr w:type="spellStart"/>
      <w:r w:rsidRPr="00BC3EB4">
        <w:rPr>
          <w:rFonts w:ascii="Arial" w:hAnsi="Arial" w:cs="Arial"/>
          <w:sz w:val="22"/>
          <w:szCs w:val="22"/>
        </w:rPr>
        <w:t>A90</w:t>
      </w:r>
      <w:proofErr w:type="spellEnd"/>
    </w:p>
    <w:p w14:paraId="44B20E8B" w14:textId="11DF93F8"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Myrbetriq</w:t>
      </w:r>
      <w:proofErr w:type="spellEnd"/>
      <w:r w:rsidRPr="00BC3EB4">
        <w:rPr>
          <w:rFonts w:ascii="Arial" w:hAnsi="Arial" w:cs="Arial"/>
          <w:sz w:val="22"/>
          <w:szCs w:val="22"/>
        </w:rPr>
        <w:t xml:space="preserve"> (mirabegron extended-release); BP, </w:t>
      </w:r>
      <w:proofErr w:type="spellStart"/>
      <w:r w:rsidRPr="00BC3EB4">
        <w:rPr>
          <w:rFonts w:ascii="Arial" w:hAnsi="Arial" w:cs="Arial"/>
          <w:sz w:val="22"/>
          <w:szCs w:val="22"/>
        </w:rPr>
        <w:t>A90</w:t>
      </w:r>
      <w:proofErr w:type="spellEnd"/>
    </w:p>
    <w:p w14:paraId="2BABBDD8" w14:textId="77777777" w:rsidR="00BC3EB4" w:rsidRPr="00BC3EB4" w:rsidRDefault="00BC3EB4" w:rsidP="00BC3EB4">
      <w:pPr>
        <w:autoSpaceDE w:val="0"/>
        <w:autoSpaceDN w:val="0"/>
        <w:adjustRightInd w:val="0"/>
        <w:spacing w:line="276" w:lineRule="auto"/>
        <w:ind w:left="1080"/>
        <w:rPr>
          <w:rFonts w:ascii="Arial" w:hAnsi="Arial" w:cs="Arial"/>
          <w:sz w:val="22"/>
          <w:szCs w:val="22"/>
        </w:rPr>
      </w:pPr>
    </w:p>
    <w:p w14:paraId="7DE4D1F8" w14:textId="5B601E75" w:rsidR="00BC3EB4" w:rsidRPr="00BC3EB4" w:rsidRDefault="00BC3EB4" w:rsidP="00BC3EB4">
      <w:pPr>
        <w:pStyle w:val="ListParagraph"/>
        <w:numPr>
          <w:ilvl w:val="0"/>
          <w:numId w:val="28"/>
        </w:numPr>
        <w:autoSpaceDE w:val="0"/>
        <w:autoSpaceDN w:val="0"/>
        <w:adjustRightInd w:val="0"/>
        <w:spacing w:line="276" w:lineRule="auto"/>
        <w:contextualSpacing/>
        <w:rPr>
          <w:rFonts w:ascii="Arial" w:hAnsi="Arial" w:cs="Arial"/>
          <w:sz w:val="22"/>
          <w:szCs w:val="22"/>
        </w:rPr>
      </w:pPr>
      <w:r w:rsidRPr="00BC3EB4">
        <w:rPr>
          <w:rFonts w:ascii="Arial" w:hAnsi="Arial" w:cs="Arial"/>
          <w:sz w:val="22"/>
          <w:szCs w:val="22"/>
        </w:rPr>
        <w:t>Effective July 1, 2024, the following agents will no longer be allowed or mandated to be dispensed in up to a 90-day supply.</w:t>
      </w:r>
    </w:p>
    <w:p w14:paraId="4E581160" w14:textId="7E56C060"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Denavir</w:t>
      </w:r>
      <w:proofErr w:type="spellEnd"/>
      <w:r w:rsidRPr="00BC3EB4">
        <w:rPr>
          <w:rFonts w:ascii="Arial" w:hAnsi="Arial" w:cs="Arial"/>
          <w:sz w:val="22"/>
          <w:szCs w:val="22"/>
        </w:rPr>
        <w:t xml:space="preserve"> (penciclovir); BP</w:t>
      </w:r>
    </w:p>
    <w:p w14:paraId="239F7A80" w14:textId="025DCA58" w:rsidR="00BC3EB4"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r w:rsidRPr="00BC3EB4">
        <w:rPr>
          <w:rFonts w:ascii="Arial" w:hAnsi="Arial" w:cs="Arial"/>
          <w:sz w:val="22"/>
          <w:szCs w:val="22"/>
        </w:rPr>
        <w:t>Zovirax (acyclovir cream); BP</w:t>
      </w:r>
    </w:p>
    <w:p w14:paraId="6F305010" w14:textId="77777777" w:rsidR="00BC3EB4" w:rsidRPr="00C903F9" w:rsidRDefault="00BC3EB4" w:rsidP="00C903F9">
      <w:pPr>
        <w:pStyle w:val="Heading2"/>
      </w:pPr>
      <w:r w:rsidRPr="00C903F9">
        <w:t>Updated MassHealth Over-the-Counter Drug List</w:t>
      </w:r>
    </w:p>
    <w:p w14:paraId="2B7C7198" w14:textId="77777777" w:rsidR="00BC3EB4" w:rsidRPr="00BC3EB4" w:rsidRDefault="00BC3EB4" w:rsidP="00BC3EB4">
      <w:pPr>
        <w:pStyle w:val="BodyText10"/>
        <w:rPr>
          <w:color w:val="auto"/>
          <w:sz w:val="22"/>
          <w:szCs w:val="22"/>
        </w:rPr>
      </w:pPr>
      <w:r w:rsidRPr="00BC3EB4">
        <w:rPr>
          <w:color w:val="auto"/>
          <w:sz w:val="22"/>
          <w:szCs w:val="22"/>
        </w:rPr>
        <w:t>The MassHealth Over-the-Counter Drug List has been updated to reflect recent changes to the MassHealth Drug List.</w:t>
      </w:r>
    </w:p>
    <w:p w14:paraId="601EB0C1" w14:textId="587899E2" w:rsidR="00BC3EB4" w:rsidRPr="00BC3EB4" w:rsidRDefault="00BC3EB4" w:rsidP="00BC3EB4">
      <w:pPr>
        <w:pStyle w:val="ListParagraph"/>
        <w:numPr>
          <w:ilvl w:val="0"/>
          <w:numId w:val="29"/>
        </w:numPr>
        <w:autoSpaceDE w:val="0"/>
        <w:autoSpaceDN w:val="0"/>
        <w:adjustRightInd w:val="0"/>
        <w:spacing w:line="276" w:lineRule="auto"/>
        <w:contextualSpacing/>
        <w:rPr>
          <w:rFonts w:ascii="Arial" w:hAnsi="Arial" w:cs="Arial"/>
          <w:sz w:val="22"/>
          <w:szCs w:val="22"/>
        </w:rPr>
      </w:pPr>
      <w:r w:rsidRPr="00BC3EB4">
        <w:rPr>
          <w:rFonts w:ascii="Arial" w:hAnsi="Arial" w:cs="Arial"/>
          <w:sz w:val="22"/>
          <w:szCs w:val="22"/>
        </w:rPr>
        <w:t xml:space="preserve">Effective July 1, 2024, the following medical food will be added to the MassHealth Over-the-Counter Drug List. </w:t>
      </w:r>
    </w:p>
    <w:p w14:paraId="146FC278" w14:textId="6BF341FE"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levomethylfolate</w:t>
      </w:r>
      <w:proofErr w:type="spellEnd"/>
      <w:r w:rsidRPr="00BC3EB4">
        <w:rPr>
          <w:rFonts w:ascii="Arial" w:hAnsi="Arial" w:cs="Arial"/>
          <w:sz w:val="22"/>
          <w:szCs w:val="22"/>
        </w:rPr>
        <w:t xml:space="preserve"> tablet ≤ 1 unit/day</w:t>
      </w:r>
    </w:p>
    <w:p w14:paraId="66C52D22" w14:textId="77777777" w:rsidR="00BC3EB4" w:rsidRPr="00BC3EB4" w:rsidRDefault="00BC3EB4" w:rsidP="00BC3EB4">
      <w:pPr>
        <w:autoSpaceDE w:val="0"/>
        <w:autoSpaceDN w:val="0"/>
        <w:adjustRightInd w:val="0"/>
        <w:spacing w:line="276" w:lineRule="auto"/>
        <w:ind w:left="1080"/>
        <w:rPr>
          <w:rFonts w:ascii="Arial" w:hAnsi="Arial" w:cs="Arial"/>
          <w:sz w:val="22"/>
          <w:szCs w:val="22"/>
        </w:rPr>
      </w:pPr>
    </w:p>
    <w:p w14:paraId="1E842DB8" w14:textId="6058B9A3" w:rsidR="00BC3EB4" w:rsidRPr="00BC3EB4" w:rsidRDefault="00BC3EB4" w:rsidP="00BC3EB4">
      <w:pPr>
        <w:pStyle w:val="ListParagraph"/>
        <w:numPr>
          <w:ilvl w:val="0"/>
          <w:numId w:val="29"/>
        </w:numPr>
        <w:autoSpaceDE w:val="0"/>
        <w:autoSpaceDN w:val="0"/>
        <w:adjustRightInd w:val="0"/>
        <w:spacing w:line="276" w:lineRule="auto"/>
        <w:contextualSpacing/>
        <w:rPr>
          <w:rFonts w:ascii="Arial" w:hAnsi="Arial" w:cs="Arial"/>
          <w:sz w:val="22"/>
          <w:szCs w:val="22"/>
        </w:rPr>
      </w:pPr>
      <w:r w:rsidRPr="00BC3EB4">
        <w:rPr>
          <w:rFonts w:ascii="Arial" w:hAnsi="Arial" w:cs="Arial"/>
          <w:sz w:val="22"/>
          <w:szCs w:val="22"/>
        </w:rPr>
        <w:t>Effective March 13, 2024, the following oral contraceptive was added to the MassHealth Over-the-Counter Drug List on July 1, 2024.</w:t>
      </w:r>
    </w:p>
    <w:p w14:paraId="4FDAA131" w14:textId="1653B67B" w:rsid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Opill</w:t>
      </w:r>
      <w:proofErr w:type="spellEnd"/>
      <w:r w:rsidRPr="00BC3EB4">
        <w:rPr>
          <w:rFonts w:ascii="Arial" w:hAnsi="Arial" w:cs="Arial"/>
          <w:sz w:val="22"/>
          <w:szCs w:val="22"/>
        </w:rPr>
        <w:t xml:space="preserve"> (</w:t>
      </w:r>
      <w:proofErr w:type="spellStart"/>
      <w:r w:rsidRPr="00BC3EB4">
        <w:rPr>
          <w:rFonts w:ascii="Arial" w:hAnsi="Arial" w:cs="Arial"/>
          <w:sz w:val="22"/>
          <w:szCs w:val="22"/>
        </w:rPr>
        <w:t>norgestrel</w:t>
      </w:r>
      <w:proofErr w:type="spellEnd"/>
      <w:r w:rsidRPr="00BC3EB4">
        <w:rPr>
          <w:rFonts w:ascii="Arial" w:hAnsi="Arial" w:cs="Arial"/>
          <w:sz w:val="22"/>
          <w:szCs w:val="22"/>
        </w:rPr>
        <w:t xml:space="preserve"> tablet); </w:t>
      </w:r>
      <w:proofErr w:type="spellStart"/>
      <w:r w:rsidRPr="00BC3EB4">
        <w:rPr>
          <w:rFonts w:ascii="Arial" w:hAnsi="Arial" w:cs="Arial"/>
          <w:sz w:val="22"/>
          <w:szCs w:val="22"/>
        </w:rPr>
        <w:t>A90</w:t>
      </w:r>
      <w:proofErr w:type="spellEnd"/>
    </w:p>
    <w:p w14:paraId="3418CFF9" w14:textId="77777777" w:rsidR="00BC3EB4" w:rsidRPr="00BC3EB4" w:rsidRDefault="00BC3EB4" w:rsidP="00BC3EB4">
      <w:pPr>
        <w:autoSpaceDE w:val="0"/>
        <w:autoSpaceDN w:val="0"/>
        <w:adjustRightInd w:val="0"/>
        <w:spacing w:line="276" w:lineRule="auto"/>
        <w:ind w:left="1080"/>
        <w:rPr>
          <w:rFonts w:ascii="Arial" w:hAnsi="Arial" w:cs="Arial"/>
          <w:sz w:val="22"/>
          <w:szCs w:val="22"/>
        </w:rPr>
      </w:pPr>
    </w:p>
    <w:p w14:paraId="1166BB3B" w14:textId="477F3D0B" w:rsidR="00BC3EB4" w:rsidRPr="00BC3EB4" w:rsidRDefault="00BC3EB4" w:rsidP="00BC3EB4">
      <w:pPr>
        <w:pStyle w:val="ListParagraph"/>
        <w:numPr>
          <w:ilvl w:val="0"/>
          <w:numId w:val="29"/>
        </w:numPr>
        <w:autoSpaceDE w:val="0"/>
        <w:autoSpaceDN w:val="0"/>
        <w:adjustRightInd w:val="0"/>
        <w:spacing w:line="276" w:lineRule="auto"/>
        <w:contextualSpacing/>
        <w:rPr>
          <w:rFonts w:ascii="Arial" w:hAnsi="Arial" w:cs="Arial"/>
          <w:sz w:val="22"/>
          <w:szCs w:val="22"/>
        </w:rPr>
      </w:pPr>
      <w:r w:rsidRPr="00BC3EB4">
        <w:rPr>
          <w:rFonts w:ascii="Arial" w:hAnsi="Arial" w:cs="Arial"/>
          <w:sz w:val="22"/>
          <w:szCs w:val="22"/>
        </w:rPr>
        <w:t>Effective March 27, 2024, the following opioid reversal agent was added to the MassHealth Over-the-Counter Drug List on July 1, 2024.</w:t>
      </w:r>
    </w:p>
    <w:p w14:paraId="5B1A8C42" w14:textId="0222B116" w:rsidR="00F512EE" w:rsidRPr="00BC3EB4" w:rsidRDefault="00BC3EB4" w:rsidP="00BC3EB4">
      <w:pPr>
        <w:numPr>
          <w:ilvl w:val="0"/>
          <w:numId w:val="9"/>
        </w:numPr>
        <w:autoSpaceDE w:val="0"/>
        <w:autoSpaceDN w:val="0"/>
        <w:adjustRightInd w:val="0"/>
        <w:spacing w:line="276" w:lineRule="auto"/>
        <w:ind w:left="1080"/>
        <w:rPr>
          <w:rFonts w:ascii="Arial" w:hAnsi="Arial" w:cs="Arial"/>
          <w:sz w:val="22"/>
          <w:szCs w:val="22"/>
        </w:rPr>
      </w:pPr>
      <w:proofErr w:type="spellStart"/>
      <w:r w:rsidRPr="00BC3EB4">
        <w:rPr>
          <w:rFonts w:ascii="Arial" w:hAnsi="Arial" w:cs="Arial"/>
          <w:sz w:val="22"/>
          <w:szCs w:val="22"/>
        </w:rPr>
        <w:t>Rivive</w:t>
      </w:r>
      <w:proofErr w:type="spellEnd"/>
      <w:r w:rsidRPr="00BC3EB4">
        <w:rPr>
          <w:rFonts w:ascii="Arial" w:hAnsi="Arial" w:cs="Arial"/>
          <w:sz w:val="22"/>
          <w:szCs w:val="22"/>
        </w:rPr>
        <w:t xml:space="preserve"> (naloxone 3 mg nasal spray)</w:t>
      </w:r>
    </w:p>
    <w:p w14:paraId="76C58E45" w14:textId="77777777" w:rsidR="00E727B5" w:rsidRDefault="00E727B5" w:rsidP="0086142C">
      <w:pPr>
        <w:autoSpaceDE w:val="0"/>
        <w:autoSpaceDN w:val="0"/>
        <w:adjustRightInd w:val="0"/>
        <w:spacing w:line="360" w:lineRule="auto"/>
        <w:ind w:left="1080" w:hanging="720"/>
        <w:rPr>
          <w:rFonts w:ascii="Arial" w:hAnsi="Arial" w:cs="Arial"/>
          <w:sz w:val="16"/>
          <w:szCs w:val="16"/>
        </w:rPr>
        <w:sectPr w:rsidR="00E727B5" w:rsidSect="003C1739">
          <w:footerReference w:type="default" r:id="rId13"/>
          <w:type w:val="continuous"/>
          <w:pgSz w:w="12240" w:h="15840" w:code="1"/>
          <w:pgMar w:top="360" w:right="907" w:bottom="432" w:left="907" w:header="720" w:footer="576" w:gutter="0"/>
          <w:cols w:num="2" w:sep="1" w:space="720"/>
          <w:docGrid w:linePitch="360"/>
        </w:sectPr>
      </w:pPr>
    </w:p>
    <w:p w14:paraId="105D8FC8" w14:textId="6C235153" w:rsidR="00C903F9" w:rsidRPr="00C903F9" w:rsidRDefault="00C903F9" w:rsidP="00C903F9">
      <w:pPr>
        <w:pStyle w:val="Heading3"/>
        <w:spacing w:after="0"/>
        <w:ind w:left="101"/>
        <w:jc w:val="center"/>
        <w:rPr>
          <w:sz w:val="18"/>
          <w:szCs w:val="18"/>
        </w:rPr>
      </w:pPr>
      <w:r w:rsidRPr="00C903F9">
        <w:rPr>
          <w:sz w:val="18"/>
          <w:szCs w:val="18"/>
        </w:rPr>
        <w:lastRenderedPageBreak/>
        <w:t>Legend</w:t>
      </w:r>
    </w:p>
    <w:p w14:paraId="5B1A8C49" w14:textId="77777777" w:rsidR="00F512EE" w:rsidRPr="006E6AFF" w:rsidRDefault="00F512EE" w:rsidP="005B15B3">
      <w:pPr>
        <w:shd w:val="clear" w:color="auto" w:fill="FFFFFF"/>
        <w:tabs>
          <w:tab w:val="left" w:pos="180"/>
          <w:tab w:val="left" w:pos="360"/>
        </w:tabs>
        <w:ind w:left="270" w:hanging="360"/>
        <w:rPr>
          <w:rFonts w:ascii="Arial" w:hAnsi="Arial"/>
          <w:b/>
          <w:bCs/>
          <w:color w:val="FF0000"/>
          <w:sz w:val="18"/>
          <w:szCs w:val="18"/>
        </w:rPr>
      </w:pPr>
    </w:p>
    <w:p w14:paraId="5B1A8C4A" w14:textId="17640EBC" w:rsidR="00E50862" w:rsidRDefault="00E50862" w:rsidP="005B15B3">
      <w:pPr>
        <w:shd w:val="clear" w:color="auto" w:fill="FFFFFF"/>
        <w:tabs>
          <w:tab w:val="left" w:pos="180"/>
          <w:tab w:val="left" w:pos="360"/>
        </w:tabs>
        <w:ind w:left="270" w:hanging="360"/>
        <w:rPr>
          <w:rFonts w:ascii="Arial" w:hAnsi="Arial"/>
          <w:bCs/>
          <w:sz w:val="18"/>
          <w:szCs w:val="18"/>
        </w:rPr>
      </w:pPr>
      <w:r w:rsidRPr="00B645C9">
        <w:rPr>
          <w:rFonts w:ascii="Arial" w:hAnsi="Arial"/>
          <w:b/>
          <w:bCs/>
          <w:sz w:val="18"/>
          <w:szCs w:val="18"/>
        </w:rPr>
        <w:t>PA</w:t>
      </w:r>
      <w:r w:rsidR="004E4B2F">
        <w:rPr>
          <w:rFonts w:ascii="Arial" w:hAnsi="Arial"/>
          <w:b/>
          <w:bCs/>
          <w:sz w:val="18"/>
          <w:szCs w:val="18"/>
        </w:rPr>
        <w:tab/>
      </w:r>
      <w:r w:rsidR="004E4B2F">
        <w:rPr>
          <w:rFonts w:ascii="Arial" w:hAnsi="Arial"/>
          <w:b/>
          <w:bCs/>
          <w:sz w:val="18"/>
          <w:szCs w:val="18"/>
        </w:rPr>
        <w:tab/>
      </w:r>
      <w:r>
        <w:rPr>
          <w:rFonts w:ascii="Arial" w:hAnsi="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14:paraId="5B1A8C4B" w14:textId="77777777" w:rsidR="009D6D73" w:rsidRDefault="009D6D73" w:rsidP="009F0526">
      <w:pPr>
        <w:shd w:val="clear" w:color="auto" w:fill="FFFFFF"/>
        <w:tabs>
          <w:tab w:val="left" w:pos="360"/>
        </w:tabs>
        <w:ind w:left="270" w:hanging="360"/>
        <w:rPr>
          <w:rFonts w:ascii="Arial" w:hAnsi="Arial"/>
          <w:bCs/>
          <w:sz w:val="18"/>
          <w:szCs w:val="18"/>
        </w:rPr>
      </w:pPr>
    </w:p>
    <w:p w14:paraId="5B1A8C4C" w14:textId="2EC50457" w:rsidR="009D6D73" w:rsidRPr="009D6D73" w:rsidRDefault="009D6D73" w:rsidP="009D6D73">
      <w:pPr>
        <w:shd w:val="clear" w:color="auto" w:fill="FFFFFF"/>
        <w:tabs>
          <w:tab w:val="left" w:pos="270"/>
          <w:tab w:val="left" w:pos="360"/>
        </w:tabs>
        <w:ind w:left="270" w:hanging="360"/>
        <w:rPr>
          <w:rFonts w:ascii="Arial" w:hAnsi="Arial"/>
          <w:bCs/>
          <w:sz w:val="18"/>
          <w:szCs w:val="18"/>
        </w:rPr>
      </w:pPr>
      <w:r w:rsidRPr="00193FF2">
        <w:rPr>
          <w:rFonts w:ascii="Arial" w:hAnsi="Arial"/>
          <w:bCs/>
          <w:sz w:val="18"/>
          <w:szCs w:val="18"/>
        </w:rPr>
        <w:t>#</w:t>
      </w: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 xml:space="preserve"> </w:t>
      </w:r>
      <w:r w:rsidR="00BC3EB4">
        <w:rPr>
          <w:rFonts w:ascii="Arial" w:hAnsi="Arial"/>
          <w:bCs/>
          <w:sz w:val="18"/>
          <w:szCs w:val="18"/>
        </w:rPr>
        <w:t>This d</w:t>
      </w:r>
      <w:r w:rsidRPr="009D6D73">
        <w:rPr>
          <w:rFonts w:ascii="Arial" w:hAnsi="Arial"/>
          <w:bCs/>
          <w:sz w:val="18"/>
          <w:szCs w:val="18"/>
        </w:rPr>
        <w:t>esignates a brand-name drug with FDA “A”-rated generic equivalents.</w:t>
      </w:r>
      <w:r w:rsidR="00BC3EB4">
        <w:rPr>
          <w:rFonts w:ascii="Arial" w:hAnsi="Arial"/>
          <w:bCs/>
          <w:sz w:val="18"/>
          <w:szCs w:val="18"/>
        </w:rPr>
        <w:t xml:space="preserve">PA </w:t>
      </w:r>
      <w:r w:rsidRPr="009D6D73">
        <w:rPr>
          <w:rFonts w:ascii="Arial" w:hAnsi="Arial"/>
          <w:bCs/>
          <w:sz w:val="18"/>
          <w:szCs w:val="18"/>
        </w:rPr>
        <w:t xml:space="preserve">is required for the brand, unless a particular form of that drug (for example, tablet, capsule, or liquid) does not have an FDA “A”-rated generic equivalent. </w:t>
      </w:r>
    </w:p>
    <w:p w14:paraId="5B1A8C4D" w14:textId="77777777" w:rsidR="009D6D73" w:rsidRPr="005B15B3" w:rsidRDefault="009D6D73" w:rsidP="00E50862">
      <w:pPr>
        <w:shd w:val="clear" w:color="auto" w:fill="FFFFFF"/>
        <w:tabs>
          <w:tab w:val="left" w:pos="360"/>
        </w:tabs>
        <w:ind w:left="540" w:hanging="630"/>
        <w:rPr>
          <w:rFonts w:ascii="Arial" w:hAnsi="Arial"/>
          <w:bCs/>
          <w:sz w:val="22"/>
          <w:szCs w:val="22"/>
        </w:rPr>
      </w:pPr>
    </w:p>
    <w:p w14:paraId="5B1A8C4E" w14:textId="74960A4D" w:rsidR="00212622" w:rsidRDefault="00E50862" w:rsidP="00212622">
      <w:pPr>
        <w:shd w:val="clear" w:color="auto" w:fill="FFFFFF"/>
        <w:ind w:left="270" w:hanging="441"/>
        <w:rPr>
          <w:rFonts w:ascii="Arial" w:hAnsi="Arial"/>
          <w:bCs/>
          <w:sz w:val="18"/>
          <w:szCs w:val="18"/>
        </w:rPr>
      </w:pPr>
      <w:r w:rsidRPr="00A802D4">
        <w:rPr>
          <w:rFonts w:ascii="Arial" w:hAnsi="Arial"/>
          <w:bCs/>
          <w:sz w:val="18"/>
          <w:szCs w:val="18"/>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9F0526">
        <w:rPr>
          <w:rFonts w:ascii="Arial" w:hAnsi="Arial"/>
          <w:bCs/>
          <w:sz w:val="18"/>
          <w:szCs w:val="18"/>
        </w:rPr>
        <w:tab/>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In general, MassHealth requires a trial of the preferred drug or clinical rationale for prescribing the nonpreferred drug generic equivalent</w:t>
      </w:r>
      <w:r w:rsidR="00212622">
        <w:rPr>
          <w:rFonts w:ascii="Arial" w:hAnsi="Arial"/>
          <w:bCs/>
          <w:sz w:val="18"/>
          <w:szCs w:val="18"/>
        </w:rPr>
        <w:t>.</w:t>
      </w:r>
    </w:p>
    <w:p w14:paraId="5B1A8C4F" w14:textId="77777777" w:rsidR="00212622" w:rsidRDefault="00212622" w:rsidP="00212622">
      <w:pPr>
        <w:shd w:val="clear" w:color="auto" w:fill="FFFFFF"/>
        <w:ind w:left="270" w:hanging="441"/>
        <w:rPr>
          <w:rFonts w:ascii="Arial" w:hAnsi="Arial" w:cs="Arial"/>
          <w:b/>
          <w:sz w:val="18"/>
          <w:szCs w:val="18"/>
          <w:vertAlign w:val="superscript"/>
        </w:rPr>
      </w:pPr>
    </w:p>
    <w:p w14:paraId="7D3C6263" w14:textId="72F54EBA" w:rsidR="00BC3EB4" w:rsidRDefault="00BC3EB4" w:rsidP="00212622">
      <w:pPr>
        <w:shd w:val="clear" w:color="auto" w:fill="FFFFFF"/>
        <w:ind w:left="270" w:hanging="441"/>
        <w:rPr>
          <w:rFonts w:ascii="Arial" w:hAnsi="Arial"/>
          <w:bCs/>
          <w:sz w:val="18"/>
          <w:szCs w:val="18"/>
        </w:rPr>
      </w:pPr>
      <w:r w:rsidRPr="00A802D4">
        <w:rPr>
          <w:rFonts w:ascii="Arial" w:hAnsi="Arial" w:cs="Arial"/>
          <w:bCs/>
          <w:sz w:val="18"/>
          <w:szCs w:val="18"/>
        </w:rPr>
        <w:t>MB</w:t>
      </w:r>
      <w:r w:rsidRPr="00FF051A">
        <w:rPr>
          <w:rFonts w:ascii="Arial" w:hAnsi="Arial" w:cs="Arial"/>
          <w:b/>
          <w:sz w:val="18"/>
          <w:szCs w:val="18"/>
          <w:vertAlign w:val="superscript"/>
        </w:rPr>
        <w:t xml:space="preserve"> </w:t>
      </w:r>
      <w:r w:rsidRPr="00FF051A">
        <w:rPr>
          <w:rFonts w:ascii="Arial" w:hAnsi="Arial" w:cs="Arial"/>
          <w:b/>
          <w:sz w:val="18"/>
          <w:szCs w:val="18"/>
          <w:vertAlign w:val="superscript"/>
        </w:rPr>
        <w:tab/>
      </w:r>
      <w:r w:rsidRPr="00FF051A">
        <w:rPr>
          <w:rFonts w:ascii="Arial" w:hAnsi="Arial"/>
          <w:bCs/>
          <w:sz w:val="18"/>
          <w:szCs w:val="18"/>
        </w:rPr>
        <w:t>This drug is available through the health care</w:t>
      </w:r>
      <w:r w:rsidRPr="00BC3EB4">
        <w:rPr>
          <w:rFonts w:ascii="Arial" w:hAnsi="Arial"/>
          <w:bCs/>
          <w:sz w:val="18"/>
          <w:szCs w:val="18"/>
        </w:rPr>
        <w:t xml:space="preserv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w:t>
      </w:r>
      <w:r w:rsidR="00157CDF">
        <w:rPr>
          <w:rFonts w:ascii="Arial" w:hAnsi="Arial"/>
          <w:bCs/>
          <w:sz w:val="18"/>
          <w:szCs w:val="18"/>
        </w:rPr>
        <w:t xml:space="preserve">the applicable </w:t>
      </w:r>
      <w:r w:rsidRPr="00BC3EB4">
        <w:rPr>
          <w:rFonts w:ascii="Arial" w:hAnsi="Arial"/>
          <w:bCs/>
          <w:sz w:val="18"/>
          <w:szCs w:val="18"/>
        </w:rPr>
        <w:t xml:space="preserve">MassHealth </w:t>
      </w:r>
      <w:r w:rsidR="00F973F7">
        <w:rPr>
          <w:rFonts w:ascii="Arial" w:hAnsi="Arial"/>
          <w:bCs/>
          <w:sz w:val="18"/>
          <w:szCs w:val="18"/>
        </w:rPr>
        <w:t>a</w:t>
      </w:r>
      <w:r w:rsidRPr="00BC3EB4">
        <w:rPr>
          <w:rFonts w:ascii="Arial" w:hAnsi="Arial"/>
          <w:bCs/>
          <w:sz w:val="18"/>
          <w:szCs w:val="18"/>
        </w:rPr>
        <w:t xml:space="preserve">ccountable </w:t>
      </w:r>
      <w:r w:rsidR="00F973F7">
        <w:rPr>
          <w:rFonts w:ascii="Arial" w:hAnsi="Arial"/>
          <w:bCs/>
          <w:sz w:val="18"/>
          <w:szCs w:val="18"/>
        </w:rPr>
        <w:t>c</w:t>
      </w:r>
      <w:r w:rsidRPr="00BC3EB4">
        <w:rPr>
          <w:rFonts w:ascii="Arial" w:hAnsi="Arial"/>
          <w:bCs/>
          <w:sz w:val="18"/>
          <w:szCs w:val="18"/>
        </w:rPr>
        <w:t xml:space="preserve">are </w:t>
      </w:r>
      <w:r w:rsidR="00F973F7">
        <w:rPr>
          <w:rFonts w:ascii="Arial" w:hAnsi="Arial"/>
          <w:bCs/>
          <w:sz w:val="18"/>
          <w:szCs w:val="18"/>
        </w:rPr>
        <w:t>p</w:t>
      </w:r>
      <w:r w:rsidRPr="00BC3EB4">
        <w:rPr>
          <w:rFonts w:ascii="Arial" w:hAnsi="Arial"/>
          <w:bCs/>
          <w:sz w:val="18"/>
          <w:szCs w:val="18"/>
        </w:rPr>
        <w:t xml:space="preserve">artnership </w:t>
      </w:r>
      <w:r w:rsidR="00F973F7">
        <w:rPr>
          <w:rFonts w:ascii="Arial" w:hAnsi="Arial"/>
          <w:bCs/>
          <w:sz w:val="18"/>
          <w:szCs w:val="18"/>
        </w:rPr>
        <w:t>p</w:t>
      </w:r>
      <w:r w:rsidRPr="00BC3EB4">
        <w:rPr>
          <w:rFonts w:ascii="Arial" w:hAnsi="Arial"/>
          <w:bCs/>
          <w:sz w:val="18"/>
          <w:szCs w:val="18"/>
        </w:rPr>
        <w:t xml:space="preserve">lans and </w:t>
      </w:r>
      <w:r w:rsidR="00F973F7">
        <w:rPr>
          <w:rFonts w:ascii="Arial" w:hAnsi="Arial"/>
          <w:bCs/>
          <w:sz w:val="18"/>
          <w:szCs w:val="18"/>
        </w:rPr>
        <w:t>m</w:t>
      </w:r>
      <w:r w:rsidRPr="00BC3EB4">
        <w:rPr>
          <w:rFonts w:ascii="Arial" w:hAnsi="Arial"/>
          <w:bCs/>
          <w:sz w:val="18"/>
          <w:szCs w:val="18"/>
        </w:rPr>
        <w:t xml:space="preserve">anaged </w:t>
      </w:r>
      <w:r w:rsidR="00F973F7">
        <w:rPr>
          <w:rFonts w:ascii="Arial" w:hAnsi="Arial"/>
          <w:bCs/>
          <w:sz w:val="18"/>
          <w:szCs w:val="18"/>
        </w:rPr>
        <w:t>c</w:t>
      </w:r>
      <w:r w:rsidRPr="00BC3EB4">
        <w:rPr>
          <w:rFonts w:ascii="Arial" w:hAnsi="Arial"/>
          <w:bCs/>
          <w:sz w:val="18"/>
          <w:szCs w:val="18"/>
        </w:rPr>
        <w:t xml:space="preserve">are </w:t>
      </w:r>
      <w:r w:rsidR="00F973F7">
        <w:rPr>
          <w:rFonts w:ascii="Arial" w:hAnsi="Arial"/>
          <w:bCs/>
          <w:sz w:val="18"/>
          <w:szCs w:val="18"/>
        </w:rPr>
        <w:t>o</w:t>
      </w:r>
      <w:r w:rsidRPr="00BC3EB4">
        <w:rPr>
          <w:rFonts w:ascii="Arial" w:hAnsi="Arial"/>
          <w:bCs/>
          <w:sz w:val="18"/>
          <w:szCs w:val="18"/>
        </w:rPr>
        <w:t>rganizations for PA status and criteria, if applicable.</w:t>
      </w:r>
    </w:p>
    <w:p w14:paraId="016C0273" w14:textId="77777777" w:rsidR="00BC3EB4" w:rsidRPr="00BC3EB4" w:rsidRDefault="00BC3EB4" w:rsidP="00212622">
      <w:pPr>
        <w:shd w:val="clear" w:color="auto" w:fill="FFFFFF"/>
        <w:ind w:left="270" w:hanging="441"/>
        <w:rPr>
          <w:rFonts w:ascii="Arial" w:hAnsi="Arial"/>
          <w:bCs/>
          <w:sz w:val="18"/>
          <w:szCs w:val="18"/>
        </w:rPr>
      </w:pPr>
    </w:p>
    <w:p w14:paraId="1AC52A5D" w14:textId="2327DA28" w:rsidR="00BC3EB4" w:rsidRDefault="00BC3EB4" w:rsidP="00212622">
      <w:pPr>
        <w:shd w:val="clear" w:color="auto" w:fill="FFFFFF"/>
        <w:ind w:left="270" w:hanging="441"/>
        <w:rPr>
          <w:rFonts w:ascii="Arial" w:hAnsi="Arial"/>
          <w:bCs/>
          <w:sz w:val="18"/>
          <w:szCs w:val="18"/>
        </w:rPr>
      </w:pPr>
      <w:proofErr w:type="spellStart"/>
      <w:r w:rsidRPr="00A802D4">
        <w:rPr>
          <w:rFonts w:ascii="Arial" w:hAnsi="Arial" w:cs="Arial"/>
          <w:bCs/>
          <w:sz w:val="18"/>
          <w:szCs w:val="18"/>
        </w:rPr>
        <w:t>A90</w:t>
      </w:r>
      <w:proofErr w:type="spellEnd"/>
      <w:r w:rsidRPr="00BC3EB4">
        <w:rPr>
          <w:rFonts w:ascii="Arial" w:hAnsi="Arial" w:cs="Arial"/>
          <w:b/>
          <w:sz w:val="18"/>
          <w:szCs w:val="18"/>
          <w:vertAlign w:val="superscript"/>
        </w:rPr>
        <w:t xml:space="preserve"> </w:t>
      </w:r>
      <w:r>
        <w:rPr>
          <w:rFonts w:ascii="Arial" w:hAnsi="Arial" w:cs="Arial"/>
          <w:b/>
          <w:sz w:val="18"/>
          <w:szCs w:val="18"/>
          <w:vertAlign w:val="superscript"/>
        </w:rPr>
        <w:tab/>
      </w:r>
      <w:r w:rsidRPr="00BC3EB4">
        <w:rPr>
          <w:rFonts w:ascii="Arial" w:hAnsi="Arial"/>
          <w:bCs/>
          <w:sz w:val="18"/>
          <w:szCs w:val="18"/>
        </w:rPr>
        <w:t xml:space="preserve">Allowable 90-day supply. Dispensing in up to a 90-day supply is allowed. May not include all strengths or </w:t>
      </w:r>
      <w:r w:rsidRPr="00BC3EB4">
        <w:rPr>
          <w:rFonts w:ascii="Arial" w:hAnsi="Arial"/>
          <w:bCs/>
          <w:sz w:val="18"/>
          <w:szCs w:val="18"/>
        </w:rPr>
        <w:t>formulations. Quantity limits and other restrictions may apply.</w:t>
      </w:r>
    </w:p>
    <w:p w14:paraId="66F12EA7" w14:textId="77777777" w:rsidR="00BC3EB4" w:rsidRPr="0041065E" w:rsidRDefault="00BC3EB4" w:rsidP="00212622">
      <w:pPr>
        <w:shd w:val="clear" w:color="auto" w:fill="FFFFFF"/>
        <w:ind w:left="270" w:hanging="441"/>
        <w:rPr>
          <w:rFonts w:ascii="Arial" w:hAnsi="Arial" w:cs="Arial"/>
          <w:b/>
          <w:sz w:val="18"/>
          <w:szCs w:val="18"/>
          <w:vertAlign w:val="superscript"/>
        </w:rPr>
      </w:pPr>
    </w:p>
    <w:p w14:paraId="382F92DF" w14:textId="4AE8F2EB" w:rsidR="00BC3EB4" w:rsidRDefault="00BC3EB4" w:rsidP="00BC3EB4">
      <w:pPr>
        <w:shd w:val="clear" w:color="auto" w:fill="FFFFFF"/>
        <w:ind w:left="270" w:hanging="450"/>
        <w:rPr>
          <w:rFonts w:ascii="Arial" w:hAnsi="Arial"/>
          <w:bCs/>
          <w:sz w:val="18"/>
          <w:szCs w:val="18"/>
        </w:rPr>
      </w:pPr>
      <w:r w:rsidRPr="00193FF2">
        <w:rPr>
          <w:rFonts w:ascii="Arial" w:hAnsi="Arial" w:cs="Arial"/>
          <w:sz w:val="18"/>
          <w:szCs w:val="18"/>
        </w:rPr>
        <w:t>CO</w:t>
      </w:r>
      <w:r w:rsidRPr="00BC3EB4">
        <w:rPr>
          <w:rFonts w:ascii="Arial" w:hAnsi="Arial" w:cs="Arial"/>
          <w:sz w:val="16"/>
          <w:szCs w:val="16"/>
        </w:rPr>
        <w:t xml:space="preserve"> </w:t>
      </w:r>
      <w:r>
        <w:rPr>
          <w:rFonts w:ascii="Arial" w:hAnsi="Arial" w:cs="Arial"/>
          <w:sz w:val="16"/>
          <w:szCs w:val="16"/>
        </w:rPr>
        <w:tab/>
      </w:r>
      <w:r w:rsidRPr="00BC3EB4">
        <w:rPr>
          <w:rFonts w:ascii="Arial" w:hAnsi="Arial"/>
          <w:bCs/>
          <w:sz w:val="18"/>
          <w:szCs w:val="18"/>
        </w:rPr>
        <w:t>Carve-Out. This agent is listed on the Acute Hospital Carve-Out Drugs List and is subject to additional monitoring and billing requirements.</w:t>
      </w:r>
    </w:p>
    <w:p w14:paraId="694ABD50" w14:textId="77777777" w:rsidR="00BC3EB4" w:rsidRPr="00BC3EB4" w:rsidRDefault="00BC3EB4" w:rsidP="00BC3EB4">
      <w:pPr>
        <w:shd w:val="clear" w:color="auto" w:fill="FFFFFF"/>
        <w:ind w:left="270" w:hanging="450"/>
        <w:rPr>
          <w:rFonts w:ascii="Arial" w:hAnsi="Arial" w:cs="Arial"/>
          <w:sz w:val="16"/>
          <w:szCs w:val="16"/>
        </w:rPr>
      </w:pPr>
    </w:p>
    <w:p w14:paraId="14223DB2" w14:textId="13704828" w:rsidR="00BC3EB4" w:rsidRDefault="00BC3EB4" w:rsidP="00BC3EB4">
      <w:pPr>
        <w:shd w:val="clear" w:color="auto" w:fill="FFFFFF"/>
        <w:ind w:left="270" w:hanging="450"/>
        <w:rPr>
          <w:rFonts w:ascii="Arial" w:hAnsi="Arial" w:cs="Arial"/>
          <w:sz w:val="16"/>
          <w:szCs w:val="16"/>
        </w:rPr>
      </w:pPr>
      <w:proofErr w:type="spellStart"/>
      <w:r w:rsidRPr="00193FF2">
        <w:rPr>
          <w:rFonts w:ascii="Arial" w:hAnsi="Arial" w:cs="Arial"/>
          <w:sz w:val="18"/>
          <w:szCs w:val="18"/>
        </w:rPr>
        <w:t>M90</w:t>
      </w:r>
      <w:proofErr w:type="spellEnd"/>
      <w:r w:rsidR="004E4B2F">
        <w:rPr>
          <w:rFonts w:ascii="Arial" w:hAnsi="Arial" w:cs="Arial"/>
          <w:sz w:val="16"/>
          <w:szCs w:val="16"/>
        </w:rPr>
        <w:tab/>
      </w:r>
      <w:r w:rsidRPr="00BC3EB4">
        <w:rPr>
          <w:rFonts w:ascii="Arial" w:hAnsi="Arial"/>
          <w:bCs/>
          <w:sz w:val="18"/>
          <w:szCs w:val="18"/>
        </w:rPr>
        <w:t>Mandatory 90-day supply. After a 30-day supply initial fill</w:t>
      </w:r>
      <w:r w:rsidR="00157CDF">
        <w:rPr>
          <w:rFonts w:ascii="Arial" w:hAnsi="Arial"/>
          <w:bCs/>
          <w:sz w:val="18"/>
          <w:szCs w:val="18"/>
        </w:rPr>
        <w:t xml:space="preserve"> is dispensed</w:t>
      </w:r>
      <w:r w:rsidRPr="00BC3EB4">
        <w:rPr>
          <w:rFonts w:ascii="Arial" w:hAnsi="Arial"/>
          <w:bCs/>
          <w:sz w:val="18"/>
          <w:szCs w:val="18"/>
        </w:rPr>
        <w:t>, dispensing in a 90-day supply is required. May not include all strengths or formulations. Quantity limits and other restrictions may also apply.</w:t>
      </w:r>
      <w:r w:rsidRPr="00BC3EB4">
        <w:rPr>
          <w:rFonts w:ascii="Arial" w:hAnsi="Arial" w:cs="Arial"/>
          <w:sz w:val="16"/>
          <w:szCs w:val="16"/>
        </w:rPr>
        <w:t xml:space="preserve"> </w:t>
      </w:r>
    </w:p>
    <w:p w14:paraId="3FDF15F2" w14:textId="77777777" w:rsidR="00BC3EB4" w:rsidRPr="00BC3EB4" w:rsidRDefault="00BC3EB4" w:rsidP="00BC3EB4">
      <w:pPr>
        <w:shd w:val="clear" w:color="auto" w:fill="FFFFFF"/>
        <w:ind w:left="270" w:hanging="450"/>
        <w:rPr>
          <w:rFonts w:ascii="Arial" w:hAnsi="Arial" w:cs="Arial"/>
          <w:sz w:val="16"/>
          <w:szCs w:val="16"/>
        </w:rPr>
      </w:pPr>
    </w:p>
    <w:p w14:paraId="00A5907D" w14:textId="6462655B" w:rsidR="00BC3EB4" w:rsidRDefault="00BC3EB4" w:rsidP="00BC3EB4">
      <w:pPr>
        <w:shd w:val="clear" w:color="auto" w:fill="FFFFFF"/>
        <w:ind w:left="270" w:hanging="450"/>
        <w:rPr>
          <w:rFonts w:ascii="Arial" w:hAnsi="Arial"/>
          <w:bCs/>
          <w:sz w:val="18"/>
          <w:szCs w:val="18"/>
        </w:rPr>
      </w:pPr>
      <w:r w:rsidRPr="00193FF2">
        <w:rPr>
          <w:rFonts w:ascii="Arial" w:hAnsi="Arial" w:cs="Arial"/>
          <w:sz w:val="18"/>
          <w:szCs w:val="18"/>
        </w:rPr>
        <w:t>CP</w:t>
      </w:r>
      <w:r>
        <w:rPr>
          <w:rFonts w:ascii="Arial" w:hAnsi="Arial" w:cs="Arial"/>
          <w:sz w:val="16"/>
          <w:szCs w:val="16"/>
        </w:rPr>
        <w:tab/>
      </w:r>
      <w:r w:rsidRPr="00BC3EB4">
        <w:rPr>
          <w:rFonts w:ascii="Arial" w:hAnsi="Arial"/>
          <w:bCs/>
          <w:sz w:val="18"/>
          <w:szCs w:val="18"/>
        </w:rPr>
        <w:t>Compounded pharmaceutical products with a total allowed ingredient cost greater than or equal to $100 require PA. In addition, compounded pharmaceutical products with</w:t>
      </w:r>
      <w:r w:rsidR="00157CDF">
        <w:rPr>
          <w:rFonts w:ascii="Arial" w:hAnsi="Arial"/>
          <w:bCs/>
          <w:sz w:val="18"/>
          <w:szCs w:val="18"/>
        </w:rPr>
        <w:t xml:space="preserve"> an</w:t>
      </w:r>
      <w:r w:rsidRPr="00BC3EB4">
        <w:rPr>
          <w:rFonts w:ascii="Arial" w:hAnsi="Arial"/>
          <w:bCs/>
          <w:sz w:val="18"/>
          <w:szCs w:val="18"/>
        </w:rPr>
        <w:t xml:space="preserve"> intradermal, topical, or transdermal route of administration (ROA) require PA. The following ROAs are excluded from the PA requirement for products with a total allowed ingredient cost greater than or equal to $100: infusion, intramuscular, intravenous, intravenous piggyback, intravenous push, subcutaneous. Compounded pharmaceutical products </w:t>
      </w:r>
      <w:r w:rsidR="00CA068A">
        <w:rPr>
          <w:rFonts w:ascii="Arial" w:hAnsi="Arial"/>
          <w:bCs/>
          <w:sz w:val="18"/>
          <w:szCs w:val="18"/>
        </w:rPr>
        <w:t xml:space="preserve">that include </w:t>
      </w:r>
      <w:r w:rsidRPr="00BC3EB4">
        <w:rPr>
          <w:rFonts w:ascii="Arial" w:hAnsi="Arial"/>
          <w:bCs/>
          <w:sz w:val="18"/>
          <w:szCs w:val="18"/>
        </w:rPr>
        <w:t>any PA-requiring agent or no</w:t>
      </w:r>
      <w:r w:rsidR="00157CDF">
        <w:rPr>
          <w:rFonts w:ascii="Arial" w:hAnsi="Arial"/>
          <w:bCs/>
          <w:sz w:val="18"/>
          <w:szCs w:val="18"/>
        </w:rPr>
        <w:t>n</w:t>
      </w:r>
      <w:r w:rsidRPr="00BC3EB4">
        <w:rPr>
          <w:rFonts w:ascii="Arial" w:hAnsi="Arial"/>
          <w:bCs/>
          <w:sz w:val="18"/>
          <w:szCs w:val="18"/>
        </w:rPr>
        <w:t>covered ingredient require PA.</w:t>
      </w:r>
    </w:p>
    <w:p w14:paraId="59A1105B" w14:textId="77777777" w:rsidR="00BC3EB4" w:rsidRDefault="00BC3EB4" w:rsidP="00BC3EB4">
      <w:pPr>
        <w:shd w:val="clear" w:color="auto" w:fill="FFFFFF"/>
        <w:ind w:left="270" w:hanging="450"/>
        <w:rPr>
          <w:rFonts w:ascii="Arial" w:hAnsi="Arial" w:cs="Arial"/>
          <w:sz w:val="16"/>
          <w:szCs w:val="16"/>
        </w:rPr>
      </w:pPr>
    </w:p>
    <w:p w14:paraId="1C9E0CA8" w14:textId="77777777" w:rsidR="00BC3EB4" w:rsidRDefault="00BC3EB4" w:rsidP="00BC3EB4">
      <w:pPr>
        <w:shd w:val="clear" w:color="auto" w:fill="FFFFFF"/>
        <w:ind w:left="270" w:hanging="450"/>
        <w:rPr>
          <w:rFonts w:ascii="Arial" w:hAnsi="Arial" w:cs="Arial"/>
          <w:sz w:val="16"/>
          <w:szCs w:val="16"/>
        </w:rPr>
      </w:pPr>
    </w:p>
    <w:p w14:paraId="3568F29E" w14:textId="77777777" w:rsidR="00BC3EB4" w:rsidRDefault="00BC3EB4" w:rsidP="00BC3EB4">
      <w:pPr>
        <w:shd w:val="clear" w:color="auto" w:fill="FFFFFF"/>
        <w:ind w:left="270" w:hanging="450"/>
        <w:rPr>
          <w:rFonts w:ascii="Arial" w:hAnsi="Arial" w:cs="Arial"/>
          <w:sz w:val="16"/>
          <w:szCs w:val="16"/>
        </w:rPr>
      </w:pPr>
    </w:p>
    <w:p w14:paraId="5C9475E6" w14:textId="77777777" w:rsidR="00BC3EB4" w:rsidRDefault="00BC3EB4" w:rsidP="00BC3EB4">
      <w:pPr>
        <w:shd w:val="clear" w:color="auto" w:fill="FFFFFF"/>
        <w:ind w:left="270" w:hanging="450"/>
        <w:rPr>
          <w:rFonts w:ascii="Arial" w:hAnsi="Arial" w:cs="Arial"/>
          <w:sz w:val="16"/>
          <w:szCs w:val="16"/>
        </w:rPr>
      </w:pPr>
    </w:p>
    <w:p w14:paraId="7E5975E4" w14:textId="77777777" w:rsidR="00BC3EB4" w:rsidRDefault="00BC3EB4" w:rsidP="00BC3EB4">
      <w:pPr>
        <w:shd w:val="clear" w:color="auto" w:fill="FFFFFF"/>
        <w:ind w:left="270" w:hanging="450"/>
        <w:rPr>
          <w:rFonts w:ascii="Arial" w:hAnsi="Arial" w:cs="Arial"/>
          <w:sz w:val="16"/>
          <w:szCs w:val="16"/>
        </w:rPr>
      </w:pPr>
    </w:p>
    <w:p w14:paraId="07C8AE4B" w14:textId="77777777" w:rsidR="00BC3EB4" w:rsidRDefault="00BC3EB4" w:rsidP="00BC3EB4">
      <w:pPr>
        <w:shd w:val="clear" w:color="auto" w:fill="FFFFFF"/>
        <w:ind w:left="270" w:hanging="450"/>
        <w:rPr>
          <w:rFonts w:ascii="Arial" w:hAnsi="Arial" w:cs="Arial"/>
          <w:sz w:val="16"/>
          <w:szCs w:val="16"/>
        </w:rPr>
      </w:pPr>
    </w:p>
    <w:p w14:paraId="18AD6E12" w14:textId="77777777" w:rsidR="00BC3EB4" w:rsidRDefault="00BC3EB4" w:rsidP="00BC3EB4">
      <w:pPr>
        <w:shd w:val="clear" w:color="auto" w:fill="FFFFFF"/>
        <w:ind w:left="270" w:hanging="450"/>
        <w:rPr>
          <w:rFonts w:ascii="Arial" w:hAnsi="Arial" w:cs="Arial"/>
          <w:sz w:val="16"/>
          <w:szCs w:val="16"/>
        </w:rPr>
      </w:pPr>
    </w:p>
    <w:p w14:paraId="37C5B91F" w14:textId="77777777" w:rsidR="00BC3EB4" w:rsidRDefault="00BC3EB4" w:rsidP="00BC3EB4">
      <w:pPr>
        <w:shd w:val="clear" w:color="auto" w:fill="FFFFFF"/>
        <w:ind w:left="270" w:hanging="450"/>
        <w:rPr>
          <w:rFonts w:ascii="Arial" w:hAnsi="Arial" w:cs="Arial"/>
          <w:sz w:val="16"/>
          <w:szCs w:val="16"/>
        </w:rPr>
      </w:pPr>
    </w:p>
    <w:p w14:paraId="547AD6B8" w14:textId="77777777" w:rsidR="00BC3EB4" w:rsidRDefault="00BC3EB4" w:rsidP="00BC3EB4">
      <w:pPr>
        <w:shd w:val="clear" w:color="auto" w:fill="FFFFFF"/>
        <w:ind w:left="270" w:hanging="450"/>
        <w:rPr>
          <w:rFonts w:ascii="Arial" w:hAnsi="Arial" w:cs="Arial"/>
          <w:sz w:val="16"/>
          <w:szCs w:val="16"/>
        </w:rPr>
      </w:pPr>
    </w:p>
    <w:p w14:paraId="293CB701" w14:textId="77777777" w:rsidR="00BC3EB4" w:rsidRDefault="00BC3EB4" w:rsidP="00BC3EB4">
      <w:pPr>
        <w:shd w:val="clear" w:color="auto" w:fill="FFFFFF"/>
        <w:ind w:left="270" w:hanging="450"/>
        <w:rPr>
          <w:rFonts w:ascii="Arial" w:hAnsi="Arial" w:cs="Arial"/>
          <w:sz w:val="16"/>
          <w:szCs w:val="16"/>
        </w:rPr>
      </w:pPr>
    </w:p>
    <w:p w14:paraId="16C5ABE6" w14:textId="77777777" w:rsidR="00BC3EB4" w:rsidRDefault="00BC3EB4" w:rsidP="00BC3EB4">
      <w:pPr>
        <w:shd w:val="clear" w:color="auto" w:fill="FFFFFF"/>
        <w:ind w:left="270" w:hanging="450"/>
        <w:rPr>
          <w:rFonts w:ascii="Arial" w:hAnsi="Arial" w:cs="Arial"/>
          <w:sz w:val="16"/>
          <w:szCs w:val="16"/>
        </w:rPr>
      </w:pPr>
    </w:p>
    <w:p w14:paraId="601EF0EC" w14:textId="77777777" w:rsidR="00BC3EB4" w:rsidRDefault="00BC3EB4" w:rsidP="00BC3EB4">
      <w:pPr>
        <w:shd w:val="clear" w:color="auto" w:fill="FFFFFF"/>
        <w:ind w:left="270" w:hanging="450"/>
        <w:rPr>
          <w:rFonts w:ascii="Arial" w:hAnsi="Arial" w:cs="Arial"/>
          <w:sz w:val="16"/>
          <w:szCs w:val="16"/>
        </w:rPr>
      </w:pPr>
    </w:p>
    <w:p w14:paraId="06A3DD8A" w14:textId="77777777" w:rsidR="00BC3EB4" w:rsidRPr="00BC3EB4" w:rsidRDefault="00BC3EB4" w:rsidP="00BC3EB4">
      <w:pPr>
        <w:shd w:val="clear" w:color="auto" w:fill="FFFFFF"/>
        <w:ind w:left="270" w:hanging="450"/>
        <w:rPr>
          <w:rFonts w:ascii="Arial" w:hAnsi="Arial" w:cs="Arial"/>
          <w:sz w:val="16"/>
          <w:szCs w:val="16"/>
        </w:rPr>
      </w:pPr>
    </w:p>
    <w:p w14:paraId="5B1A8C58" w14:textId="575E3391" w:rsidR="0041065E" w:rsidRDefault="0041065E" w:rsidP="0041065E">
      <w:pPr>
        <w:shd w:val="clear" w:color="auto" w:fill="FFFFFF"/>
        <w:ind w:left="270" w:hanging="450"/>
        <w:rPr>
          <w:rFonts w:ascii="Arial" w:hAnsi="Arial" w:cs="Arial"/>
          <w:sz w:val="16"/>
          <w:szCs w:val="16"/>
        </w:rPr>
      </w:pPr>
      <w:r>
        <w:rPr>
          <w:rFonts w:ascii="Arial" w:hAnsi="Arial" w:cs="Arial"/>
          <w:sz w:val="16"/>
          <w:szCs w:val="16"/>
        </w:rPr>
        <w:t xml:space="preserve"> </w:t>
      </w:r>
    </w:p>
    <w:p w14:paraId="5B1A8C59" w14:textId="77777777" w:rsidR="0041065E" w:rsidRPr="0041065E" w:rsidRDefault="0041065E" w:rsidP="0041065E">
      <w:pPr>
        <w:shd w:val="clear" w:color="auto" w:fill="FFFFFF"/>
        <w:ind w:left="270" w:hanging="441"/>
        <w:rPr>
          <w:bCs/>
          <w:sz w:val="18"/>
          <w:szCs w:val="18"/>
        </w:rPr>
      </w:pPr>
    </w:p>
    <w:p w14:paraId="5B1A8C5A" w14:textId="77777777" w:rsidR="0041065E" w:rsidRDefault="0041065E" w:rsidP="00212622">
      <w:pPr>
        <w:shd w:val="clear" w:color="auto" w:fill="FFFFFF"/>
        <w:ind w:left="270" w:hanging="441"/>
        <w:rPr>
          <w:bCs/>
          <w:sz w:val="18"/>
          <w:szCs w:val="18"/>
        </w:rPr>
        <w:sectPr w:rsidR="0041065E" w:rsidSect="00E727B5">
          <w:footerReference w:type="default" r:id="rId14"/>
          <w:pgSz w:w="12240" w:h="15840" w:code="1"/>
          <w:pgMar w:top="360" w:right="907" w:bottom="432" w:left="907" w:header="720" w:footer="576" w:gutter="0"/>
          <w:cols w:num="2" w:sep="1" w:space="720"/>
          <w:docGrid w:linePitch="360"/>
        </w:sectPr>
      </w:pPr>
    </w:p>
    <w:p w14:paraId="5B1A8C5B" w14:textId="77777777"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CA947" w14:textId="77777777" w:rsidR="00037BF6" w:rsidRDefault="00037BF6" w:rsidP="00492602">
      <w:r>
        <w:separator/>
      </w:r>
    </w:p>
  </w:endnote>
  <w:endnote w:type="continuationSeparator" w:id="0">
    <w:p w14:paraId="09F4BA49" w14:textId="77777777" w:rsidR="00037BF6" w:rsidRDefault="00037BF6"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D" w14:textId="2B5D6839" w:rsidR="003C1739" w:rsidRPr="00E95805" w:rsidRDefault="003C1739" w:rsidP="00E9580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D324" w14:textId="77777777" w:rsidR="00E727B5" w:rsidRDefault="00E727B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63EF16B2" w14:textId="77777777" w:rsidR="00E727B5" w:rsidRPr="00E95805" w:rsidRDefault="006D49C9" w:rsidP="00E95805">
    <w:pPr>
      <w:pStyle w:val="Footer"/>
      <w:jc w:val="center"/>
    </w:pPr>
    <w:hyperlink r:id="rId1" w:history="1">
      <w:r w:rsidR="00E727B5" w:rsidRPr="00386AF8">
        <w:rPr>
          <w:rStyle w:val="Hyperlink"/>
          <w:rFonts w:ascii="Arial" w:hAnsi="Arial" w:cs="Arial"/>
          <w:iCs/>
          <w:sz w:val="18"/>
          <w:szCs w:val="18"/>
        </w:rPr>
        <w:t>PharmFactsMA@Conduent.com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D79A6" w14:textId="77777777" w:rsidR="00037BF6" w:rsidRDefault="00037BF6" w:rsidP="00492602">
      <w:r>
        <w:separator/>
      </w:r>
    </w:p>
  </w:footnote>
  <w:footnote w:type="continuationSeparator" w:id="0">
    <w:p w14:paraId="51CBDF8F" w14:textId="77777777" w:rsidR="00037BF6" w:rsidRDefault="00037BF6"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3" w14:textId="77777777" w:rsidR="00492602" w:rsidRDefault="00492602" w:rsidP="00492602">
    <w:pPr>
      <w:pStyle w:val="Header"/>
    </w:pPr>
  </w:p>
  <w:p w14:paraId="5B1A8C64"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1E6C920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3766D"/>
    <w:multiLevelType w:val="hybridMultilevel"/>
    <w:tmpl w:val="21E4A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898"/>
    <w:multiLevelType w:val="hybridMultilevel"/>
    <w:tmpl w:val="21E4A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B46ED"/>
    <w:multiLevelType w:val="hybridMultilevel"/>
    <w:tmpl w:val="21E4A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C089F"/>
    <w:multiLevelType w:val="hybridMultilevel"/>
    <w:tmpl w:val="21E4A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2135">
    <w:abstractNumId w:val="14"/>
  </w:num>
  <w:num w:numId="2" w16cid:durableId="485777596">
    <w:abstractNumId w:val="19"/>
  </w:num>
  <w:num w:numId="3" w16cid:durableId="2124108017">
    <w:abstractNumId w:val="23"/>
  </w:num>
  <w:num w:numId="4" w16cid:durableId="2130008051">
    <w:abstractNumId w:val="11"/>
  </w:num>
  <w:num w:numId="5" w16cid:durableId="1205603724">
    <w:abstractNumId w:val="13"/>
  </w:num>
  <w:num w:numId="6" w16cid:durableId="2010867690">
    <w:abstractNumId w:val="18"/>
  </w:num>
  <w:num w:numId="7" w16cid:durableId="816608610">
    <w:abstractNumId w:val="24"/>
  </w:num>
  <w:num w:numId="8" w16cid:durableId="2076660891">
    <w:abstractNumId w:val="4"/>
  </w:num>
  <w:num w:numId="9" w16cid:durableId="1939360783">
    <w:abstractNumId w:val="1"/>
  </w:num>
  <w:num w:numId="10" w16cid:durableId="425537424">
    <w:abstractNumId w:val="21"/>
  </w:num>
  <w:num w:numId="11" w16cid:durableId="80307940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108511">
    <w:abstractNumId w:val="7"/>
  </w:num>
  <w:num w:numId="13" w16cid:durableId="161245177">
    <w:abstractNumId w:val="23"/>
  </w:num>
  <w:num w:numId="14" w16cid:durableId="179490683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763806">
    <w:abstractNumId w:val="18"/>
  </w:num>
  <w:num w:numId="16" w16cid:durableId="109932532">
    <w:abstractNumId w:val="20"/>
  </w:num>
  <w:num w:numId="17" w16cid:durableId="500629838">
    <w:abstractNumId w:val="3"/>
  </w:num>
  <w:num w:numId="18" w16cid:durableId="380635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093273">
    <w:abstractNumId w:val="8"/>
  </w:num>
  <w:num w:numId="20" w16cid:durableId="1964537488">
    <w:abstractNumId w:val="5"/>
  </w:num>
  <w:num w:numId="21" w16cid:durableId="576017535">
    <w:abstractNumId w:val="12"/>
  </w:num>
  <w:num w:numId="22" w16cid:durableId="909194736">
    <w:abstractNumId w:val="25"/>
  </w:num>
  <w:num w:numId="23" w16cid:durableId="345792937">
    <w:abstractNumId w:val="26"/>
  </w:num>
  <w:num w:numId="24" w16cid:durableId="338586529">
    <w:abstractNumId w:val="17"/>
  </w:num>
  <w:num w:numId="25" w16cid:durableId="1477721350">
    <w:abstractNumId w:val="22"/>
  </w:num>
  <w:num w:numId="26" w16cid:durableId="1949584309">
    <w:abstractNumId w:val="6"/>
  </w:num>
  <w:num w:numId="27" w16cid:durableId="975645043">
    <w:abstractNumId w:val="9"/>
  </w:num>
  <w:num w:numId="28" w16cid:durableId="319580773">
    <w:abstractNumId w:val="2"/>
  </w:num>
  <w:num w:numId="29" w16cid:durableId="2053730547">
    <w:abstractNumId w:val="10"/>
  </w:num>
  <w:num w:numId="30" w16cid:durableId="109197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37BF6"/>
    <w:rsid w:val="00054839"/>
    <w:rsid w:val="00063DDE"/>
    <w:rsid w:val="000713D3"/>
    <w:rsid w:val="000735C4"/>
    <w:rsid w:val="00074014"/>
    <w:rsid w:val="00081E8E"/>
    <w:rsid w:val="000A440A"/>
    <w:rsid w:val="000A6318"/>
    <w:rsid w:val="000D1502"/>
    <w:rsid w:val="000F5C22"/>
    <w:rsid w:val="00111067"/>
    <w:rsid w:val="00123D58"/>
    <w:rsid w:val="00137D3D"/>
    <w:rsid w:val="00140D08"/>
    <w:rsid w:val="00147437"/>
    <w:rsid w:val="00157A49"/>
    <w:rsid w:val="00157CDF"/>
    <w:rsid w:val="00171445"/>
    <w:rsid w:val="001721D8"/>
    <w:rsid w:val="00172862"/>
    <w:rsid w:val="0018357E"/>
    <w:rsid w:val="001864A9"/>
    <w:rsid w:val="00190E80"/>
    <w:rsid w:val="00193FF2"/>
    <w:rsid w:val="001A125B"/>
    <w:rsid w:val="001C1481"/>
    <w:rsid w:val="001E779F"/>
    <w:rsid w:val="0021214A"/>
    <w:rsid w:val="00212622"/>
    <w:rsid w:val="002275AE"/>
    <w:rsid w:val="00230996"/>
    <w:rsid w:val="00234B21"/>
    <w:rsid w:val="002509E9"/>
    <w:rsid w:val="00265457"/>
    <w:rsid w:val="002727AB"/>
    <w:rsid w:val="00276F3A"/>
    <w:rsid w:val="00286CBE"/>
    <w:rsid w:val="00291397"/>
    <w:rsid w:val="002C7C67"/>
    <w:rsid w:val="002D390F"/>
    <w:rsid w:val="002D3BB5"/>
    <w:rsid w:val="002D3C44"/>
    <w:rsid w:val="002D738C"/>
    <w:rsid w:val="002E2F9E"/>
    <w:rsid w:val="002F4E7B"/>
    <w:rsid w:val="003152DA"/>
    <w:rsid w:val="0033053B"/>
    <w:rsid w:val="00334D14"/>
    <w:rsid w:val="00360067"/>
    <w:rsid w:val="0036343A"/>
    <w:rsid w:val="0037373E"/>
    <w:rsid w:val="00375713"/>
    <w:rsid w:val="00382054"/>
    <w:rsid w:val="00387C1F"/>
    <w:rsid w:val="003911FC"/>
    <w:rsid w:val="003B6839"/>
    <w:rsid w:val="003C1739"/>
    <w:rsid w:val="003C387C"/>
    <w:rsid w:val="003D2B74"/>
    <w:rsid w:val="003F533B"/>
    <w:rsid w:val="0041065E"/>
    <w:rsid w:val="00411782"/>
    <w:rsid w:val="00437861"/>
    <w:rsid w:val="004442F9"/>
    <w:rsid w:val="00447A5F"/>
    <w:rsid w:val="00453E30"/>
    <w:rsid w:val="00453F3E"/>
    <w:rsid w:val="00456B5A"/>
    <w:rsid w:val="004664D3"/>
    <w:rsid w:val="00477916"/>
    <w:rsid w:val="004910B8"/>
    <w:rsid w:val="00492602"/>
    <w:rsid w:val="004A3BAA"/>
    <w:rsid w:val="004A7395"/>
    <w:rsid w:val="004C18F4"/>
    <w:rsid w:val="004D1BC7"/>
    <w:rsid w:val="004D79B2"/>
    <w:rsid w:val="004E4B2F"/>
    <w:rsid w:val="004F5612"/>
    <w:rsid w:val="005052D9"/>
    <w:rsid w:val="005127B3"/>
    <w:rsid w:val="00516394"/>
    <w:rsid w:val="0052118E"/>
    <w:rsid w:val="00527F95"/>
    <w:rsid w:val="005314A6"/>
    <w:rsid w:val="005502E1"/>
    <w:rsid w:val="0056481B"/>
    <w:rsid w:val="0057156C"/>
    <w:rsid w:val="00571898"/>
    <w:rsid w:val="0057257C"/>
    <w:rsid w:val="00574ECE"/>
    <w:rsid w:val="00574F07"/>
    <w:rsid w:val="0057528C"/>
    <w:rsid w:val="00581E50"/>
    <w:rsid w:val="005835F0"/>
    <w:rsid w:val="005842A0"/>
    <w:rsid w:val="00585923"/>
    <w:rsid w:val="005958DD"/>
    <w:rsid w:val="005A57BA"/>
    <w:rsid w:val="005B15B3"/>
    <w:rsid w:val="005C7622"/>
    <w:rsid w:val="005D723D"/>
    <w:rsid w:val="005F003E"/>
    <w:rsid w:val="00603ECE"/>
    <w:rsid w:val="00607CFA"/>
    <w:rsid w:val="00623469"/>
    <w:rsid w:val="00634C49"/>
    <w:rsid w:val="00637A67"/>
    <w:rsid w:val="00645D32"/>
    <w:rsid w:val="00650095"/>
    <w:rsid w:val="00651CA7"/>
    <w:rsid w:val="006615EC"/>
    <w:rsid w:val="00673F96"/>
    <w:rsid w:val="00674418"/>
    <w:rsid w:val="00674428"/>
    <w:rsid w:val="00683872"/>
    <w:rsid w:val="00686C26"/>
    <w:rsid w:val="00690023"/>
    <w:rsid w:val="00696F48"/>
    <w:rsid w:val="0069772F"/>
    <w:rsid w:val="006A4A0A"/>
    <w:rsid w:val="006B5669"/>
    <w:rsid w:val="006C58F4"/>
    <w:rsid w:val="006D3B5F"/>
    <w:rsid w:val="006D49C9"/>
    <w:rsid w:val="006E0C20"/>
    <w:rsid w:val="006E22A3"/>
    <w:rsid w:val="006E5D46"/>
    <w:rsid w:val="006E6AFF"/>
    <w:rsid w:val="006E7A9B"/>
    <w:rsid w:val="006F35F9"/>
    <w:rsid w:val="006F46AF"/>
    <w:rsid w:val="007128F9"/>
    <w:rsid w:val="007319D7"/>
    <w:rsid w:val="00731FAF"/>
    <w:rsid w:val="00734B86"/>
    <w:rsid w:val="007400F4"/>
    <w:rsid w:val="007426BF"/>
    <w:rsid w:val="00760FDF"/>
    <w:rsid w:val="007757E7"/>
    <w:rsid w:val="0077597E"/>
    <w:rsid w:val="00777FBD"/>
    <w:rsid w:val="00781D3B"/>
    <w:rsid w:val="007A41F5"/>
    <w:rsid w:val="007B2F2D"/>
    <w:rsid w:val="007B4429"/>
    <w:rsid w:val="007B7425"/>
    <w:rsid w:val="007E4380"/>
    <w:rsid w:val="007F5417"/>
    <w:rsid w:val="00804116"/>
    <w:rsid w:val="008049A2"/>
    <w:rsid w:val="00804FA7"/>
    <w:rsid w:val="00812480"/>
    <w:rsid w:val="00821937"/>
    <w:rsid w:val="008340D0"/>
    <w:rsid w:val="008403CA"/>
    <w:rsid w:val="0085395A"/>
    <w:rsid w:val="00853F8E"/>
    <w:rsid w:val="0086142C"/>
    <w:rsid w:val="00872E7F"/>
    <w:rsid w:val="00880FA9"/>
    <w:rsid w:val="008930F1"/>
    <w:rsid w:val="00893F45"/>
    <w:rsid w:val="008C5414"/>
    <w:rsid w:val="008F0130"/>
    <w:rsid w:val="008F2E4C"/>
    <w:rsid w:val="00900C0C"/>
    <w:rsid w:val="00905C46"/>
    <w:rsid w:val="00906EEC"/>
    <w:rsid w:val="009166DF"/>
    <w:rsid w:val="009204C7"/>
    <w:rsid w:val="00922030"/>
    <w:rsid w:val="0093532E"/>
    <w:rsid w:val="00941258"/>
    <w:rsid w:val="00942245"/>
    <w:rsid w:val="00945279"/>
    <w:rsid w:val="00956812"/>
    <w:rsid w:val="00963957"/>
    <w:rsid w:val="009725E5"/>
    <w:rsid w:val="00974CFD"/>
    <w:rsid w:val="00981567"/>
    <w:rsid w:val="0099299C"/>
    <w:rsid w:val="009C3981"/>
    <w:rsid w:val="009C3CFF"/>
    <w:rsid w:val="009D1341"/>
    <w:rsid w:val="009D6D73"/>
    <w:rsid w:val="009D79C6"/>
    <w:rsid w:val="009E55A1"/>
    <w:rsid w:val="009F0440"/>
    <w:rsid w:val="009F0526"/>
    <w:rsid w:val="00A01DE3"/>
    <w:rsid w:val="00A05AD3"/>
    <w:rsid w:val="00A11371"/>
    <w:rsid w:val="00A120E1"/>
    <w:rsid w:val="00A139DE"/>
    <w:rsid w:val="00A27530"/>
    <w:rsid w:val="00A31FAA"/>
    <w:rsid w:val="00A343A9"/>
    <w:rsid w:val="00A5239C"/>
    <w:rsid w:val="00A650DC"/>
    <w:rsid w:val="00A6764A"/>
    <w:rsid w:val="00A802D4"/>
    <w:rsid w:val="00A84255"/>
    <w:rsid w:val="00A93734"/>
    <w:rsid w:val="00AC1AC7"/>
    <w:rsid w:val="00AD18B8"/>
    <w:rsid w:val="00AD33D5"/>
    <w:rsid w:val="00AE21FC"/>
    <w:rsid w:val="00AE7072"/>
    <w:rsid w:val="00B01BAA"/>
    <w:rsid w:val="00B07BD7"/>
    <w:rsid w:val="00B13AA5"/>
    <w:rsid w:val="00B23A1F"/>
    <w:rsid w:val="00B3099B"/>
    <w:rsid w:val="00B40A71"/>
    <w:rsid w:val="00B41B0C"/>
    <w:rsid w:val="00B503C7"/>
    <w:rsid w:val="00B54AB5"/>
    <w:rsid w:val="00B645C9"/>
    <w:rsid w:val="00B841CC"/>
    <w:rsid w:val="00B92C96"/>
    <w:rsid w:val="00B94D4E"/>
    <w:rsid w:val="00B9718A"/>
    <w:rsid w:val="00BA68F0"/>
    <w:rsid w:val="00BC3EB4"/>
    <w:rsid w:val="00BD08CA"/>
    <w:rsid w:val="00BE1214"/>
    <w:rsid w:val="00BE3015"/>
    <w:rsid w:val="00C15672"/>
    <w:rsid w:val="00C31421"/>
    <w:rsid w:val="00C33753"/>
    <w:rsid w:val="00C35B94"/>
    <w:rsid w:val="00C46E3C"/>
    <w:rsid w:val="00C82FA4"/>
    <w:rsid w:val="00C903F9"/>
    <w:rsid w:val="00CA0669"/>
    <w:rsid w:val="00CA068A"/>
    <w:rsid w:val="00CA1E7C"/>
    <w:rsid w:val="00CB0030"/>
    <w:rsid w:val="00CB7521"/>
    <w:rsid w:val="00CC57AC"/>
    <w:rsid w:val="00CC776C"/>
    <w:rsid w:val="00CD6D68"/>
    <w:rsid w:val="00CE3864"/>
    <w:rsid w:val="00CF383E"/>
    <w:rsid w:val="00D0584B"/>
    <w:rsid w:val="00D2467C"/>
    <w:rsid w:val="00D2695E"/>
    <w:rsid w:val="00D335C5"/>
    <w:rsid w:val="00D521FA"/>
    <w:rsid w:val="00D5685A"/>
    <w:rsid w:val="00D81121"/>
    <w:rsid w:val="00D83FDF"/>
    <w:rsid w:val="00DB5DBC"/>
    <w:rsid w:val="00DB6A12"/>
    <w:rsid w:val="00DD0D60"/>
    <w:rsid w:val="00DD44E8"/>
    <w:rsid w:val="00DF3D6F"/>
    <w:rsid w:val="00E02354"/>
    <w:rsid w:val="00E0401C"/>
    <w:rsid w:val="00E10EA0"/>
    <w:rsid w:val="00E24139"/>
    <w:rsid w:val="00E34C02"/>
    <w:rsid w:val="00E3616D"/>
    <w:rsid w:val="00E44D32"/>
    <w:rsid w:val="00E50862"/>
    <w:rsid w:val="00E60ABB"/>
    <w:rsid w:val="00E62D91"/>
    <w:rsid w:val="00E67611"/>
    <w:rsid w:val="00E67713"/>
    <w:rsid w:val="00E727B5"/>
    <w:rsid w:val="00E72DFF"/>
    <w:rsid w:val="00E92E47"/>
    <w:rsid w:val="00E9576D"/>
    <w:rsid w:val="00E95805"/>
    <w:rsid w:val="00EC08AC"/>
    <w:rsid w:val="00EC1948"/>
    <w:rsid w:val="00ED4639"/>
    <w:rsid w:val="00EE54D2"/>
    <w:rsid w:val="00EF7C8A"/>
    <w:rsid w:val="00F25E7F"/>
    <w:rsid w:val="00F307D6"/>
    <w:rsid w:val="00F45E31"/>
    <w:rsid w:val="00F512EE"/>
    <w:rsid w:val="00F643E6"/>
    <w:rsid w:val="00F76D69"/>
    <w:rsid w:val="00F80E73"/>
    <w:rsid w:val="00F9012C"/>
    <w:rsid w:val="00F9097E"/>
    <w:rsid w:val="00F93C6C"/>
    <w:rsid w:val="00F973F7"/>
    <w:rsid w:val="00FA5147"/>
    <w:rsid w:val="00FB0C11"/>
    <w:rsid w:val="00FC495E"/>
    <w:rsid w:val="00FD4894"/>
    <w:rsid w:val="00FE6B9E"/>
    <w:rsid w:val="00FF051A"/>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3F9"/>
    <w:rPr>
      <w:sz w:val="24"/>
      <w:szCs w:val="24"/>
    </w:rPr>
  </w:style>
  <w:style w:type="paragraph" w:styleId="Heading1">
    <w:name w:val="heading 1"/>
    <w:basedOn w:val="Heading2"/>
    <w:next w:val="Normal"/>
    <w:link w:val="Heading1Char"/>
    <w:qFormat/>
    <w:rsid w:val="00C903F9"/>
    <w:pPr>
      <w:outlineLvl w:val="0"/>
    </w:pPr>
  </w:style>
  <w:style w:type="paragraph" w:styleId="Heading2">
    <w:name w:val="heading 2"/>
    <w:basedOn w:val="Heading3"/>
    <w:next w:val="Normal"/>
    <w:link w:val="Heading2Char"/>
    <w:unhideWhenUsed/>
    <w:qFormat/>
    <w:rsid w:val="00C903F9"/>
    <w:pPr>
      <w:outlineLvl w:val="1"/>
    </w:pPr>
  </w:style>
  <w:style w:type="paragraph" w:styleId="Heading3">
    <w:name w:val="heading 3"/>
    <w:basedOn w:val="Subtitle"/>
    <w:next w:val="Normal"/>
    <w:link w:val="Heading3Char"/>
    <w:unhideWhenUsed/>
    <w:qFormat/>
    <w:rsid w:val="00C903F9"/>
    <w:pPr>
      <w:outlineLvl w:val="2"/>
    </w:pPr>
    <w:rPr>
      <w:rFonts w:ascii="Arial" w:hAnsi="Arial" w:cs="Arial"/>
      <w:b/>
      <w:color w:val="auto"/>
    </w:rPr>
  </w:style>
  <w:style w:type="paragraph" w:styleId="Heading4">
    <w:name w:val="heading 4"/>
    <w:basedOn w:val="Normal"/>
    <w:next w:val="Normal"/>
    <w:link w:val="Heading4Char"/>
    <w:unhideWhenUsed/>
    <w:qFormat/>
    <w:rsid w:val="00C903F9"/>
    <w:pPr>
      <w:shd w:val="clear" w:color="auto" w:fill="FFFFFF"/>
      <w:ind w:left="729" w:hanging="630"/>
      <w:jc w:val="center"/>
      <w:outlineLvl w:val="3"/>
    </w:pPr>
    <w:rPr>
      <w:rFonts w:ascii="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paragraph" w:styleId="Revision">
    <w:name w:val="Revision"/>
    <w:hidden/>
    <w:uiPriority w:val="99"/>
    <w:semiHidden/>
    <w:rsid w:val="00A139DE"/>
    <w:rPr>
      <w:sz w:val="24"/>
      <w:szCs w:val="24"/>
    </w:rPr>
  </w:style>
  <w:style w:type="character" w:styleId="CommentReference">
    <w:name w:val="annotation reference"/>
    <w:basedOn w:val="DefaultParagraphFont"/>
    <w:semiHidden/>
    <w:unhideWhenUsed/>
    <w:rsid w:val="00437861"/>
    <w:rPr>
      <w:sz w:val="16"/>
      <w:szCs w:val="16"/>
    </w:rPr>
  </w:style>
  <w:style w:type="paragraph" w:styleId="CommentText">
    <w:name w:val="annotation text"/>
    <w:basedOn w:val="Normal"/>
    <w:link w:val="CommentTextChar"/>
    <w:semiHidden/>
    <w:unhideWhenUsed/>
    <w:rsid w:val="00437861"/>
    <w:rPr>
      <w:sz w:val="20"/>
      <w:szCs w:val="20"/>
    </w:rPr>
  </w:style>
  <w:style w:type="character" w:customStyle="1" w:styleId="CommentTextChar">
    <w:name w:val="Comment Text Char"/>
    <w:basedOn w:val="DefaultParagraphFont"/>
    <w:link w:val="CommentText"/>
    <w:semiHidden/>
    <w:rsid w:val="00437861"/>
  </w:style>
  <w:style w:type="paragraph" w:styleId="CommentSubject">
    <w:name w:val="annotation subject"/>
    <w:basedOn w:val="CommentText"/>
    <w:next w:val="CommentText"/>
    <w:link w:val="CommentSubjectChar"/>
    <w:semiHidden/>
    <w:unhideWhenUsed/>
    <w:rsid w:val="00437861"/>
    <w:rPr>
      <w:b/>
      <w:bCs/>
    </w:rPr>
  </w:style>
  <w:style w:type="character" w:customStyle="1" w:styleId="CommentSubjectChar">
    <w:name w:val="Comment Subject Char"/>
    <w:basedOn w:val="CommentTextChar"/>
    <w:link w:val="CommentSubject"/>
    <w:semiHidden/>
    <w:rsid w:val="00437861"/>
    <w:rPr>
      <w:b/>
      <w:bCs/>
    </w:rPr>
  </w:style>
  <w:style w:type="character" w:styleId="UnresolvedMention">
    <w:name w:val="Unresolved Mention"/>
    <w:basedOn w:val="DefaultParagraphFont"/>
    <w:uiPriority w:val="99"/>
    <w:semiHidden/>
    <w:unhideWhenUsed/>
    <w:rsid w:val="00437861"/>
    <w:rPr>
      <w:color w:val="605E5C"/>
      <w:shd w:val="clear" w:color="auto" w:fill="E1DFDD"/>
    </w:rPr>
  </w:style>
  <w:style w:type="character" w:styleId="FollowedHyperlink">
    <w:name w:val="FollowedHyperlink"/>
    <w:basedOn w:val="DefaultParagraphFont"/>
    <w:semiHidden/>
    <w:unhideWhenUsed/>
    <w:rsid w:val="00437861"/>
    <w:rPr>
      <w:color w:val="800080" w:themeColor="followedHyperlink"/>
      <w:u w:val="single"/>
    </w:rPr>
  </w:style>
  <w:style w:type="character" w:customStyle="1" w:styleId="Heading2Char">
    <w:name w:val="Heading 2 Char"/>
    <w:basedOn w:val="DefaultParagraphFont"/>
    <w:link w:val="Heading2"/>
    <w:rsid w:val="00C903F9"/>
    <w:rPr>
      <w:rFonts w:ascii="Arial" w:hAnsi="Arial" w:cs="Arial"/>
      <w:b/>
      <w:sz w:val="22"/>
      <w:szCs w:val="22"/>
    </w:rPr>
  </w:style>
  <w:style w:type="character" w:customStyle="1" w:styleId="Heading3Char">
    <w:name w:val="Heading 3 Char"/>
    <w:basedOn w:val="DefaultParagraphFont"/>
    <w:link w:val="Heading3"/>
    <w:rsid w:val="00C903F9"/>
    <w:rPr>
      <w:rFonts w:ascii="Arial" w:hAnsi="Arial" w:cs="Arial"/>
      <w:b/>
      <w:sz w:val="22"/>
      <w:szCs w:val="22"/>
    </w:rPr>
  </w:style>
  <w:style w:type="character" w:customStyle="1" w:styleId="Heading4Char">
    <w:name w:val="Heading 4 Char"/>
    <w:basedOn w:val="DefaultParagraphFont"/>
    <w:link w:val="Heading4"/>
    <w:rsid w:val="00C903F9"/>
    <w:rPr>
      <w:rFonts w:ascii="Arial" w:hAnsi="Arial"/>
      <w:b/>
      <w:bCs/>
      <w:sz w:val="18"/>
      <w:szCs w:val="18"/>
      <w:shd w:val="clear" w:color="auto" w:fill="FFFFFF"/>
    </w:rPr>
  </w:style>
  <w:style w:type="character" w:customStyle="1" w:styleId="Heading1Char">
    <w:name w:val="Heading 1 Char"/>
    <w:basedOn w:val="DefaultParagraphFont"/>
    <w:link w:val="Heading1"/>
    <w:rsid w:val="00C903F9"/>
    <w:rPr>
      <w:rFonts w:ascii="Arial Black" w:hAnsi="Arial Black" w:cs="Arial"/>
      <w:sz w:val="22"/>
      <w:szCs w:val="22"/>
    </w:rPr>
  </w:style>
  <w:style w:type="paragraph" w:styleId="ListBullet3">
    <w:name w:val="List Bullet 3"/>
    <w:basedOn w:val="Normal"/>
    <w:unhideWhenUsed/>
    <w:rsid w:val="00C903F9"/>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rugli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6113</Characters>
  <Application>Microsoft Office Word</Application>
  <DocSecurity>0</DocSecurity>
  <Lines>235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 229</dc:title>
  <dc:creator/>
  <cp:lastModifiedBy/>
  <cp:revision>1</cp:revision>
  <dcterms:created xsi:type="dcterms:W3CDTF">2024-06-25T14:52:00Z</dcterms:created>
  <dcterms:modified xsi:type="dcterms:W3CDTF">2024-06-25T15:24:00Z</dcterms:modified>
</cp:coreProperties>
</file>