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A8BE7" w14:textId="52F880A7"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282E01" w:rsidRPr="00282E01">
        <w:rPr>
          <w:rFonts w:ascii="Arial Narrow" w:hAnsi="Arial Narrow"/>
          <w:b/>
          <w:color w:val="auto"/>
          <w:sz w:val="20"/>
          <w:szCs w:val="20"/>
        </w:rPr>
        <w:t>230</w:t>
      </w:r>
      <w:r w:rsidRPr="00282E01">
        <w:rPr>
          <w:rFonts w:ascii="Arial Narrow" w:hAnsi="Arial Narrow"/>
          <w:b/>
          <w:color w:val="auto"/>
          <w:sz w:val="20"/>
          <w:szCs w:val="20"/>
        </w:rPr>
        <w:t xml:space="preserve">, </w:t>
      </w:r>
      <w:r w:rsidR="00282E01" w:rsidRPr="00282E01">
        <w:rPr>
          <w:rFonts w:ascii="Arial Narrow" w:hAnsi="Arial Narrow"/>
          <w:b/>
          <w:color w:val="auto"/>
          <w:sz w:val="20"/>
          <w:szCs w:val="20"/>
        </w:rPr>
        <w:t>August 7, 2024</w:t>
      </w:r>
    </w:p>
    <w:p w14:paraId="5B1A8BE8" w14:textId="36508A1C" w:rsidR="006F35F9" w:rsidRDefault="00172862" w:rsidP="00E44D32">
      <w:pPr>
        <w:tabs>
          <w:tab w:val="left" w:pos="10530"/>
        </w:tabs>
        <w:spacing w:after="240"/>
        <w:ind w:left="-144" w:right="720"/>
        <w:rPr>
          <w:rFonts w:ascii="Arial" w:hAnsi="Arial" w:cs="Arial"/>
          <w:color w:val="000000"/>
          <w:sz w:val="21"/>
          <w:szCs w:val="21"/>
        </w:rPr>
        <w:sectPr w:rsidR="006F35F9" w:rsidSect="003C1739">
          <w:footerReference w:type="default" r:id="rId8"/>
          <w:footerReference w:type="first" r:id="rId9"/>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4ACF3654" wp14:editId="18FA2A58">
            <wp:extent cx="6753584" cy="1713336"/>
            <wp:effectExtent l="0" t="0" r="0" b="1270"/>
            <wp:docPr id="206250170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01706"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73424" cy="1718369"/>
                    </a:xfrm>
                    <a:prstGeom prst="rect">
                      <a:avLst/>
                    </a:prstGeom>
                  </pic:spPr>
                </pic:pic>
              </a:graphicData>
            </a:graphic>
          </wp:inline>
        </w:drawing>
      </w:r>
    </w:p>
    <w:p w14:paraId="5B1A8BE9" w14:textId="1EE16B7F" w:rsidR="00CD6D68" w:rsidRPr="004619F5" w:rsidRDefault="00CB7018" w:rsidP="004619F5">
      <w:pPr>
        <w:pStyle w:val="BodyText10"/>
        <w:textAlignment w:val="baseline"/>
        <w:rPr>
          <w:rFonts w:ascii="Arial Black" w:hAnsi="Arial Black"/>
          <w:b/>
          <w:bCs/>
          <w:sz w:val="22"/>
          <w:szCs w:val="22"/>
        </w:rPr>
      </w:pPr>
      <w:r w:rsidRPr="004619F5">
        <w:rPr>
          <w:rFonts w:ascii="Arial Black" w:hAnsi="Arial Black"/>
          <w:b/>
          <w:bCs/>
          <w:sz w:val="22"/>
          <w:szCs w:val="22"/>
        </w:rPr>
        <w:t>MHDL Update</w:t>
      </w:r>
    </w:p>
    <w:p w14:paraId="5B1A8BED" w14:textId="76D416E5" w:rsidR="00CD6D68" w:rsidRPr="00171445" w:rsidRDefault="00321567" w:rsidP="00CD6D68">
      <w:pPr>
        <w:pStyle w:val="Default"/>
        <w:spacing w:after="120"/>
        <w:rPr>
          <w:rFonts w:ascii="Arial" w:hAnsi="Arial" w:cs="Arial"/>
          <w:sz w:val="22"/>
          <w:szCs w:val="22"/>
        </w:rPr>
      </w:pPr>
      <w:r w:rsidRPr="00321567">
        <w:rPr>
          <w:rFonts w:ascii="Arial" w:hAnsi="Arial" w:cs="Arial"/>
          <w:color w:val="auto"/>
          <w:sz w:val="22"/>
          <w:szCs w:val="22"/>
        </w:rPr>
        <w:t>Below are certain updates to the MassHealth Drug List (MHDL). See the MHDL for a complete listing of updates.</w:t>
      </w:r>
    </w:p>
    <w:p w14:paraId="5B1A8BF5" w14:textId="77B65F62" w:rsidR="00CD6D68" w:rsidRPr="00140D3B" w:rsidRDefault="001E4BA3" w:rsidP="00CD6D68">
      <w:pPr>
        <w:pStyle w:val="Default"/>
        <w:tabs>
          <w:tab w:val="left" w:pos="90"/>
        </w:tabs>
        <w:spacing w:line="276" w:lineRule="auto"/>
        <w:ind w:left="360" w:hanging="360"/>
        <w:rPr>
          <w:rFonts w:ascii="Arial" w:hAnsi="Arial" w:cs="Arial"/>
          <w:color w:val="auto"/>
          <w:sz w:val="22"/>
          <w:szCs w:val="22"/>
        </w:rPr>
      </w:pPr>
      <w:r>
        <w:t>Additions</w:t>
      </w:r>
    </w:p>
    <w:p w14:paraId="5B1A8BF9" w14:textId="10B190AD" w:rsidR="00CD6D68" w:rsidRPr="009A4C70" w:rsidRDefault="009A4C70" w:rsidP="009A4C70">
      <w:pPr>
        <w:pStyle w:val="Default"/>
        <w:numPr>
          <w:ilvl w:val="0"/>
          <w:numId w:val="26"/>
        </w:numPr>
        <w:rPr>
          <w:rFonts w:ascii="Arial" w:hAnsi="Arial" w:cs="Arial"/>
          <w:sz w:val="22"/>
          <w:szCs w:val="21"/>
        </w:rPr>
      </w:pPr>
      <w:r w:rsidRPr="00AF0158">
        <w:rPr>
          <w:rFonts w:ascii="Arial" w:hAnsi="Arial" w:cs="Arial"/>
          <w:sz w:val="22"/>
          <w:szCs w:val="22"/>
        </w:rPr>
        <w:t>Effective August 12, 2024, the following</w:t>
      </w:r>
      <w:r w:rsidRPr="00AF0158">
        <w:rPr>
          <w:rFonts w:ascii="Arial" w:hAnsi="Arial" w:cs="Arial"/>
          <w:sz w:val="22"/>
          <w:szCs w:val="21"/>
        </w:rPr>
        <w:t xml:space="preserve"> newly marketed drugs have been added to the MassHealth Drug List. </w:t>
      </w:r>
    </w:p>
    <w:p w14:paraId="5CF32A60"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adalimumab-ryvk, unbranded – </w:t>
      </w:r>
      <w:r w:rsidRPr="00AF0158">
        <w:rPr>
          <w:rFonts w:ascii="Arial" w:hAnsi="Arial" w:cs="Arial"/>
          <w:b/>
          <w:bCs/>
          <w:sz w:val="22"/>
          <w:szCs w:val="22"/>
        </w:rPr>
        <w:t>PA</w:t>
      </w:r>
    </w:p>
    <w:p w14:paraId="77AD9F9B"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Adzynma (ADAMTS13, recombinant-krhn) – </w:t>
      </w:r>
      <w:r w:rsidRPr="00AF0158">
        <w:rPr>
          <w:rFonts w:ascii="Arial" w:hAnsi="Arial" w:cs="Arial"/>
          <w:b/>
          <w:bCs/>
          <w:sz w:val="22"/>
          <w:szCs w:val="22"/>
        </w:rPr>
        <w:t>PA</w:t>
      </w:r>
    </w:p>
    <w:p w14:paraId="5AD0EB60"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Amtagvi (lifileucel) – </w:t>
      </w:r>
      <w:r w:rsidRPr="00AF0158">
        <w:rPr>
          <w:rFonts w:ascii="Arial" w:hAnsi="Arial" w:cs="Arial"/>
          <w:b/>
          <w:bCs/>
          <w:sz w:val="22"/>
          <w:szCs w:val="22"/>
        </w:rPr>
        <w:t>PA</w:t>
      </w:r>
      <w:r w:rsidRPr="00AF0158">
        <w:rPr>
          <w:rFonts w:ascii="Arial" w:hAnsi="Arial" w:cs="Arial"/>
          <w:sz w:val="22"/>
          <w:szCs w:val="22"/>
        </w:rPr>
        <w:t xml:space="preserve">; CO, MB </w:t>
      </w:r>
    </w:p>
    <w:p w14:paraId="1BE2BBA3"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Eohilia (budesonide oral suspension) – </w:t>
      </w:r>
      <w:r w:rsidRPr="00AF0158">
        <w:rPr>
          <w:rFonts w:ascii="Arial" w:hAnsi="Arial" w:cs="Arial"/>
          <w:b/>
          <w:bCs/>
          <w:sz w:val="22"/>
          <w:szCs w:val="22"/>
        </w:rPr>
        <w:t>PA</w:t>
      </w:r>
    </w:p>
    <w:p w14:paraId="6445160F" w14:textId="77777777" w:rsidR="0023188A" w:rsidRPr="00AF0158" w:rsidRDefault="0023188A" w:rsidP="0023188A">
      <w:pPr>
        <w:pStyle w:val="Default"/>
        <w:numPr>
          <w:ilvl w:val="0"/>
          <w:numId w:val="2"/>
        </w:numPr>
        <w:spacing w:line="276" w:lineRule="auto"/>
        <w:ind w:left="1080"/>
        <w:rPr>
          <w:rFonts w:ascii="Arial" w:hAnsi="Arial" w:cs="Arial"/>
          <w:b/>
          <w:bCs/>
          <w:sz w:val="22"/>
          <w:szCs w:val="22"/>
        </w:rPr>
      </w:pPr>
      <w:r w:rsidRPr="00AF0158">
        <w:rPr>
          <w:rFonts w:ascii="Arial" w:hAnsi="Arial" w:cs="Arial"/>
          <w:sz w:val="22"/>
          <w:szCs w:val="22"/>
        </w:rPr>
        <w:t xml:space="preserve">Filsuvez (birch triterpenes) – </w:t>
      </w:r>
      <w:r w:rsidRPr="00AF0158">
        <w:rPr>
          <w:rFonts w:ascii="Arial" w:hAnsi="Arial" w:cs="Arial"/>
          <w:b/>
          <w:bCs/>
          <w:sz w:val="22"/>
          <w:szCs w:val="22"/>
        </w:rPr>
        <w:t>PA</w:t>
      </w:r>
    </w:p>
    <w:p w14:paraId="496C1FFB"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Iwilfin (eflornithine) – </w:t>
      </w:r>
      <w:r w:rsidRPr="00AF0158">
        <w:rPr>
          <w:rFonts w:ascii="Arial" w:hAnsi="Arial" w:cs="Arial"/>
          <w:b/>
          <w:bCs/>
          <w:sz w:val="22"/>
          <w:szCs w:val="22"/>
        </w:rPr>
        <w:t>PA</w:t>
      </w:r>
      <w:r w:rsidRPr="00AF0158">
        <w:rPr>
          <w:rFonts w:ascii="Arial" w:hAnsi="Arial" w:cs="Arial"/>
          <w:sz w:val="22"/>
          <w:szCs w:val="22"/>
        </w:rPr>
        <w:t xml:space="preserve"> </w:t>
      </w:r>
    </w:p>
    <w:p w14:paraId="5413B48D"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Ogsiveo (nirogacestat) – </w:t>
      </w:r>
      <w:r w:rsidRPr="00AF0158">
        <w:rPr>
          <w:rFonts w:ascii="Arial" w:hAnsi="Arial" w:cs="Arial"/>
          <w:b/>
          <w:bCs/>
          <w:sz w:val="22"/>
          <w:szCs w:val="22"/>
        </w:rPr>
        <w:t>PA</w:t>
      </w:r>
    </w:p>
    <w:p w14:paraId="1302734C"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Pokonza (potassium chloride</w:t>
      </w:r>
      <w:r>
        <w:rPr>
          <w:rFonts w:ascii="Arial" w:hAnsi="Arial" w:cs="Arial"/>
          <w:sz w:val="22"/>
          <w:szCs w:val="22"/>
        </w:rPr>
        <w:t xml:space="preserve"> </w:t>
      </w:r>
      <w:r w:rsidRPr="008A5BB9">
        <w:rPr>
          <w:rFonts w:ascii="Arial" w:hAnsi="Arial" w:cs="Arial"/>
          <w:sz w:val="22"/>
          <w:szCs w:val="22"/>
        </w:rPr>
        <w:t>powder for oral solution</w:t>
      </w:r>
      <w:r w:rsidRPr="00AF0158">
        <w:rPr>
          <w:rFonts w:ascii="Arial" w:hAnsi="Arial" w:cs="Arial"/>
          <w:sz w:val="22"/>
          <w:szCs w:val="22"/>
        </w:rPr>
        <w:t xml:space="preserve">) – </w:t>
      </w:r>
      <w:r w:rsidRPr="00AF0158">
        <w:rPr>
          <w:rFonts w:ascii="Arial" w:hAnsi="Arial" w:cs="Arial"/>
          <w:b/>
          <w:bCs/>
          <w:sz w:val="22"/>
          <w:szCs w:val="22"/>
        </w:rPr>
        <w:t>PA</w:t>
      </w:r>
    </w:p>
    <w:p w14:paraId="600DD791" w14:textId="77777777" w:rsidR="0023188A" w:rsidRPr="00AF0158" w:rsidRDefault="0023188A" w:rsidP="0023188A">
      <w:pPr>
        <w:pStyle w:val="Default"/>
        <w:numPr>
          <w:ilvl w:val="0"/>
          <w:numId w:val="2"/>
        </w:numPr>
        <w:spacing w:line="276" w:lineRule="auto"/>
        <w:ind w:left="1080"/>
        <w:rPr>
          <w:rFonts w:ascii="Arial" w:hAnsi="Arial" w:cs="Arial"/>
          <w:b/>
          <w:bCs/>
          <w:sz w:val="22"/>
          <w:szCs w:val="22"/>
        </w:rPr>
      </w:pPr>
      <w:r w:rsidRPr="00AF0158">
        <w:rPr>
          <w:rFonts w:ascii="Arial" w:hAnsi="Arial" w:cs="Arial"/>
          <w:sz w:val="22"/>
          <w:szCs w:val="22"/>
        </w:rPr>
        <w:t xml:space="preserve">Simlandi (adalimumab-ryvk) – </w:t>
      </w:r>
      <w:r w:rsidRPr="00AF0158">
        <w:rPr>
          <w:rFonts w:ascii="Arial" w:hAnsi="Arial" w:cs="Arial"/>
          <w:b/>
          <w:bCs/>
          <w:sz w:val="22"/>
          <w:szCs w:val="22"/>
        </w:rPr>
        <w:t>PA</w:t>
      </w:r>
    </w:p>
    <w:p w14:paraId="0E13AEEB" w14:textId="77777777" w:rsidR="0023188A" w:rsidRPr="00AF0158" w:rsidRDefault="0023188A" w:rsidP="0023188A">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trientine 500 mg capsule – </w:t>
      </w:r>
      <w:r w:rsidRPr="00AF0158">
        <w:rPr>
          <w:rFonts w:ascii="Arial" w:hAnsi="Arial" w:cs="Arial"/>
          <w:b/>
          <w:bCs/>
          <w:sz w:val="22"/>
          <w:szCs w:val="22"/>
        </w:rPr>
        <w:t>PA</w:t>
      </w:r>
      <w:r w:rsidRPr="00AF0158">
        <w:rPr>
          <w:rFonts w:ascii="Arial" w:hAnsi="Arial" w:cs="Arial"/>
          <w:sz w:val="22"/>
          <w:szCs w:val="22"/>
        </w:rPr>
        <w:t xml:space="preserve">; A90  </w:t>
      </w:r>
    </w:p>
    <w:p w14:paraId="242A2DA9" w14:textId="77777777" w:rsidR="0023188A" w:rsidRPr="00AF0158" w:rsidRDefault="0023188A" w:rsidP="0023188A">
      <w:pPr>
        <w:pStyle w:val="Default"/>
        <w:numPr>
          <w:ilvl w:val="0"/>
          <w:numId w:val="2"/>
        </w:numPr>
        <w:spacing w:line="276" w:lineRule="auto"/>
        <w:ind w:left="1080"/>
        <w:rPr>
          <w:rFonts w:ascii="Arial" w:hAnsi="Arial" w:cs="Arial"/>
          <w:b/>
          <w:bCs/>
          <w:sz w:val="22"/>
          <w:szCs w:val="22"/>
        </w:rPr>
      </w:pPr>
      <w:r w:rsidRPr="00AF0158">
        <w:rPr>
          <w:rFonts w:ascii="Arial" w:hAnsi="Arial" w:cs="Arial"/>
          <w:sz w:val="22"/>
          <w:szCs w:val="22"/>
        </w:rPr>
        <w:t xml:space="preserve">Zymfentra (infliximab-dyyb) – </w:t>
      </w:r>
      <w:r w:rsidRPr="00AF0158">
        <w:rPr>
          <w:rFonts w:ascii="Arial" w:hAnsi="Arial" w:cs="Arial"/>
          <w:b/>
          <w:bCs/>
          <w:sz w:val="22"/>
          <w:szCs w:val="22"/>
        </w:rPr>
        <w:t xml:space="preserve">PA </w:t>
      </w:r>
    </w:p>
    <w:p w14:paraId="0C0397A6" w14:textId="77777777" w:rsidR="003F2397" w:rsidRPr="00EE109A" w:rsidRDefault="003F2397" w:rsidP="003F2397">
      <w:pPr>
        <w:pStyle w:val="Default"/>
        <w:numPr>
          <w:ilvl w:val="0"/>
          <w:numId w:val="26"/>
        </w:numPr>
        <w:rPr>
          <w:rFonts w:ascii="Arial" w:hAnsi="Arial" w:cs="Arial"/>
          <w:sz w:val="22"/>
          <w:szCs w:val="22"/>
        </w:rPr>
      </w:pPr>
      <w:r w:rsidRPr="00EE109A">
        <w:rPr>
          <w:rFonts w:ascii="Arial" w:hAnsi="Arial" w:cs="Arial"/>
          <w:sz w:val="22"/>
          <w:szCs w:val="22"/>
        </w:rPr>
        <w:t xml:space="preserve">Effective May 9, 2024, the following preventative therapy has been added to the MassHealth Drug List on August 12, 2024. </w:t>
      </w:r>
    </w:p>
    <w:p w14:paraId="4CD85B3E" w14:textId="3C3E7DFE" w:rsidR="006A6F35" w:rsidRPr="00EE109A" w:rsidRDefault="006A6F35" w:rsidP="006A6F35">
      <w:pPr>
        <w:pStyle w:val="Default"/>
        <w:numPr>
          <w:ilvl w:val="0"/>
          <w:numId w:val="2"/>
        </w:numPr>
        <w:spacing w:line="276" w:lineRule="auto"/>
        <w:ind w:left="1080"/>
        <w:rPr>
          <w:rFonts w:ascii="Arial" w:hAnsi="Arial" w:cs="Arial"/>
          <w:sz w:val="22"/>
          <w:szCs w:val="22"/>
        </w:rPr>
      </w:pPr>
      <w:r w:rsidRPr="00EE109A">
        <w:rPr>
          <w:rFonts w:ascii="Arial" w:hAnsi="Arial" w:cs="Arial"/>
          <w:sz w:val="22"/>
          <w:szCs w:val="22"/>
        </w:rPr>
        <w:t>Jynneos (smallpox/monkeypox vaccine, live);</w:t>
      </w:r>
      <w:r w:rsidRPr="005E3534">
        <w:rPr>
          <w:rFonts w:ascii="Arial" w:hAnsi="Arial" w:cs="Arial"/>
          <w:sz w:val="22"/>
          <w:szCs w:val="22"/>
          <w:vertAlign w:val="superscript"/>
        </w:rPr>
        <w:t>1</w:t>
      </w:r>
    </w:p>
    <w:p w14:paraId="48F7DCB2" w14:textId="77777777" w:rsidR="00F11C4E" w:rsidRPr="00EE109A" w:rsidRDefault="00F11C4E" w:rsidP="00F11C4E">
      <w:pPr>
        <w:pStyle w:val="Default"/>
        <w:numPr>
          <w:ilvl w:val="0"/>
          <w:numId w:val="26"/>
        </w:numPr>
        <w:rPr>
          <w:rFonts w:ascii="Arial" w:hAnsi="Arial" w:cs="Arial"/>
          <w:sz w:val="22"/>
          <w:szCs w:val="22"/>
        </w:rPr>
      </w:pPr>
      <w:r w:rsidRPr="00EE109A">
        <w:rPr>
          <w:rFonts w:ascii="Arial" w:hAnsi="Arial" w:cs="Arial"/>
          <w:sz w:val="22"/>
          <w:szCs w:val="22"/>
        </w:rPr>
        <w:t xml:space="preserve">Effective June 26, 2024, the following preventative therapy has been added to the MassHealth Drug List on August 12, 2024. </w:t>
      </w:r>
    </w:p>
    <w:p w14:paraId="0C2FCF7F" w14:textId="77777777" w:rsidR="00DD3E94" w:rsidRPr="00EE109A" w:rsidRDefault="00DD3E94" w:rsidP="00DD3E94">
      <w:pPr>
        <w:pStyle w:val="Default"/>
        <w:numPr>
          <w:ilvl w:val="0"/>
          <w:numId w:val="2"/>
        </w:numPr>
        <w:spacing w:line="276" w:lineRule="auto"/>
        <w:ind w:left="1080"/>
        <w:rPr>
          <w:rFonts w:ascii="Arial" w:hAnsi="Arial" w:cs="Arial"/>
          <w:sz w:val="22"/>
          <w:szCs w:val="22"/>
        </w:rPr>
      </w:pPr>
      <w:r w:rsidRPr="00EE109A">
        <w:rPr>
          <w:rFonts w:ascii="Arial" w:hAnsi="Arial" w:cs="Arial"/>
          <w:sz w:val="22"/>
          <w:szCs w:val="22"/>
        </w:rPr>
        <w:t>Capvaxive (pneumococcal 21-valent conjugate vaccine)</w:t>
      </w:r>
    </w:p>
    <w:p w14:paraId="433B852F" w14:textId="1113AF44" w:rsidR="00F23119" w:rsidRPr="004619F5" w:rsidRDefault="00F23119" w:rsidP="004619F5">
      <w:pPr>
        <w:pStyle w:val="BodyText10"/>
        <w:textAlignment w:val="baseline"/>
        <w:rPr>
          <w:rFonts w:ascii="Arial Black" w:hAnsi="Arial Black"/>
          <w:b/>
          <w:bCs/>
          <w:sz w:val="22"/>
          <w:szCs w:val="22"/>
        </w:rPr>
      </w:pPr>
      <w:r w:rsidRPr="004619F5">
        <w:rPr>
          <w:rFonts w:ascii="Arial Black" w:hAnsi="Arial Black"/>
          <w:b/>
          <w:bCs/>
          <w:sz w:val="22"/>
          <w:szCs w:val="22"/>
        </w:rPr>
        <w:t>Change in Prior</w:t>
      </w:r>
      <w:r w:rsidR="00B91E6F">
        <w:rPr>
          <w:rFonts w:ascii="Arial Black" w:hAnsi="Arial Black"/>
          <w:b/>
          <w:bCs/>
          <w:sz w:val="22"/>
          <w:szCs w:val="22"/>
        </w:rPr>
        <w:t xml:space="preserve"> </w:t>
      </w:r>
      <w:r w:rsidRPr="004619F5">
        <w:rPr>
          <w:rFonts w:ascii="Arial Black" w:hAnsi="Arial Black"/>
          <w:b/>
          <w:bCs/>
          <w:sz w:val="22"/>
          <w:szCs w:val="22"/>
        </w:rPr>
        <w:t>Authorization Status</w:t>
      </w:r>
    </w:p>
    <w:p w14:paraId="4B9E2548" w14:textId="79BB6726" w:rsidR="008A0D77" w:rsidRPr="00EE109A" w:rsidRDefault="008A0D77" w:rsidP="009D441A">
      <w:pPr>
        <w:pStyle w:val="Default"/>
        <w:numPr>
          <w:ilvl w:val="0"/>
          <w:numId w:val="40"/>
        </w:numPr>
        <w:rPr>
          <w:rFonts w:ascii="Arial" w:hAnsi="Arial" w:cs="Arial"/>
          <w:sz w:val="22"/>
          <w:szCs w:val="22"/>
        </w:rPr>
      </w:pPr>
      <w:r w:rsidRPr="00EE109A">
        <w:rPr>
          <w:rFonts w:ascii="Arial" w:hAnsi="Arial" w:cs="Arial"/>
          <w:sz w:val="22"/>
          <w:szCs w:val="22"/>
        </w:rPr>
        <w:t xml:space="preserve">Effective August 12, 2024, the following the following antipsychotic agents will no longer require PA within age and quantity limits. Pediatric Behavioral Health </w:t>
      </w:r>
      <w:r w:rsidRPr="00EE109A">
        <w:rPr>
          <w:rFonts w:ascii="Arial" w:hAnsi="Arial" w:cs="Arial"/>
          <w:sz w:val="22"/>
          <w:szCs w:val="22"/>
        </w:rPr>
        <w:t xml:space="preserve">Medication Initiative criteria will apply. For additional information, please see the Pediatric Behavioral Health Initiative documents found at </w:t>
      </w:r>
      <w:hyperlink r:id="rId11" w:history="1">
        <w:r w:rsidRPr="00C030B8">
          <w:rPr>
            <w:rStyle w:val="Hyperlink"/>
            <w:rFonts w:ascii="Arial" w:hAnsi="Arial"/>
            <w:sz w:val="22"/>
            <w:szCs w:val="22"/>
          </w:rPr>
          <w:t>www.mass.gov/druglist</w:t>
        </w:r>
      </w:hyperlink>
      <w:r w:rsidRPr="00EE109A">
        <w:rPr>
          <w:rFonts w:ascii="Arial" w:hAnsi="Arial" w:cs="Arial"/>
          <w:sz w:val="22"/>
          <w:szCs w:val="22"/>
        </w:rPr>
        <w:t>.</w:t>
      </w:r>
    </w:p>
    <w:p w14:paraId="1130D9B1" w14:textId="77777777" w:rsidR="005B4C49" w:rsidRPr="00EE109A" w:rsidRDefault="005B4C49" w:rsidP="005B4C49">
      <w:pPr>
        <w:pStyle w:val="Default"/>
        <w:numPr>
          <w:ilvl w:val="0"/>
          <w:numId w:val="27"/>
        </w:numPr>
        <w:rPr>
          <w:rFonts w:ascii="Arial" w:hAnsi="Arial" w:cs="Arial"/>
          <w:sz w:val="22"/>
          <w:szCs w:val="22"/>
        </w:rPr>
      </w:pPr>
      <w:r w:rsidRPr="00EE109A">
        <w:rPr>
          <w:rFonts w:ascii="Arial" w:hAnsi="Arial" w:cs="Arial"/>
          <w:sz w:val="22"/>
          <w:szCs w:val="22"/>
        </w:rPr>
        <w:t xml:space="preserve">Invega (paliperidone 1.5 mg, 3 mg, 9 mg tablet) – </w:t>
      </w:r>
      <w:r w:rsidRPr="00EC1F89">
        <w:rPr>
          <w:rFonts w:ascii="Arial" w:hAnsi="Arial" w:cs="Arial"/>
          <w:b/>
          <w:bCs/>
          <w:sz w:val="22"/>
          <w:szCs w:val="22"/>
        </w:rPr>
        <w:t>PA &lt; 6 years</w:t>
      </w:r>
      <w:r w:rsidRPr="00EE109A">
        <w:rPr>
          <w:rFonts w:ascii="Arial" w:hAnsi="Arial" w:cs="Arial"/>
          <w:sz w:val="22"/>
          <w:szCs w:val="22"/>
        </w:rPr>
        <w:t xml:space="preserve"> and </w:t>
      </w:r>
      <w:r w:rsidRPr="00EC1F89">
        <w:rPr>
          <w:rFonts w:ascii="Arial" w:hAnsi="Arial" w:cs="Arial"/>
          <w:b/>
          <w:bCs/>
          <w:sz w:val="22"/>
          <w:szCs w:val="22"/>
        </w:rPr>
        <w:t>PA &gt; 1 unit/day</w:t>
      </w:r>
      <w:r w:rsidRPr="00EE109A">
        <w:rPr>
          <w:rFonts w:ascii="Arial" w:hAnsi="Arial" w:cs="Arial"/>
          <w:sz w:val="22"/>
          <w:szCs w:val="22"/>
        </w:rPr>
        <w:t xml:space="preserve">; #; A90 </w:t>
      </w:r>
    </w:p>
    <w:p w14:paraId="1A1C1BE4" w14:textId="77777777" w:rsidR="005B4C49" w:rsidRPr="00EE109A" w:rsidRDefault="005B4C49" w:rsidP="005B4C49">
      <w:pPr>
        <w:pStyle w:val="Default"/>
        <w:numPr>
          <w:ilvl w:val="0"/>
          <w:numId w:val="27"/>
        </w:numPr>
        <w:rPr>
          <w:rFonts w:ascii="Arial" w:hAnsi="Arial" w:cs="Arial"/>
          <w:sz w:val="22"/>
          <w:szCs w:val="22"/>
        </w:rPr>
      </w:pPr>
      <w:r w:rsidRPr="00EE109A">
        <w:rPr>
          <w:rFonts w:ascii="Arial" w:hAnsi="Arial" w:cs="Arial"/>
          <w:sz w:val="22"/>
          <w:szCs w:val="22"/>
        </w:rPr>
        <w:t xml:space="preserve">Invega (paliperidone 6 mg tablet) – </w:t>
      </w:r>
      <w:r w:rsidRPr="00EC1F89">
        <w:rPr>
          <w:rFonts w:ascii="Arial" w:hAnsi="Arial" w:cs="Arial"/>
          <w:b/>
          <w:bCs/>
          <w:sz w:val="22"/>
          <w:szCs w:val="22"/>
        </w:rPr>
        <w:t>PA &lt; 6 years</w:t>
      </w:r>
      <w:r w:rsidRPr="00EE109A">
        <w:rPr>
          <w:rFonts w:ascii="Arial" w:hAnsi="Arial" w:cs="Arial"/>
          <w:sz w:val="22"/>
          <w:szCs w:val="22"/>
        </w:rPr>
        <w:t xml:space="preserve"> and </w:t>
      </w:r>
      <w:r w:rsidRPr="00EC1F89">
        <w:rPr>
          <w:rFonts w:ascii="Arial" w:hAnsi="Arial" w:cs="Arial"/>
          <w:b/>
          <w:bCs/>
          <w:sz w:val="22"/>
          <w:szCs w:val="22"/>
        </w:rPr>
        <w:t>PA &gt; 2 units/day</w:t>
      </w:r>
      <w:r w:rsidRPr="00EE109A">
        <w:rPr>
          <w:rFonts w:ascii="Arial" w:hAnsi="Arial" w:cs="Arial"/>
          <w:sz w:val="22"/>
          <w:szCs w:val="22"/>
        </w:rPr>
        <w:t>; #; A90</w:t>
      </w:r>
    </w:p>
    <w:p w14:paraId="4366C355" w14:textId="77777777" w:rsidR="005B4C49" w:rsidRPr="00EE109A" w:rsidRDefault="005B4C49" w:rsidP="005B4C49">
      <w:pPr>
        <w:pStyle w:val="Default"/>
        <w:numPr>
          <w:ilvl w:val="0"/>
          <w:numId w:val="28"/>
        </w:numPr>
        <w:rPr>
          <w:rFonts w:ascii="Arial" w:hAnsi="Arial" w:cs="Arial"/>
          <w:sz w:val="22"/>
          <w:szCs w:val="22"/>
        </w:rPr>
      </w:pPr>
      <w:r w:rsidRPr="00EE109A">
        <w:rPr>
          <w:rFonts w:ascii="Arial" w:hAnsi="Arial" w:cs="Arial"/>
          <w:sz w:val="22"/>
          <w:szCs w:val="22"/>
        </w:rPr>
        <w:t xml:space="preserve">Latuda (lurasidone 20 mg, 40 mg, 60 mg, 120 mg) – </w:t>
      </w:r>
      <w:r w:rsidRPr="00EC1F89">
        <w:rPr>
          <w:rFonts w:ascii="Arial" w:hAnsi="Arial" w:cs="Arial"/>
          <w:b/>
          <w:bCs/>
          <w:sz w:val="22"/>
          <w:szCs w:val="22"/>
        </w:rPr>
        <w:t>PA &lt; 6 years</w:t>
      </w:r>
      <w:r w:rsidRPr="00EE109A">
        <w:rPr>
          <w:rFonts w:ascii="Arial" w:hAnsi="Arial" w:cs="Arial"/>
          <w:sz w:val="22"/>
          <w:szCs w:val="22"/>
        </w:rPr>
        <w:t xml:space="preserve"> and </w:t>
      </w:r>
      <w:r w:rsidRPr="00EC1F89">
        <w:rPr>
          <w:rFonts w:ascii="Arial" w:hAnsi="Arial" w:cs="Arial"/>
          <w:b/>
          <w:bCs/>
          <w:sz w:val="22"/>
          <w:szCs w:val="22"/>
        </w:rPr>
        <w:t>PA &gt; 1 unit/day</w:t>
      </w:r>
      <w:r w:rsidRPr="00EE109A">
        <w:rPr>
          <w:rFonts w:ascii="Arial" w:hAnsi="Arial" w:cs="Arial"/>
          <w:sz w:val="22"/>
          <w:szCs w:val="22"/>
        </w:rPr>
        <w:t xml:space="preserve">; #, A90 </w:t>
      </w:r>
    </w:p>
    <w:p w14:paraId="586074FC" w14:textId="77777777" w:rsidR="005B4C49" w:rsidRPr="00EE109A" w:rsidRDefault="005B4C49" w:rsidP="005B4C49">
      <w:pPr>
        <w:pStyle w:val="Default"/>
        <w:numPr>
          <w:ilvl w:val="0"/>
          <w:numId w:val="28"/>
        </w:numPr>
        <w:rPr>
          <w:rFonts w:ascii="Arial" w:hAnsi="Arial" w:cs="Arial"/>
          <w:sz w:val="22"/>
          <w:szCs w:val="22"/>
        </w:rPr>
      </w:pPr>
      <w:r w:rsidRPr="00EE109A">
        <w:rPr>
          <w:rFonts w:ascii="Arial" w:hAnsi="Arial" w:cs="Arial"/>
          <w:sz w:val="22"/>
          <w:szCs w:val="22"/>
        </w:rPr>
        <w:t xml:space="preserve">Latuda (lurasidone 80 mg) – </w:t>
      </w:r>
      <w:r w:rsidRPr="00EC1F89">
        <w:rPr>
          <w:rFonts w:ascii="Arial" w:hAnsi="Arial" w:cs="Arial"/>
          <w:b/>
          <w:bCs/>
          <w:sz w:val="22"/>
          <w:szCs w:val="22"/>
        </w:rPr>
        <w:t>PA &lt; 6 years</w:t>
      </w:r>
      <w:r w:rsidRPr="00EE109A">
        <w:rPr>
          <w:rFonts w:ascii="Arial" w:hAnsi="Arial" w:cs="Arial"/>
          <w:sz w:val="22"/>
          <w:szCs w:val="22"/>
        </w:rPr>
        <w:t xml:space="preserve"> and </w:t>
      </w:r>
      <w:r w:rsidRPr="00EC1F89">
        <w:rPr>
          <w:rFonts w:ascii="Arial" w:hAnsi="Arial" w:cs="Arial"/>
          <w:b/>
          <w:bCs/>
          <w:sz w:val="22"/>
          <w:szCs w:val="22"/>
        </w:rPr>
        <w:t>PA &gt; 2 units/day</w:t>
      </w:r>
      <w:r w:rsidRPr="00EE109A">
        <w:rPr>
          <w:rFonts w:ascii="Arial" w:hAnsi="Arial" w:cs="Arial"/>
          <w:sz w:val="22"/>
          <w:szCs w:val="22"/>
        </w:rPr>
        <w:t xml:space="preserve">; #, A90 </w:t>
      </w:r>
    </w:p>
    <w:p w14:paraId="21708D19" w14:textId="649A18EC" w:rsidR="008050A6" w:rsidRPr="00EE109A" w:rsidRDefault="008050A6" w:rsidP="009D441A">
      <w:pPr>
        <w:pStyle w:val="Default"/>
        <w:numPr>
          <w:ilvl w:val="0"/>
          <w:numId w:val="40"/>
        </w:numPr>
        <w:rPr>
          <w:rFonts w:ascii="Arial" w:hAnsi="Arial" w:cs="Arial"/>
          <w:sz w:val="22"/>
          <w:szCs w:val="22"/>
        </w:rPr>
      </w:pPr>
      <w:r w:rsidRPr="00EE109A">
        <w:rPr>
          <w:rFonts w:ascii="Arial" w:hAnsi="Arial" w:cs="Arial"/>
          <w:sz w:val="22"/>
          <w:szCs w:val="22"/>
        </w:rPr>
        <w:t xml:space="preserve">Effective August 12, 2024, the following the following antipsychotic agents will no longer require PA within updated quantity limits. Pediatric Behavioral Health Medication Initiative criteria will apply. For additional information, please see the Pediatric Behavioral Health Initiative documents found at </w:t>
      </w:r>
      <w:hyperlink r:id="rId12" w:history="1">
        <w:r w:rsidRPr="00A07FF1">
          <w:rPr>
            <w:rStyle w:val="Hyperlink"/>
            <w:rFonts w:ascii="Arial" w:hAnsi="Arial"/>
            <w:sz w:val="22"/>
            <w:szCs w:val="22"/>
          </w:rPr>
          <w:t>www.mass.gov/druglist</w:t>
        </w:r>
      </w:hyperlink>
      <w:r w:rsidRPr="00EE109A">
        <w:rPr>
          <w:rFonts w:ascii="Arial" w:hAnsi="Arial" w:cs="Arial"/>
          <w:sz w:val="22"/>
          <w:szCs w:val="22"/>
        </w:rPr>
        <w:t>.</w:t>
      </w:r>
    </w:p>
    <w:p w14:paraId="329B6C7C" w14:textId="77777777" w:rsidR="000427D8" w:rsidRPr="00EE109A" w:rsidRDefault="000427D8" w:rsidP="000427D8">
      <w:pPr>
        <w:pStyle w:val="Default"/>
        <w:numPr>
          <w:ilvl w:val="0"/>
          <w:numId w:val="29"/>
        </w:numPr>
        <w:rPr>
          <w:rFonts w:ascii="Arial" w:hAnsi="Arial" w:cs="Arial"/>
          <w:sz w:val="22"/>
          <w:szCs w:val="22"/>
        </w:rPr>
      </w:pPr>
      <w:r w:rsidRPr="00EE109A">
        <w:rPr>
          <w:rFonts w:ascii="Arial" w:hAnsi="Arial" w:cs="Arial"/>
          <w:sz w:val="22"/>
          <w:szCs w:val="22"/>
        </w:rPr>
        <w:t xml:space="preserve">Risperdal (risperidone 0.25 mg, 0.5 mg, 1 mg, 2 mg, 3 mg tablet) – </w:t>
      </w:r>
      <w:r w:rsidRPr="008E15E1">
        <w:rPr>
          <w:rFonts w:ascii="Arial" w:hAnsi="Arial" w:cs="Arial"/>
          <w:b/>
          <w:bCs/>
          <w:sz w:val="22"/>
          <w:szCs w:val="22"/>
        </w:rPr>
        <w:t>PA &lt; 6 years and PA &gt; 3 units/day</w:t>
      </w:r>
      <w:r w:rsidRPr="00EE109A">
        <w:rPr>
          <w:rFonts w:ascii="Arial" w:hAnsi="Arial" w:cs="Arial"/>
          <w:sz w:val="22"/>
          <w:szCs w:val="22"/>
        </w:rPr>
        <w:t>; #, A90</w:t>
      </w:r>
    </w:p>
    <w:p w14:paraId="0F9DA066" w14:textId="77777777" w:rsidR="000427D8" w:rsidRPr="00EE109A" w:rsidRDefault="000427D8" w:rsidP="000427D8">
      <w:pPr>
        <w:pStyle w:val="Default"/>
        <w:numPr>
          <w:ilvl w:val="0"/>
          <w:numId w:val="29"/>
        </w:numPr>
        <w:rPr>
          <w:rFonts w:ascii="Arial" w:hAnsi="Arial" w:cs="Arial"/>
          <w:sz w:val="22"/>
          <w:szCs w:val="22"/>
        </w:rPr>
      </w:pPr>
      <w:r w:rsidRPr="00EE109A">
        <w:rPr>
          <w:rFonts w:ascii="Arial" w:hAnsi="Arial" w:cs="Arial"/>
          <w:sz w:val="22"/>
          <w:szCs w:val="22"/>
        </w:rPr>
        <w:t xml:space="preserve">Zyprexa (olanzapine 2.5 mg, 5 mg, 7.5 mg, 10 mg tablet) – </w:t>
      </w:r>
      <w:r w:rsidRPr="008E15E1">
        <w:rPr>
          <w:rFonts w:ascii="Arial" w:hAnsi="Arial" w:cs="Arial"/>
          <w:b/>
          <w:bCs/>
          <w:sz w:val="22"/>
          <w:szCs w:val="22"/>
        </w:rPr>
        <w:t>PA &lt; 6 years and PA &gt; 3 units/day</w:t>
      </w:r>
      <w:r w:rsidRPr="00EE109A">
        <w:rPr>
          <w:rFonts w:ascii="Arial" w:hAnsi="Arial" w:cs="Arial"/>
          <w:sz w:val="22"/>
          <w:szCs w:val="22"/>
        </w:rPr>
        <w:t>; #, A90</w:t>
      </w:r>
    </w:p>
    <w:p w14:paraId="2CDB8956" w14:textId="77777777" w:rsidR="002970FC" w:rsidRPr="00EE109A" w:rsidRDefault="002970FC" w:rsidP="009D441A">
      <w:pPr>
        <w:pStyle w:val="Default"/>
        <w:numPr>
          <w:ilvl w:val="0"/>
          <w:numId w:val="40"/>
        </w:numPr>
        <w:rPr>
          <w:rFonts w:ascii="Arial" w:hAnsi="Arial" w:cs="Arial"/>
          <w:sz w:val="22"/>
          <w:szCs w:val="22"/>
        </w:rPr>
      </w:pPr>
      <w:r w:rsidRPr="00EE109A">
        <w:rPr>
          <w:rFonts w:ascii="Arial" w:hAnsi="Arial" w:cs="Arial"/>
          <w:sz w:val="22"/>
          <w:szCs w:val="22"/>
        </w:rPr>
        <w:t>Effective August 12, 2024, the following ophthalmic anti-allergy and anti-inflammatory agent will no longer require PA.</w:t>
      </w:r>
    </w:p>
    <w:p w14:paraId="2B698AE7" w14:textId="77777777" w:rsidR="00F944D4" w:rsidRPr="00EE109A" w:rsidRDefault="00F944D4" w:rsidP="00F944D4">
      <w:pPr>
        <w:pStyle w:val="Default"/>
        <w:numPr>
          <w:ilvl w:val="0"/>
          <w:numId w:val="30"/>
        </w:numPr>
        <w:rPr>
          <w:rFonts w:ascii="Arial" w:hAnsi="Arial" w:cs="Arial"/>
          <w:sz w:val="22"/>
          <w:szCs w:val="22"/>
        </w:rPr>
      </w:pPr>
      <w:r w:rsidRPr="00EE109A">
        <w:rPr>
          <w:rFonts w:ascii="Arial" w:hAnsi="Arial" w:cs="Arial"/>
          <w:sz w:val="22"/>
          <w:szCs w:val="22"/>
        </w:rPr>
        <w:t>Lastacaft (alcaftadine)</w:t>
      </w:r>
    </w:p>
    <w:p w14:paraId="26F35BBD" w14:textId="77777777" w:rsidR="00001E5C" w:rsidRPr="00EE109A" w:rsidRDefault="00001E5C" w:rsidP="009D441A">
      <w:pPr>
        <w:pStyle w:val="Default"/>
        <w:numPr>
          <w:ilvl w:val="0"/>
          <w:numId w:val="40"/>
        </w:numPr>
        <w:rPr>
          <w:rFonts w:ascii="Arial" w:hAnsi="Arial" w:cs="Arial"/>
          <w:sz w:val="22"/>
          <w:szCs w:val="22"/>
        </w:rPr>
      </w:pPr>
      <w:r w:rsidRPr="00EE109A">
        <w:rPr>
          <w:rFonts w:ascii="Arial" w:hAnsi="Arial" w:cs="Arial"/>
          <w:sz w:val="22"/>
          <w:szCs w:val="22"/>
        </w:rPr>
        <w:t>Effective August 12, 2024, the following constipation agent will no longer require PA.</w:t>
      </w:r>
    </w:p>
    <w:p w14:paraId="49B5B2C3" w14:textId="77777777" w:rsidR="0007062A" w:rsidRDefault="0007062A" w:rsidP="0007062A">
      <w:pPr>
        <w:pStyle w:val="Default"/>
        <w:numPr>
          <w:ilvl w:val="1"/>
          <w:numId w:val="31"/>
        </w:numPr>
        <w:rPr>
          <w:rFonts w:ascii="Arial" w:hAnsi="Arial" w:cs="Arial"/>
          <w:sz w:val="22"/>
          <w:szCs w:val="22"/>
        </w:rPr>
      </w:pPr>
      <w:r w:rsidRPr="00AF0158">
        <w:rPr>
          <w:rFonts w:ascii="Arial" w:hAnsi="Arial" w:cs="Arial"/>
          <w:sz w:val="22"/>
          <w:szCs w:val="22"/>
        </w:rPr>
        <w:t>Linzess (linaclotide 72 mcg)</w:t>
      </w:r>
    </w:p>
    <w:p w14:paraId="497F85CF" w14:textId="77777777" w:rsidR="006831E7" w:rsidRDefault="006831E7" w:rsidP="009D441A">
      <w:pPr>
        <w:pStyle w:val="Default"/>
        <w:numPr>
          <w:ilvl w:val="0"/>
          <w:numId w:val="40"/>
        </w:numPr>
        <w:rPr>
          <w:rFonts w:ascii="Arial" w:hAnsi="Arial" w:cs="Arial"/>
          <w:sz w:val="22"/>
          <w:szCs w:val="22"/>
        </w:rPr>
      </w:pPr>
      <w:r w:rsidRPr="00EE109A">
        <w:rPr>
          <w:rFonts w:ascii="Arial" w:hAnsi="Arial" w:cs="Arial"/>
          <w:sz w:val="22"/>
          <w:szCs w:val="22"/>
        </w:rPr>
        <w:t>Effective August 12, 2024, the following estrogen agent will require PA.</w:t>
      </w:r>
    </w:p>
    <w:p w14:paraId="16CF8687" w14:textId="77777777" w:rsidR="005C4F39" w:rsidRPr="00EE109A" w:rsidRDefault="005C4F39" w:rsidP="005C4F39">
      <w:pPr>
        <w:pStyle w:val="Default"/>
        <w:numPr>
          <w:ilvl w:val="1"/>
          <w:numId w:val="32"/>
        </w:numPr>
        <w:rPr>
          <w:rFonts w:ascii="Arial" w:hAnsi="Arial" w:cs="Arial"/>
          <w:sz w:val="22"/>
          <w:szCs w:val="22"/>
        </w:rPr>
      </w:pPr>
      <w:r w:rsidRPr="00EE109A">
        <w:rPr>
          <w:rFonts w:ascii="Arial" w:hAnsi="Arial" w:cs="Arial"/>
          <w:sz w:val="22"/>
          <w:szCs w:val="22"/>
        </w:rPr>
        <w:t xml:space="preserve">Duavee (conjugated estrogens/bazedoxifene) – </w:t>
      </w:r>
      <w:r w:rsidRPr="008E15E1">
        <w:rPr>
          <w:rFonts w:ascii="Arial" w:hAnsi="Arial" w:cs="Arial"/>
          <w:b/>
          <w:bCs/>
          <w:sz w:val="22"/>
          <w:szCs w:val="22"/>
        </w:rPr>
        <w:t>PA</w:t>
      </w:r>
    </w:p>
    <w:p w14:paraId="292FCA1A" w14:textId="6328A517" w:rsidR="000F6374" w:rsidRDefault="000F6374" w:rsidP="004619F5">
      <w:pPr>
        <w:pStyle w:val="BodyText1"/>
        <w:rPr>
          <w:rFonts w:ascii="Arial Black" w:hAnsi="Arial Black"/>
          <w:b/>
          <w:bCs/>
          <w:sz w:val="22"/>
          <w:szCs w:val="22"/>
        </w:rPr>
      </w:pPr>
      <w:r>
        <w:rPr>
          <w:rFonts w:ascii="Arial Black" w:hAnsi="Arial Black"/>
          <w:b/>
          <w:bCs/>
          <w:sz w:val="22"/>
          <w:szCs w:val="22"/>
        </w:rPr>
        <w:lastRenderedPageBreak/>
        <w:t>Change in Coverage Status</w:t>
      </w:r>
    </w:p>
    <w:p w14:paraId="5890C6A1" w14:textId="77777777" w:rsidR="003C5ACA" w:rsidRPr="00EC6056" w:rsidRDefault="003C5ACA" w:rsidP="003C5ACA">
      <w:pPr>
        <w:pStyle w:val="Default"/>
        <w:numPr>
          <w:ilvl w:val="0"/>
          <w:numId w:val="37"/>
        </w:numPr>
        <w:spacing w:line="276" w:lineRule="auto"/>
        <w:rPr>
          <w:rFonts w:ascii="Arial" w:hAnsi="Arial" w:cs="Arial"/>
          <w:color w:val="auto"/>
          <w:sz w:val="22"/>
          <w:szCs w:val="22"/>
        </w:rPr>
      </w:pPr>
      <w:r w:rsidRPr="00EC6056">
        <w:rPr>
          <w:rFonts w:ascii="Arial" w:hAnsi="Arial" w:cs="Arial"/>
          <w:sz w:val="22"/>
          <w:szCs w:val="22"/>
        </w:rPr>
        <w:t xml:space="preserve">Effective </w:t>
      </w:r>
      <w:r w:rsidRPr="00EE109A">
        <w:rPr>
          <w:rFonts w:ascii="Arial" w:hAnsi="Arial" w:cs="Arial"/>
          <w:sz w:val="22"/>
          <w:szCs w:val="22"/>
        </w:rPr>
        <w:t>August 12, 2024</w:t>
      </w:r>
      <w:r w:rsidRPr="00EC6056">
        <w:rPr>
          <w:rFonts w:ascii="Arial" w:hAnsi="Arial" w:cs="Arial"/>
          <w:sz w:val="22"/>
          <w:szCs w:val="22"/>
        </w:rPr>
        <w:t>, the following agents will be available through medical billing only and will no longer be available through pharmacy billing</w:t>
      </w:r>
      <w:r w:rsidRPr="00EC6056">
        <w:rPr>
          <w:rFonts w:ascii="Arial" w:hAnsi="Arial" w:cs="Arial"/>
          <w:color w:val="auto"/>
          <w:sz w:val="22"/>
          <w:szCs w:val="22"/>
        </w:rPr>
        <w:t>.</w:t>
      </w:r>
    </w:p>
    <w:p w14:paraId="306CB9CA" w14:textId="77777777" w:rsidR="008E1746" w:rsidRPr="00AF0158" w:rsidRDefault="008E1746" w:rsidP="008E1746">
      <w:pPr>
        <w:pStyle w:val="Default"/>
        <w:numPr>
          <w:ilvl w:val="0"/>
          <w:numId w:val="2"/>
        </w:numPr>
        <w:spacing w:line="276" w:lineRule="auto"/>
        <w:ind w:left="1080"/>
        <w:rPr>
          <w:rFonts w:ascii="Arial" w:hAnsi="Arial" w:cs="Arial"/>
          <w:sz w:val="22"/>
          <w:szCs w:val="22"/>
        </w:rPr>
      </w:pPr>
      <w:r w:rsidRPr="00AF0158">
        <w:rPr>
          <w:rFonts w:ascii="Arial" w:hAnsi="Arial" w:cs="Arial"/>
          <w:sz w:val="22"/>
          <w:szCs w:val="22"/>
        </w:rPr>
        <w:t xml:space="preserve">Cosentyx (secukinumab vial) – </w:t>
      </w:r>
      <w:r w:rsidRPr="009D441A">
        <w:rPr>
          <w:rFonts w:ascii="Arial" w:hAnsi="Arial" w:cs="Arial"/>
          <w:b/>
          <w:bCs/>
          <w:sz w:val="22"/>
          <w:szCs w:val="22"/>
        </w:rPr>
        <w:t>PA</w:t>
      </w:r>
      <w:r w:rsidRPr="008E1746">
        <w:rPr>
          <w:rFonts w:ascii="Arial" w:hAnsi="Arial" w:cs="Arial"/>
          <w:sz w:val="22"/>
          <w:szCs w:val="22"/>
        </w:rPr>
        <w:t>;</w:t>
      </w:r>
      <w:r w:rsidRPr="00AF0158">
        <w:rPr>
          <w:rFonts w:ascii="Arial" w:hAnsi="Arial" w:cs="Arial"/>
          <w:sz w:val="22"/>
          <w:szCs w:val="22"/>
        </w:rPr>
        <w:t xml:space="preserve"> MB</w:t>
      </w:r>
    </w:p>
    <w:p w14:paraId="5620575E" w14:textId="77777777" w:rsidR="008E1746" w:rsidRPr="008E1746" w:rsidRDefault="008E1746" w:rsidP="008E1746">
      <w:pPr>
        <w:pStyle w:val="Default"/>
        <w:numPr>
          <w:ilvl w:val="1"/>
          <w:numId w:val="38"/>
        </w:numPr>
        <w:spacing w:line="276" w:lineRule="auto"/>
        <w:ind w:left="1080"/>
        <w:rPr>
          <w:rFonts w:ascii="Arial" w:hAnsi="Arial" w:cs="Arial"/>
          <w:sz w:val="22"/>
          <w:szCs w:val="22"/>
        </w:rPr>
      </w:pPr>
      <w:r w:rsidRPr="008E1746">
        <w:rPr>
          <w:rFonts w:ascii="Arial" w:hAnsi="Arial" w:cs="Arial"/>
          <w:sz w:val="22"/>
          <w:szCs w:val="22"/>
        </w:rPr>
        <w:t xml:space="preserve">ibandronate injection – </w:t>
      </w:r>
      <w:r w:rsidRPr="009D441A">
        <w:rPr>
          <w:rFonts w:ascii="Arial" w:hAnsi="Arial" w:cs="Arial"/>
          <w:b/>
          <w:bCs/>
          <w:sz w:val="22"/>
          <w:szCs w:val="22"/>
        </w:rPr>
        <w:t>PA</w:t>
      </w:r>
      <w:r w:rsidRPr="008E1746">
        <w:rPr>
          <w:rFonts w:ascii="Arial" w:hAnsi="Arial" w:cs="Arial"/>
          <w:sz w:val="22"/>
          <w:szCs w:val="22"/>
        </w:rPr>
        <w:t>; MB</w:t>
      </w:r>
    </w:p>
    <w:p w14:paraId="31C49AF3" w14:textId="77777777" w:rsidR="008E1746" w:rsidRPr="008E1746" w:rsidRDefault="008E1746" w:rsidP="008E1746">
      <w:pPr>
        <w:pStyle w:val="Default"/>
        <w:numPr>
          <w:ilvl w:val="1"/>
          <w:numId w:val="38"/>
        </w:numPr>
        <w:spacing w:line="276" w:lineRule="auto"/>
        <w:ind w:left="1080"/>
        <w:rPr>
          <w:rFonts w:ascii="Arial" w:hAnsi="Arial" w:cs="Arial"/>
          <w:sz w:val="22"/>
          <w:szCs w:val="22"/>
        </w:rPr>
      </w:pPr>
      <w:r w:rsidRPr="008E1746">
        <w:rPr>
          <w:rFonts w:ascii="Arial" w:hAnsi="Arial" w:cs="Arial"/>
          <w:sz w:val="22"/>
          <w:szCs w:val="22"/>
        </w:rPr>
        <w:t>pamidronate; MB</w:t>
      </w:r>
    </w:p>
    <w:p w14:paraId="7ECF1E1F" w14:textId="1FF23033" w:rsidR="004619F5" w:rsidRDefault="004619F5" w:rsidP="004619F5">
      <w:pPr>
        <w:pStyle w:val="BodyText1"/>
        <w:rPr>
          <w:rFonts w:ascii="Arial Black" w:hAnsi="Arial Black"/>
          <w:b/>
          <w:bCs/>
          <w:sz w:val="22"/>
          <w:szCs w:val="22"/>
        </w:rPr>
      </w:pPr>
      <w:r w:rsidRPr="004619F5">
        <w:rPr>
          <w:rFonts w:ascii="Arial Black" w:hAnsi="Arial Black"/>
          <w:b/>
          <w:bCs/>
          <w:sz w:val="22"/>
          <w:szCs w:val="22"/>
        </w:rPr>
        <w:t>Updated MassHealth Brand Name Preferred Over Generic Drug List</w:t>
      </w:r>
    </w:p>
    <w:p w14:paraId="57745898" w14:textId="77777777" w:rsidR="00483C9F" w:rsidRPr="00483C9F" w:rsidRDefault="00483C9F" w:rsidP="00483C9F">
      <w:pPr>
        <w:pStyle w:val="Default"/>
        <w:spacing w:after="120"/>
        <w:rPr>
          <w:rFonts w:ascii="Arial" w:hAnsi="Arial" w:cs="Arial"/>
          <w:color w:val="auto"/>
          <w:sz w:val="22"/>
          <w:szCs w:val="22"/>
        </w:rPr>
      </w:pPr>
      <w:r w:rsidRPr="00483C9F">
        <w:rPr>
          <w:rFonts w:ascii="Arial" w:hAnsi="Arial" w:cs="Arial"/>
          <w:color w:val="auto"/>
          <w:sz w:val="22"/>
          <w:szCs w:val="22"/>
        </w:rPr>
        <w:t>The MassHealth Brand Name Preferred Over Generic Drug List has been updated to reflect recent changes to the MassHealth Drug List.</w:t>
      </w:r>
    </w:p>
    <w:p w14:paraId="37077D2C" w14:textId="77777777" w:rsidR="001E30F7" w:rsidRPr="00EC6056" w:rsidRDefault="001E30F7" w:rsidP="001E30F7">
      <w:pPr>
        <w:pStyle w:val="Default"/>
        <w:numPr>
          <w:ilvl w:val="0"/>
          <w:numId w:val="33"/>
        </w:numPr>
        <w:spacing w:line="276" w:lineRule="auto"/>
        <w:rPr>
          <w:rFonts w:ascii="Arial" w:hAnsi="Arial" w:cs="Arial"/>
          <w:sz w:val="22"/>
          <w:szCs w:val="22"/>
        </w:rPr>
      </w:pPr>
      <w:r w:rsidRPr="00EC6056">
        <w:rPr>
          <w:rFonts w:ascii="Arial" w:hAnsi="Arial" w:cs="Arial"/>
          <w:sz w:val="22"/>
          <w:szCs w:val="22"/>
        </w:rPr>
        <w:t xml:space="preserve">Effective </w:t>
      </w:r>
      <w:r w:rsidRPr="00EE109A">
        <w:rPr>
          <w:rFonts w:ascii="Arial" w:hAnsi="Arial" w:cs="Arial"/>
          <w:sz w:val="22"/>
          <w:szCs w:val="22"/>
        </w:rPr>
        <w:t>August 12, 2024</w:t>
      </w:r>
      <w:r w:rsidRPr="00EC6056">
        <w:rPr>
          <w:rFonts w:ascii="Arial" w:hAnsi="Arial" w:cs="Arial"/>
          <w:sz w:val="22"/>
          <w:szCs w:val="22"/>
        </w:rPr>
        <w:t xml:space="preserve">, the following agents will be added to the MassHealth Brand Name Preferred Over Generic Drug List. </w:t>
      </w:r>
    </w:p>
    <w:p w14:paraId="3E8D5D05"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 xml:space="preserve">Minivelle (estradiol); BP, M90 </w:t>
      </w:r>
    </w:p>
    <w:p w14:paraId="5036668D"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 xml:space="preserve">Oxtellar XR (oxcarbazepine extended-release) – </w:t>
      </w:r>
      <w:r w:rsidRPr="00AF0158">
        <w:rPr>
          <w:rFonts w:ascii="Arial" w:hAnsi="Arial" w:cs="Arial"/>
          <w:b/>
          <w:bCs/>
          <w:sz w:val="22"/>
          <w:szCs w:val="22"/>
        </w:rPr>
        <w:t>PA</w:t>
      </w:r>
      <w:r w:rsidRPr="00AF0158">
        <w:rPr>
          <w:rFonts w:ascii="Arial" w:hAnsi="Arial" w:cs="Arial"/>
          <w:sz w:val="22"/>
          <w:szCs w:val="22"/>
        </w:rPr>
        <w:t>; BP</w:t>
      </w:r>
    </w:p>
    <w:p w14:paraId="520911FA"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 xml:space="preserve">Pred Forte (prednisolone acetate 1% ophthalmic suspension); BP, A90 </w:t>
      </w:r>
    </w:p>
    <w:p w14:paraId="41038D18"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 xml:space="preserve">Promacta (eltrombopag) – </w:t>
      </w:r>
      <w:r w:rsidRPr="00AF0158">
        <w:rPr>
          <w:rFonts w:ascii="Arial" w:hAnsi="Arial" w:cs="Arial"/>
          <w:b/>
          <w:bCs/>
          <w:sz w:val="22"/>
          <w:szCs w:val="22"/>
        </w:rPr>
        <w:t>PA</w:t>
      </w:r>
      <w:r w:rsidRPr="00AF0158">
        <w:rPr>
          <w:rFonts w:ascii="Arial" w:hAnsi="Arial" w:cs="Arial"/>
          <w:sz w:val="22"/>
          <w:szCs w:val="22"/>
        </w:rPr>
        <w:t>; BP</w:t>
      </w:r>
    </w:p>
    <w:p w14:paraId="4048B36D"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Tasigna (nilotinib); BP</w:t>
      </w:r>
    </w:p>
    <w:p w14:paraId="4018310B" w14:textId="77777777" w:rsidR="00045319" w:rsidRPr="00AF0158" w:rsidRDefault="00045319" w:rsidP="00045319">
      <w:pPr>
        <w:pStyle w:val="Default"/>
        <w:numPr>
          <w:ilvl w:val="0"/>
          <w:numId w:val="6"/>
        </w:numPr>
        <w:spacing w:line="276" w:lineRule="auto"/>
        <w:rPr>
          <w:rFonts w:ascii="Arial" w:hAnsi="Arial" w:cs="Arial"/>
          <w:sz w:val="22"/>
          <w:szCs w:val="22"/>
        </w:rPr>
      </w:pPr>
      <w:r w:rsidRPr="00AF0158">
        <w:rPr>
          <w:rFonts w:ascii="Arial" w:hAnsi="Arial" w:cs="Arial"/>
          <w:sz w:val="22"/>
          <w:szCs w:val="22"/>
        </w:rPr>
        <w:t>Vivelle-Dot (estradiol); BP, M90</w:t>
      </w:r>
    </w:p>
    <w:p w14:paraId="2AAC09D1" w14:textId="77777777" w:rsidR="00B12A3F" w:rsidRPr="00EC6056" w:rsidRDefault="00B12A3F" w:rsidP="00B12A3F">
      <w:pPr>
        <w:pStyle w:val="Default"/>
        <w:numPr>
          <w:ilvl w:val="0"/>
          <w:numId w:val="33"/>
        </w:numPr>
        <w:spacing w:line="276" w:lineRule="auto"/>
        <w:rPr>
          <w:rFonts w:ascii="Arial" w:hAnsi="Arial" w:cs="Arial"/>
          <w:sz w:val="22"/>
          <w:szCs w:val="22"/>
        </w:rPr>
      </w:pPr>
      <w:r w:rsidRPr="00EC6056">
        <w:rPr>
          <w:rFonts w:ascii="Arial" w:hAnsi="Arial" w:cs="Arial"/>
          <w:sz w:val="22"/>
          <w:szCs w:val="22"/>
        </w:rPr>
        <w:t xml:space="preserve">Effective </w:t>
      </w:r>
      <w:r w:rsidRPr="00EE109A">
        <w:rPr>
          <w:rFonts w:ascii="Arial" w:hAnsi="Arial" w:cs="Arial"/>
          <w:sz w:val="22"/>
          <w:szCs w:val="22"/>
        </w:rPr>
        <w:t>August 12, 2024</w:t>
      </w:r>
      <w:r>
        <w:rPr>
          <w:rFonts w:ascii="Arial" w:hAnsi="Arial" w:cs="Arial"/>
          <w:sz w:val="22"/>
          <w:szCs w:val="22"/>
        </w:rPr>
        <w:t xml:space="preserve">, </w:t>
      </w:r>
      <w:r w:rsidRPr="00EC6056">
        <w:rPr>
          <w:rFonts w:ascii="Arial" w:hAnsi="Arial" w:cs="Arial"/>
          <w:sz w:val="22"/>
          <w:szCs w:val="22"/>
        </w:rPr>
        <w:t xml:space="preserve">the following agents will be removed from the MassHealth Brand Name Preferred Over Generic Drug List. </w:t>
      </w:r>
    </w:p>
    <w:p w14:paraId="47DE8CCE" w14:textId="77777777" w:rsidR="002C7119" w:rsidRPr="008E15E1" w:rsidRDefault="002C7119" w:rsidP="002C7119">
      <w:pPr>
        <w:pStyle w:val="Default"/>
        <w:numPr>
          <w:ilvl w:val="0"/>
          <w:numId w:val="6"/>
        </w:numPr>
        <w:spacing w:line="276" w:lineRule="auto"/>
        <w:rPr>
          <w:rFonts w:ascii="Arial" w:hAnsi="Arial" w:cs="Arial"/>
          <w:sz w:val="22"/>
          <w:szCs w:val="22"/>
        </w:rPr>
      </w:pPr>
      <w:r w:rsidRPr="008E15E1">
        <w:rPr>
          <w:rFonts w:ascii="Arial" w:hAnsi="Arial" w:cs="Arial"/>
          <w:sz w:val="22"/>
          <w:szCs w:val="22"/>
        </w:rPr>
        <w:t xml:space="preserve">Amitiza (lubiprostone) – </w:t>
      </w:r>
      <w:r w:rsidRPr="008E15E1">
        <w:rPr>
          <w:rFonts w:ascii="Arial" w:hAnsi="Arial" w:cs="Arial"/>
          <w:b/>
          <w:bCs/>
          <w:sz w:val="22"/>
          <w:szCs w:val="22"/>
        </w:rPr>
        <w:t>PA</w:t>
      </w:r>
      <w:r w:rsidRPr="008E15E1">
        <w:rPr>
          <w:rFonts w:ascii="Arial" w:hAnsi="Arial" w:cs="Arial"/>
          <w:sz w:val="22"/>
          <w:szCs w:val="22"/>
        </w:rPr>
        <w:t>; M90</w:t>
      </w:r>
    </w:p>
    <w:p w14:paraId="3FCC8A09" w14:textId="77777777" w:rsidR="002C7119" w:rsidRDefault="002C7119" w:rsidP="002C7119">
      <w:pPr>
        <w:pStyle w:val="Default"/>
        <w:numPr>
          <w:ilvl w:val="0"/>
          <w:numId w:val="6"/>
        </w:numPr>
        <w:spacing w:line="276" w:lineRule="auto"/>
        <w:rPr>
          <w:rFonts w:ascii="Arial" w:hAnsi="Arial" w:cs="Arial"/>
          <w:b/>
          <w:bCs/>
          <w:sz w:val="22"/>
          <w:szCs w:val="22"/>
        </w:rPr>
      </w:pPr>
      <w:r w:rsidRPr="008E15E1">
        <w:rPr>
          <w:rFonts w:ascii="Arial" w:hAnsi="Arial" w:cs="Arial"/>
          <w:sz w:val="22"/>
          <w:szCs w:val="22"/>
        </w:rPr>
        <w:t xml:space="preserve">Marinol (dronabinol 5 mg, 10 mg) – </w:t>
      </w:r>
      <w:r w:rsidRPr="008E15E1">
        <w:rPr>
          <w:rFonts w:ascii="Arial" w:hAnsi="Arial" w:cs="Arial"/>
          <w:b/>
          <w:bCs/>
          <w:sz w:val="22"/>
          <w:szCs w:val="22"/>
        </w:rPr>
        <w:t>PA &gt; 2 units/day</w:t>
      </w:r>
    </w:p>
    <w:p w14:paraId="0BEB85F8" w14:textId="77777777" w:rsidR="00DB3517" w:rsidRDefault="00DB3517" w:rsidP="00DB3517">
      <w:pPr>
        <w:pStyle w:val="BodyText10"/>
        <w:textAlignment w:val="baseline"/>
        <w:rPr>
          <w:rFonts w:ascii="Arial Black" w:hAnsi="Arial Black"/>
          <w:b/>
          <w:bCs/>
          <w:sz w:val="22"/>
          <w:szCs w:val="22"/>
        </w:rPr>
      </w:pPr>
      <w:r w:rsidRPr="00B649B1">
        <w:rPr>
          <w:rFonts w:ascii="Arial Black" w:hAnsi="Arial Black"/>
          <w:b/>
          <w:bCs/>
          <w:sz w:val="22"/>
          <w:szCs w:val="22"/>
        </w:rPr>
        <w:t>Updated MassHealth Over-the-Counter Drug List</w:t>
      </w:r>
    </w:p>
    <w:p w14:paraId="52428EC9" w14:textId="1D740D52" w:rsidR="00EB54BF" w:rsidRDefault="00EB54BF" w:rsidP="00EB54BF">
      <w:pPr>
        <w:pStyle w:val="Default"/>
        <w:spacing w:after="120"/>
        <w:rPr>
          <w:rFonts w:ascii="Arial" w:hAnsi="Arial" w:cs="Arial"/>
          <w:color w:val="auto"/>
          <w:sz w:val="22"/>
          <w:szCs w:val="22"/>
        </w:rPr>
      </w:pPr>
      <w:r w:rsidRPr="00EB54BF">
        <w:rPr>
          <w:rFonts w:ascii="Arial" w:hAnsi="Arial" w:cs="Arial"/>
          <w:color w:val="auto"/>
          <w:sz w:val="22"/>
          <w:szCs w:val="22"/>
        </w:rPr>
        <w:t>The MassHealth Over-the-Counter Drug List has been updated to reflect recent changes to the MassHealth Drug List.</w:t>
      </w:r>
    </w:p>
    <w:p w14:paraId="2AE1920A" w14:textId="068280D3" w:rsidR="00D32115" w:rsidRDefault="00D32115" w:rsidP="00D32115">
      <w:pPr>
        <w:pStyle w:val="Default"/>
        <w:numPr>
          <w:ilvl w:val="0"/>
          <w:numId w:val="22"/>
        </w:numPr>
        <w:spacing w:line="276" w:lineRule="auto"/>
        <w:rPr>
          <w:rFonts w:ascii="Arial" w:hAnsi="Arial" w:cs="Arial"/>
          <w:sz w:val="22"/>
          <w:szCs w:val="22"/>
        </w:rPr>
      </w:pPr>
      <w:r w:rsidRPr="00D32115">
        <w:rPr>
          <w:rFonts w:ascii="Arial" w:hAnsi="Arial" w:cs="Arial"/>
          <w:sz w:val="22"/>
          <w:szCs w:val="22"/>
        </w:rPr>
        <w:t xml:space="preserve">Effective August 12, 2024, the following probiotic agents will require PA within updated age limits. </w:t>
      </w:r>
    </w:p>
    <w:p w14:paraId="680B48FC" w14:textId="77777777" w:rsidR="00220A69" w:rsidRPr="00220A69" w:rsidRDefault="00220A69" w:rsidP="00220A69">
      <w:pPr>
        <w:numPr>
          <w:ilvl w:val="0"/>
          <w:numId w:val="35"/>
        </w:numPr>
        <w:spacing w:line="276" w:lineRule="auto"/>
        <w:contextualSpacing/>
        <w:rPr>
          <w:rFonts w:ascii="Arial" w:hAnsi="Arial" w:cs="Arial"/>
          <w:b/>
          <w:bCs/>
          <w:color w:val="000000"/>
          <w:sz w:val="22"/>
          <w:szCs w:val="22"/>
        </w:rPr>
      </w:pPr>
      <w:r w:rsidRPr="00220A69">
        <w:rPr>
          <w:rFonts w:ascii="Arial" w:hAnsi="Arial" w:cs="Arial"/>
          <w:color w:val="000000"/>
          <w:sz w:val="22"/>
          <w:szCs w:val="22"/>
        </w:rPr>
        <w:t xml:space="preserve">Align (bifidobacterium infantis) – </w:t>
      </w:r>
      <w:r w:rsidRPr="00220A69">
        <w:rPr>
          <w:rFonts w:ascii="Arial" w:hAnsi="Arial" w:cs="Arial"/>
          <w:b/>
          <w:bCs/>
          <w:color w:val="000000"/>
          <w:sz w:val="22"/>
          <w:szCs w:val="22"/>
        </w:rPr>
        <w:t>PA ≥ 21 years</w:t>
      </w:r>
    </w:p>
    <w:p w14:paraId="13FBD44D" w14:textId="77777777" w:rsidR="00220A69" w:rsidRPr="00220A69" w:rsidRDefault="00220A69" w:rsidP="00220A69">
      <w:pPr>
        <w:numPr>
          <w:ilvl w:val="0"/>
          <w:numId w:val="35"/>
        </w:numPr>
        <w:spacing w:line="276" w:lineRule="auto"/>
        <w:contextualSpacing/>
        <w:rPr>
          <w:rFonts w:ascii="Arial" w:hAnsi="Arial" w:cs="Arial"/>
          <w:color w:val="000000"/>
          <w:sz w:val="22"/>
          <w:szCs w:val="22"/>
        </w:rPr>
      </w:pPr>
      <w:r w:rsidRPr="00220A69">
        <w:rPr>
          <w:rFonts w:ascii="Arial" w:hAnsi="Arial" w:cs="Arial"/>
          <w:color w:val="000000"/>
          <w:sz w:val="22"/>
          <w:szCs w:val="22"/>
        </w:rPr>
        <w:t xml:space="preserve">Culturelle (lactobacillus rhamnosus GG) – </w:t>
      </w:r>
      <w:r w:rsidRPr="00220A69">
        <w:rPr>
          <w:rFonts w:ascii="Arial" w:hAnsi="Arial" w:cs="Arial"/>
          <w:b/>
          <w:bCs/>
          <w:color w:val="000000"/>
          <w:sz w:val="22"/>
          <w:szCs w:val="22"/>
        </w:rPr>
        <w:t>PA ≥ 21 years</w:t>
      </w:r>
    </w:p>
    <w:p w14:paraId="3F0C3EE7" w14:textId="77777777" w:rsidR="00220A69" w:rsidRPr="00220A69" w:rsidRDefault="00220A69" w:rsidP="00220A69">
      <w:pPr>
        <w:numPr>
          <w:ilvl w:val="0"/>
          <w:numId w:val="35"/>
        </w:numPr>
        <w:spacing w:line="276" w:lineRule="auto"/>
        <w:contextualSpacing/>
        <w:rPr>
          <w:rFonts w:ascii="Arial" w:hAnsi="Arial" w:cs="Arial"/>
          <w:color w:val="000000"/>
          <w:sz w:val="22"/>
          <w:szCs w:val="22"/>
        </w:rPr>
      </w:pPr>
      <w:r w:rsidRPr="00220A69">
        <w:rPr>
          <w:rFonts w:ascii="Arial" w:hAnsi="Arial" w:cs="Arial"/>
          <w:color w:val="000000"/>
          <w:sz w:val="22"/>
          <w:szCs w:val="22"/>
        </w:rPr>
        <w:t xml:space="preserve">Florastor (saccaromyces boulardii) – </w:t>
      </w:r>
      <w:r w:rsidRPr="00220A69">
        <w:rPr>
          <w:rFonts w:ascii="Arial" w:hAnsi="Arial" w:cs="Arial"/>
          <w:b/>
          <w:bCs/>
          <w:color w:val="000000"/>
          <w:sz w:val="22"/>
          <w:szCs w:val="22"/>
        </w:rPr>
        <w:t>PA ≥ 21 years</w:t>
      </w:r>
    </w:p>
    <w:p w14:paraId="4E58B800" w14:textId="77777777" w:rsidR="00CF4425" w:rsidRPr="00CF4425" w:rsidRDefault="00CF4425" w:rsidP="00CF4425">
      <w:pPr>
        <w:pStyle w:val="ListParagraph"/>
        <w:numPr>
          <w:ilvl w:val="0"/>
          <w:numId w:val="22"/>
        </w:numPr>
        <w:rPr>
          <w:rFonts w:ascii="Arial" w:hAnsi="Arial" w:cs="Arial"/>
          <w:color w:val="000000"/>
          <w:sz w:val="22"/>
          <w:szCs w:val="22"/>
        </w:rPr>
      </w:pPr>
      <w:r w:rsidRPr="00CF4425">
        <w:rPr>
          <w:rFonts w:ascii="Arial" w:hAnsi="Arial" w:cs="Arial"/>
          <w:color w:val="000000"/>
          <w:sz w:val="22"/>
          <w:szCs w:val="22"/>
        </w:rPr>
        <w:t xml:space="preserve">Effective August 12, 2024, the following ophthalmic anti-allergy and anti-inflammatory agent will be added to the MassHealth Over-the-Counter Drug List. </w:t>
      </w:r>
    </w:p>
    <w:p w14:paraId="065A7EC1" w14:textId="77777777" w:rsidR="00D76E6C" w:rsidRPr="008E15E1" w:rsidRDefault="00D76E6C" w:rsidP="00D76E6C">
      <w:pPr>
        <w:pStyle w:val="ListParagraph"/>
        <w:numPr>
          <w:ilvl w:val="1"/>
          <w:numId w:val="36"/>
        </w:numPr>
        <w:spacing w:line="259" w:lineRule="auto"/>
        <w:ind w:left="1080"/>
        <w:contextualSpacing/>
        <w:rPr>
          <w:rFonts w:ascii="Arial" w:hAnsi="Arial" w:cs="Arial"/>
          <w:color w:val="000000"/>
          <w:sz w:val="22"/>
          <w:szCs w:val="22"/>
        </w:rPr>
      </w:pPr>
      <w:r w:rsidRPr="008E15E1">
        <w:rPr>
          <w:rFonts w:ascii="Arial" w:hAnsi="Arial" w:cs="Arial"/>
          <w:color w:val="000000"/>
          <w:sz w:val="22"/>
          <w:szCs w:val="22"/>
        </w:rPr>
        <w:t xml:space="preserve">Lastacaft (alcaftadine) </w:t>
      </w:r>
    </w:p>
    <w:p w14:paraId="62EDB262" w14:textId="77777777" w:rsidR="004066BB" w:rsidRPr="004066BB" w:rsidRDefault="004066BB" w:rsidP="004066BB">
      <w:pPr>
        <w:pStyle w:val="ListParagraph"/>
        <w:numPr>
          <w:ilvl w:val="0"/>
          <w:numId w:val="22"/>
        </w:numPr>
        <w:rPr>
          <w:rFonts w:ascii="Arial" w:hAnsi="Arial" w:cs="Arial"/>
          <w:color w:val="000000"/>
          <w:sz w:val="22"/>
          <w:szCs w:val="22"/>
        </w:rPr>
      </w:pPr>
      <w:r w:rsidRPr="004066BB">
        <w:rPr>
          <w:rFonts w:ascii="Arial" w:hAnsi="Arial" w:cs="Arial"/>
          <w:color w:val="000000"/>
          <w:sz w:val="22"/>
          <w:szCs w:val="22"/>
        </w:rPr>
        <w:t xml:space="preserve">Effective August 12, 2024, the following iron agent will be added to the MassHealth Over-the-Counter Drug List. </w:t>
      </w:r>
    </w:p>
    <w:p w14:paraId="20271ADC" w14:textId="77777777" w:rsidR="001D51FD" w:rsidRPr="008E15E1" w:rsidRDefault="001D51FD" w:rsidP="001D51FD">
      <w:pPr>
        <w:pStyle w:val="ListParagraph"/>
        <w:numPr>
          <w:ilvl w:val="1"/>
          <w:numId w:val="36"/>
        </w:numPr>
        <w:spacing w:after="160" w:line="259" w:lineRule="auto"/>
        <w:ind w:left="1080"/>
        <w:contextualSpacing/>
        <w:rPr>
          <w:rFonts w:ascii="Arial" w:hAnsi="Arial" w:cs="Arial"/>
          <w:color w:val="000000"/>
          <w:sz w:val="22"/>
          <w:szCs w:val="22"/>
        </w:rPr>
      </w:pPr>
      <w:r w:rsidRPr="008E15E1">
        <w:rPr>
          <w:rFonts w:ascii="Arial" w:hAnsi="Arial" w:cs="Arial"/>
          <w:color w:val="000000"/>
          <w:sz w:val="22"/>
          <w:szCs w:val="22"/>
        </w:rPr>
        <w:t xml:space="preserve">iron polysaccharide complex; *, M90 </w:t>
      </w:r>
    </w:p>
    <w:p w14:paraId="5B1A8C47" w14:textId="77777777" w:rsidR="00EF7C8A" w:rsidRDefault="00F512EE" w:rsidP="00B645C9">
      <w:pPr>
        <w:shd w:val="clear" w:color="auto" w:fill="FFFFFF"/>
        <w:ind w:left="729" w:hanging="630"/>
        <w:jc w:val="center"/>
        <w:rPr>
          <w:rFonts w:ascii="Arial" w:hAnsi="Arial"/>
          <w:b/>
          <w:bCs/>
          <w:sz w:val="18"/>
          <w:szCs w:val="18"/>
        </w:rPr>
      </w:pPr>
      <w:r>
        <w:rPr>
          <w:rFonts w:ascii="Arial" w:hAnsi="Arial"/>
          <w:b/>
          <w:bCs/>
          <w:sz w:val="18"/>
          <w:szCs w:val="18"/>
        </w:rPr>
        <w:t>L</w:t>
      </w:r>
      <w:r w:rsidR="00EF7C8A" w:rsidRPr="006E1C33">
        <w:rPr>
          <w:rFonts w:ascii="Arial" w:hAnsi="Arial"/>
          <w:b/>
          <w:bCs/>
          <w:sz w:val="18"/>
          <w:szCs w:val="18"/>
        </w:rPr>
        <w:t>egend</w:t>
      </w:r>
    </w:p>
    <w:p w14:paraId="5B1A8C49" w14:textId="77777777" w:rsidR="00F512EE" w:rsidRPr="006E6AFF" w:rsidRDefault="00F512EE" w:rsidP="005B15B3">
      <w:pPr>
        <w:shd w:val="clear" w:color="auto" w:fill="FFFFFF"/>
        <w:tabs>
          <w:tab w:val="left" w:pos="180"/>
          <w:tab w:val="left" w:pos="360"/>
        </w:tabs>
        <w:ind w:left="270" w:hanging="360"/>
        <w:rPr>
          <w:rFonts w:ascii="Arial" w:hAnsi="Arial"/>
          <w:b/>
          <w:bCs/>
          <w:color w:val="FF0000"/>
          <w:sz w:val="18"/>
          <w:szCs w:val="18"/>
        </w:rPr>
      </w:pPr>
    </w:p>
    <w:p w14:paraId="5B1A8C4A" w14:textId="77777777" w:rsidR="00E50862" w:rsidRDefault="00E50862" w:rsidP="005B15B3">
      <w:pPr>
        <w:shd w:val="clear" w:color="auto" w:fill="FFFFFF"/>
        <w:tabs>
          <w:tab w:val="left" w:pos="180"/>
          <w:tab w:val="left" w:pos="360"/>
        </w:tabs>
        <w:ind w:left="270" w:hanging="360"/>
        <w:rPr>
          <w:rFonts w:ascii="Arial" w:hAnsi="Arial"/>
          <w:bCs/>
          <w:sz w:val="18"/>
          <w:szCs w:val="18"/>
        </w:rPr>
      </w:pPr>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sidRPr="007818DC">
        <w:rPr>
          <w:rFonts w:ascii="Arial" w:hAnsi="Arial"/>
          <w:bCs/>
          <w:sz w:val="16"/>
          <w:szCs w:val="16"/>
        </w:rPr>
        <w:t>Prior authorization is required. The prescriber must obtain prior authorization for the drug in order for the pharmacy to receive payment. Note: PA applies to both the brand-name and the FDA “A”-rated generic equivalent of listed product.</w:t>
      </w:r>
    </w:p>
    <w:p w14:paraId="5B1A8C4B" w14:textId="77777777" w:rsidR="009D6D73" w:rsidRDefault="009D6D73" w:rsidP="009F0526">
      <w:pPr>
        <w:shd w:val="clear" w:color="auto" w:fill="FFFFFF"/>
        <w:tabs>
          <w:tab w:val="left" w:pos="360"/>
        </w:tabs>
        <w:ind w:left="270" w:hanging="360"/>
        <w:rPr>
          <w:rFonts w:ascii="Arial" w:hAnsi="Arial"/>
          <w:bCs/>
          <w:sz w:val="18"/>
          <w:szCs w:val="18"/>
        </w:rPr>
      </w:pPr>
    </w:p>
    <w:p w14:paraId="5B1A8C4C" w14:textId="77777777"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sidRPr="007818DC">
        <w:rPr>
          <w:rFonts w:ascii="Arial" w:hAnsi="Arial"/>
          <w:bCs/>
          <w:sz w:val="16"/>
          <w:szCs w:val="16"/>
        </w:rPr>
        <w:t xml:space="preserve"> Designates a brand-name drug with FDA “A”-rated generic equivalents. </w:t>
      </w:r>
      <w:bookmarkStart w:id="0" w:name="Prior_Authorization"/>
      <w:r w:rsidRPr="007818DC">
        <w:rPr>
          <w:rFonts w:ascii="Arial" w:hAnsi="Arial"/>
          <w:bCs/>
          <w:sz w:val="16"/>
          <w:szCs w:val="16"/>
        </w:rPr>
        <w:t>Prior authorization</w:t>
      </w:r>
      <w:bookmarkEnd w:id="0"/>
      <w:r w:rsidRPr="007818DC">
        <w:rPr>
          <w:rFonts w:ascii="Arial" w:hAnsi="Arial"/>
          <w:bCs/>
          <w:sz w:val="16"/>
          <w:szCs w:val="16"/>
        </w:rPr>
        <w:t xml:space="preserve"> is required for the brand, unless a particular form of that drug (for example, tablet, capsule, or liquid) does not have an FDA “A”-rated generic equivalent.</w:t>
      </w:r>
      <w:r w:rsidRPr="009D6D73">
        <w:rPr>
          <w:rFonts w:ascii="Arial" w:hAnsi="Arial"/>
          <w:bCs/>
          <w:sz w:val="18"/>
          <w:szCs w:val="18"/>
        </w:rPr>
        <w:t xml:space="preserve"> </w:t>
      </w:r>
    </w:p>
    <w:p w14:paraId="5B1A8C4D"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5B1A8C4E" w14:textId="77777777"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sidRPr="007818DC">
        <w:rPr>
          <w:rFonts w:ascii="Arial" w:hAnsi="Arial"/>
          <w:bCs/>
          <w:sz w:val="16"/>
          <w:szCs w:val="16"/>
        </w:rPr>
        <w:t>Brand preferred over generic equivalents.</w:t>
      </w:r>
      <w:r w:rsidR="005B15B3" w:rsidRPr="007818DC">
        <w:rPr>
          <w:rFonts w:ascii="Arial" w:hAnsi="Arial"/>
          <w:bCs/>
          <w:sz w:val="16"/>
          <w:szCs w:val="16"/>
        </w:rPr>
        <w:t xml:space="preserve"> </w:t>
      </w:r>
      <w:r w:rsidRPr="007818DC">
        <w:rPr>
          <w:rFonts w:ascii="Arial" w:hAnsi="Arial"/>
          <w:bCs/>
          <w:sz w:val="16"/>
          <w:szCs w:val="16"/>
        </w:rPr>
        <w:t>In general, MassHealth requires a trial of the preferred drug or clinical rationale for prescribing the nonpreferred drug generic equivalent</w:t>
      </w:r>
      <w:r w:rsidR="00212622" w:rsidRPr="007818DC">
        <w:rPr>
          <w:rFonts w:ascii="Arial" w:hAnsi="Arial"/>
          <w:bCs/>
          <w:sz w:val="16"/>
          <w:szCs w:val="16"/>
        </w:rPr>
        <w:t>.</w:t>
      </w:r>
    </w:p>
    <w:p w14:paraId="5B1A8C4F" w14:textId="77777777" w:rsidR="00212622" w:rsidRPr="00824696" w:rsidRDefault="00212622" w:rsidP="00212622">
      <w:pPr>
        <w:shd w:val="clear" w:color="auto" w:fill="FFFFFF"/>
        <w:ind w:left="270" w:hanging="441"/>
        <w:rPr>
          <w:rFonts w:ascii="Arial" w:hAnsi="Arial"/>
          <w:b/>
          <w:sz w:val="22"/>
          <w:szCs w:val="22"/>
          <w:vertAlign w:val="superscript"/>
        </w:rPr>
      </w:pPr>
    </w:p>
    <w:p w14:paraId="5B1A8C51" w14:textId="38EDE5E9" w:rsidR="00212622" w:rsidRDefault="00824696" w:rsidP="00824696">
      <w:pPr>
        <w:shd w:val="clear" w:color="auto" w:fill="FFFFFF"/>
        <w:ind w:left="270" w:hanging="441"/>
        <w:rPr>
          <w:rFonts w:ascii="Arial" w:hAnsi="Arial"/>
          <w:bCs/>
          <w:sz w:val="18"/>
          <w:szCs w:val="18"/>
        </w:rPr>
      </w:pPr>
      <w:r w:rsidRPr="00824696">
        <w:rPr>
          <w:rFonts w:ascii="Arial" w:hAnsi="Arial"/>
          <w:b/>
          <w:sz w:val="22"/>
          <w:szCs w:val="22"/>
          <w:vertAlign w:val="superscript"/>
        </w:rPr>
        <w:t xml:space="preserve">A90 </w:t>
      </w:r>
      <w:r>
        <w:rPr>
          <w:rFonts w:ascii="Arial" w:hAnsi="Arial"/>
          <w:b/>
          <w:sz w:val="22"/>
          <w:szCs w:val="22"/>
          <w:vertAlign w:val="superscript"/>
        </w:rPr>
        <w:tab/>
      </w:r>
      <w:r w:rsidRPr="007818DC">
        <w:rPr>
          <w:rFonts w:ascii="Arial" w:hAnsi="Arial"/>
          <w:bCs/>
          <w:sz w:val="16"/>
          <w:szCs w:val="16"/>
        </w:rPr>
        <w:t>Allowable 90-day supply. Dispensing in up to a 90-day supply is allowed. May not include all strengths or formulations. Quantity limits and other restrictions may apply.</w:t>
      </w:r>
    </w:p>
    <w:p w14:paraId="25C2606E" w14:textId="77777777" w:rsidR="00824696" w:rsidRPr="00824696" w:rsidRDefault="00824696" w:rsidP="00824696">
      <w:pPr>
        <w:shd w:val="clear" w:color="auto" w:fill="FFFFFF"/>
        <w:ind w:left="270" w:hanging="441"/>
        <w:rPr>
          <w:rFonts w:ascii="Arial" w:hAnsi="Arial"/>
          <w:b/>
          <w:sz w:val="22"/>
          <w:szCs w:val="22"/>
          <w:vertAlign w:val="superscript"/>
        </w:rPr>
      </w:pPr>
    </w:p>
    <w:p w14:paraId="000271D3" w14:textId="77777777" w:rsidR="005F549F" w:rsidRDefault="00143826" w:rsidP="005F549F">
      <w:pPr>
        <w:shd w:val="clear" w:color="auto" w:fill="FFFFFF"/>
        <w:ind w:left="270" w:hanging="441"/>
        <w:rPr>
          <w:rFonts w:ascii="Arial" w:hAnsi="Arial"/>
          <w:bCs/>
          <w:sz w:val="18"/>
          <w:szCs w:val="18"/>
        </w:rPr>
      </w:pPr>
      <w:r w:rsidRPr="00143826">
        <w:rPr>
          <w:rFonts w:ascii="Arial" w:hAnsi="Arial"/>
          <w:b/>
          <w:sz w:val="22"/>
          <w:szCs w:val="22"/>
          <w:vertAlign w:val="superscript"/>
        </w:rPr>
        <w:t xml:space="preserve">CO </w:t>
      </w:r>
      <w:r>
        <w:rPr>
          <w:rFonts w:ascii="Arial" w:hAnsi="Arial"/>
          <w:b/>
          <w:sz w:val="22"/>
          <w:szCs w:val="22"/>
          <w:vertAlign w:val="superscript"/>
        </w:rPr>
        <w:tab/>
      </w:r>
      <w:r w:rsidRPr="007818DC">
        <w:rPr>
          <w:rFonts w:ascii="Arial" w:hAnsi="Arial"/>
          <w:bCs/>
          <w:sz w:val="16"/>
          <w:szCs w:val="16"/>
        </w:rPr>
        <w:t>Carve-Out. This agent is listed on the Acute Hospital Carve-Out Drugs List and is subject to additional monitoring and billing requirements.</w:t>
      </w:r>
    </w:p>
    <w:p w14:paraId="29EAB68B" w14:textId="77777777" w:rsidR="005F549F" w:rsidRDefault="005F549F" w:rsidP="005F549F">
      <w:pPr>
        <w:shd w:val="clear" w:color="auto" w:fill="FFFFFF"/>
        <w:ind w:left="270" w:hanging="441"/>
        <w:rPr>
          <w:rFonts w:ascii="Arial" w:hAnsi="Arial" w:cs="Arial"/>
          <w:b/>
          <w:sz w:val="22"/>
          <w:szCs w:val="22"/>
          <w:vertAlign w:val="superscript"/>
        </w:rPr>
      </w:pPr>
    </w:p>
    <w:p w14:paraId="5B1A8C55" w14:textId="2C69B2B6" w:rsidR="00212622" w:rsidRDefault="005F549F" w:rsidP="005F549F">
      <w:pPr>
        <w:shd w:val="clear" w:color="auto" w:fill="FFFFFF"/>
        <w:ind w:left="270" w:hanging="441"/>
        <w:rPr>
          <w:rFonts w:ascii="Arial" w:hAnsi="Arial"/>
          <w:bCs/>
          <w:sz w:val="18"/>
          <w:szCs w:val="18"/>
        </w:rPr>
      </w:pPr>
      <w:r w:rsidRPr="005F549F">
        <w:rPr>
          <w:rFonts w:ascii="Arial" w:hAnsi="Arial" w:cs="Arial"/>
          <w:b/>
          <w:sz w:val="22"/>
          <w:szCs w:val="22"/>
          <w:vertAlign w:val="superscript"/>
        </w:rPr>
        <w:t xml:space="preserve">MB </w:t>
      </w:r>
      <w:r>
        <w:rPr>
          <w:rFonts w:ascii="Arial" w:hAnsi="Arial" w:cs="Arial"/>
          <w:b/>
          <w:sz w:val="22"/>
          <w:szCs w:val="22"/>
          <w:vertAlign w:val="superscript"/>
        </w:rPr>
        <w:tab/>
      </w:r>
      <w:r w:rsidRPr="00521FF8">
        <w:rPr>
          <w:rFonts w:ascii="Arial" w:hAnsi="Arial"/>
          <w:bCs/>
          <w:sz w:val="16"/>
          <w:szCs w:val="16"/>
        </w:rPr>
        <w:t>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1D477326" w14:textId="77777777" w:rsidR="005F549F" w:rsidRDefault="005F549F" w:rsidP="005F549F">
      <w:pPr>
        <w:shd w:val="clear" w:color="auto" w:fill="FFFFFF"/>
        <w:ind w:left="270" w:hanging="441"/>
        <w:rPr>
          <w:rFonts w:ascii="Arial" w:hAnsi="Arial"/>
          <w:bCs/>
          <w:sz w:val="18"/>
          <w:szCs w:val="18"/>
        </w:rPr>
      </w:pPr>
    </w:p>
    <w:p w14:paraId="5B1A8C57" w14:textId="3E181AB5" w:rsidR="0041065E" w:rsidRDefault="00521FF8" w:rsidP="0041065E">
      <w:pPr>
        <w:shd w:val="clear" w:color="auto" w:fill="FFFFFF"/>
        <w:ind w:left="270" w:hanging="450"/>
        <w:rPr>
          <w:rFonts w:ascii="Arial" w:hAnsi="Arial"/>
          <w:bCs/>
          <w:sz w:val="18"/>
          <w:szCs w:val="18"/>
        </w:rPr>
      </w:pPr>
      <w:r w:rsidRPr="00521FF8">
        <w:rPr>
          <w:rFonts w:ascii="Arial" w:hAnsi="Arial"/>
          <w:b/>
          <w:sz w:val="22"/>
          <w:szCs w:val="22"/>
          <w:vertAlign w:val="superscript"/>
        </w:rPr>
        <w:t xml:space="preserve">M90 </w:t>
      </w:r>
      <w:r>
        <w:rPr>
          <w:rFonts w:ascii="Arial" w:hAnsi="Arial"/>
          <w:b/>
          <w:sz w:val="22"/>
          <w:szCs w:val="22"/>
          <w:vertAlign w:val="superscript"/>
        </w:rPr>
        <w:tab/>
      </w:r>
      <w:r w:rsidRPr="00521FF8">
        <w:rPr>
          <w:rFonts w:ascii="Arial" w:hAnsi="Arial"/>
          <w:bCs/>
          <w:sz w:val="16"/>
          <w:szCs w:val="16"/>
        </w:rPr>
        <w:t>Mandatory 90-day supply. After dispensing up to a 30-day supply initial fill, dispensing in a 90-day supply is required. May not include all strengths or formulations. Quantity limits and other restrictions may also apply.</w:t>
      </w:r>
    </w:p>
    <w:p w14:paraId="5EA12D2D" w14:textId="77777777" w:rsidR="00521FF8" w:rsidRDefault="00521FF8" w:rsidP="0041065E">
      <w:pPr>
        <w:shd w:val="clear" w:color="auto" w:fill="FFFFFF"/>
        <w:ind w:left="270" w:hanging="450"/>
        <w:rPr>
          <w:rFonts w:ascii="Arial" w:eastAsia="Calibri" w:hAnsi="Arial" w:cs="Arial"/>
          <w:sz w:val="16"/>
          <w:szCs w:val="16"/>
        </w:rPr>
      </w:pPr>
    </w:p>
    <w:p w14:paraId="69CC01DD" w14:textId="77777777" w:rsidR="00212D06" w:rsidRDefault="0041065E" w:rsidP="0041065E">
      <w:pPr>
        <w:shd w:val="clear" w:color="auto" w:fill="FFFFFF"/>
        <w:ind w:left="270" w:hanging="450"/>
        <w:rPr>
          <w:rFonts w:ascii="Arial" w:eastAsia="Calibri" w:hAnsi="Arial" w:cs="Arial"/>
          <w:sz w:val="16"/>
          <w:szCs w:val="16"/>
        </w:rPr>
        <w:sectPr w:rsidR="00212D06" w:rsidSect="003C1739">
          <w:headerReference w:type="default" r:id="rId13"/>
          <w:footerReference w:type="default" r:id="rId14"/>
          <w:type w:val="continuous"/>
          <w:pgSz w:w="12240" w:h="15840" w:code="1"/>
          <w:pgMar w:top="360" w:right="907" w:bottom="432" w:left="907" w:header="720" w:footer="576" w:gutter="0"/>
          <w:cols w:num="2" w:sep="1" w:space="720"/>
          <w:docGrid w:linePitch="360"/>
        </w:sectPr>
      </w:pPr>
      <w:r>
        <w:rPr>
          <w:rFonts w:ascii="Arial" w:hAnsi="Arial"/>
          <w:b/>
          <w:sz w:val="16"/>
          <w:szCs w:val="16"/>
          <w:vertAlign w:val="superscript"/>
        </w:rPr>
        <w:t>1</w:t>
      </w:r>
      <w:r>
        <w:rPr>
          <w:rFonts w:ascii="Arial" w:hAnsi="Arial" w:cs="Arial"/>
          <w:bCs/>
          <w:color w:val="000000"/>
          <w:sz w:val="16"/>
          <w:szCs w:val="16"/>
        </w:rPr>
        <w:t xml:space="preserve">         </w:t>
      </w:r>
      <w:r>
        <w:rPr>
          <w:rFonts w:ascii="Arial" w:eastAsia="Calibri" w:hAnsi="Arial" w:cs="Arial"/>
          <w:sz w:val="16"/>
          <w:szCs w:val="16"/>
        </w:rPr>
        <w:t xml:space="preserve">Product may be available through the Massachusetts Department of Public Health (DPH). Please check with DPH for availability. MassHealth does not pay for immunizing biologicals (i.e., vaccines) and tubercular (TB) drugs that are available free </w:t>
      </w:r>
    </w:p>
    <w:p w14:paraId="5B1A8C58" w14:textId="77777777" w:rsidR="0041065E" w:rsidRDefault="0041065E" w:rsidP="00212D06">
      <w:pPr>
        <w:shd w:val="clear" w:color="auto" w:fill="FFFFFF"/>
        <w:ind w:left="270"/>
        <w:rPr>
          <w:rFonts w:ascii="Arial" w:hAnsi="Arial" w:cs="Arial"/>
          <w:sz w:val="16"/>
          <w:szCs w:val="16"/>
        </w:rPr>
      </w:pPr>
      <w:r>
        <w:rPr>
          <w:rFonts w:ascii="Arial" w:eastAsia="Calibri" w:hAnsi="Arial" w:cs="Arial"/>
          <w:sz w:val="16"/>
          <w:szCs w:val="16"/>
        </w:rPr>
        <w:lastRenderedPageBreak/>
        <w:t xml:space="preserve">of charge through local boards of public health or through the Massachusetts DPH without prior authorization (130 CMR 406.413(C)). In cases where free vaccines are available to providers for specific populations (e.g., children, high risk, etc.), MassHealth will reimburse the provider only for individuals not </w:t>
      </w:r>
      <w:r>
        <w:rPr>
          <w:rFonts w:ascii="Arial" w:eastAsia="Calibri" w:hAnsi="Arial" w:cs="Arial"/>
          <w:sz w:val="16"/>
          <w:szCs w:val="16"/>
        </w:rPr>
        <w:t>eligible for the free vaccines. Notwithstanding the above, MassHealth will pay pharmacies for seasonal flu vaccine serum without prior authorization, if the vaccine is administered in the pharmacy</w:t>
      </w:r>
      <w:r>
        <w:rPr>
          <w:rFonts w:ascii="Arial" w:hAnsi="Arial" w:cs="Arial"/>
          <w:sz w:val="16"/>
          <w:szCs w:val="16"/>
        </w:rPr>
        <w:t xml:space="preserve">. </w:t>
      </w:r>
    </w:p>
    <w:p w14:paraId="5B1A8C5A" w14:textId="77777777" w:rsidR="0041065E" w:rsidRDefault="0041065E" w:rsidP="00521FF8">
      <w:pPr>
        <w:shd w:val="clear" w:color="auto" w:fill="FFFFFF"/>
        <w:rPr>
          <w:bCs/>
          <w:sz w:val="18"/>
          <w:szCs w:val="18"/>
        </w:rPr>
        <w:sectPr w:rsidR="0041065E" w:rsidSect="00212D06">
          <w:footerReference w:type="default" r:id="rId15"/>
          <w:pgSz w:w="12240" w:h="15840" w:code="1"/>
          <w:pgMar w:top="360" w:right="907" w:bottom="432" w:left="907" w:header="720" w:footer="576" w:gutter="0"/>
          <w:cols w:num="2" w:sep="1" w:space="720"/>
          <w:docGrid w:linePitch="360"/>
        </w:sectPr>
      </w:pPr>
    </w:p>
    <w:p w14:paraId="5B1A8C5B" w14:textId="77777777" w:rsidR="00A650DC" w:rsidRPr="001721D8" w:rsidRDefault="00A650DC" w:rsidP="00521FF8">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24A12" w14:textId="77777777" w:rsidR="000C6401" w:rsidRDefault="000C6401" w:rsidP="00492602">
      <w:r>
        <w:separator/>
      </w:r>
    </w:p>
  </w:endnote>
  <w:endnote w:type="continuationSeparator" w:id="0">
    <w:p w14:paraId="7AD65D63" w14:textId="77777777" w:rsidR="000C6401" w:rsidRDefault="000C6401"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4710" w14:textId="77777777" w:rsidR="00212D06" w:rsidRDefault="00212D06" w:rsidP="00212D06">
    <w:pPr>
      <w:pStyle w:val="Footer"/>
      <w:pBdr>
        <w:top w:val="single" w:sz="18" w:space="1" w:color="auto"/>
      </w:pBdr>
      <w:tabs>
        <w:tab w:val="clear" w:pos="4680"/>
        <w:tab w:val="clear" w:pos="9360"/>
        <w:tab w:val="left" w:pos="3840"/>
      </w:tabs>
      <w:spacing w:before="120"/>
    </w:pPr>
    <w:r>
      <w:tab/>
    </w:r>
  </w:p>
  <w:p w14:paraId="5B1A8C6D" w14:textId="6CC5AF6C" w:rsidR="003C1739" w:rsidRPr="008E1746" w:rsidRDefault="003C1739" w:rsidP="008E17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46A3" w14:textId="77777777" w:rsidR="00212D06" w:rsidRDefault="00212D06" w:rsidP="008E1746">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5BF27F2E" w14:textId="77777777" w:rsidR="00212D06" w:rsidRPr="00E95805" w:rsidRDefault="00000000" w:rsidP="008E1746">
    <w:pPr>
      <w:pStyle w:val="Footer"/>
      <w:jc w:val="center"/>
    </w:pPr>
    <w:hyperlink r:id="rId1" w:history="1">
      <w:r w:rsidR="00212D06" w:rsidRPr="00386AF8">
        <w:rPr>
          <w:rStyle w:val="Hyperlink"/>
          <w:rFonts w:ascii="Arial" w:hAnsi="Arial" w:cs="Arial"/>
          <w:iCs/>
          <w:sz w:val="18"/>
          <w:szCs w:val="18"/>
        </w:rPr>
        <w:t>PharmFactsMA@Conduent.com</w:t>
      </w:r>
    </w:hyperlink>
  </w:p>
  <w:p w14:paraId="0105E8BF" w14:textId="77777777" w:rsidR="00212D06" w:rsidRPr="008E1746" w:rsidRDefault="00212D06" w:rsidP="008E1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0E0A" w14:textId="77777777" w:rsidR="000C6401" w:rsidRDefault="000C6401" w:rsidP="00492602">
      <w:r>
        <w:separator/>
      </w:r>
    </w:p>
  </w:footnote>
  <w:footnote w:type="continuationSeparator" w:id="0">
    <w:p w14:paraId="00F38B08" w14:textId="77777777" w:rsidR="000C6401" w:rsidRDefault="000C6401"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64AE8" w14:textId="33199495" w:rsidR="00935B3D" w:rsidRDefault="00935B3D" w:rsidP="00935B3D">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Pr="00935B3D">
      <w:rPr>
        <w:color w:val="auto"/>
        <w:sz w:val="18"/>
        <w:szCs w:val="18"/>
      </w:rPr>
      <w:t>230</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sidR="008E1746">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27E61"/>
    <w:multiLevelType w:val="hybridMultilevel"/>
    <w:tmpl w:val="224AD706"/>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5A13EF"/>
    <w:multiLevelType w:val="hybridMultilevel"/>
    <w:tmpl w:val="CFEABF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9111D4"/>
    <w:multiLevelType w:val="hybridMultilevel"/>
    <w:tmpl w:val="4CC8FFF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B5CD4"/>
    <w:multiLevelType w:val="hybridMultilevel"/>
    <w:tmpl w:val="2AE2831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C9A0593"/>
    <w:multiLevelType w:val="hybridMultilevel"/>
    <w:tmpl w:val="CFEABF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51AE9"/>
    <w:multiLevelType w:val="hybridMultilevel"/>
    <w:tmpl w:val="EDA8CB12"/>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019796C"/>
    <w:multiLevelType w:val="hybridMultilevel"/>
    <w:tmpl w:val="C3A07C0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3116466F"/>
    <w:multiLevelType w:val="hybridMultilevel"/>
    <w:tmpl w:val="AE8EF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C3445"/>
    <w:multiLevelType w:val="hybridMultilevel"/>
    <w:tmpl w:val="678CBFF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39B3436B"/>
    <w:multiLevelType w:val="hybridMultilevel"/>
    <w:tmpl w:val="567C6AE6"/>
    <w:lvl w:ilvl="0" w:tplc="AC8600DA">
      <w:start w:val="2"/>
      <w:numFmt w:val="lowerLetter"/>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7F46FB"/>
    <w:multiLevelType w:val="hybridMultilevel"/>
    <w:tmpl w:val="F11C60C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F41AA6"/>
    <w:multiLevelType w:val="hybridMultilevel"/>
    <w:tmpl w:val="0540AB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2135">
    <w:abstractNumId w:val="23"/>
  </w:num>
  <w:num w:numId="2" w16cid:durableId="485777596">
    <w:abstractNumId w:val="28"/>
  </w:num>
  <w:num w:numId="3" w16cid:durableId="2124108017">
    <w:abstractNumId w:val="32"/>
  </w:num>
  <w:num w:numId="4" w16cid:durableId="2130008051">
    <w:abstractNumId w:val="15"/>
  </w:num>
  <w:num w:numId="5" w16cid:durableId="1205603724">
    <w:abstractNumId w:val="21"/>
  </w:num>
  <w:num w:numId="6" w16cid:durableId="2010867690">
    <w:abstractNumId w:val="27"/>
  </w:num>
  <w:num w:numId="7" w16cid:durableId="816608610">
    <w:abstractNumId w:val="33"/>
  </w:num>
  <w:num w:numId="8" w16cid:durableId="2076660891">
    <w:abstractNumId w:val="6"/>
  </w:num>
  <w:num w:numId="9" w16cid:durableId="1939360783">
    <w:abstractNumId w:val="0"/>
  </w:num>
  <w:num w:numId="10" w16cid:durableId="425537424">
    <w:abstractNumId w:val="30"/>
  </w:num>
  <w:num w:numId="11" w16cid:durableId="8030794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08511">
    <w:abstractNumId w:val="9"/>
  </w:num>
  <w:num w:numId="13" w16cid:durableId="161245177">
    <w:abstractNumId w:val="32"/>
  </w:num>
  <w:num w:numId="14" w16cid:durableId="179490683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763806">
    <w:abstractNumId w:val="27"/>
  </w:num>
  <w:num w:numId="16" w16cid:durableId="109932532">
    <w:abstractNumId w:val="29"/>
  </w:num>
  <w:num w:numId="17" w16cid:durableId="500629838">
    <w:abstractNumId w:val="4"/>
  </w:num>
  <w:num w:numId="18" w16cid:durableId="380635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3273">
    <w:abstractNumId w:val="11"/>
  </w:num>
  <w:num w:numId="20" w16cid:durableId="1964537488">
    <w:abstractNumId w:val="7"/>
  </w:num>
  <w:num w:numId="21" w16cid:durableId="576017535">
    <w:abstractNumId w:val="19"/>
  </w:num>
  <w:num w:numId="22" w16cid:durableId="909194736">
    <w:abstractNumId w:val="34"/>
  </w:num>
  <w:num w:numId="23" w16cid:durableId="345792937">
    <w:abstractNumId w:val="35"/>
  </w:num>
  <w:num w:numId="24" w16cid:durableId="338586529">
    <w:abstractNumId w:val="26"/>
  </w:num>
  <w:num w:numId="25" w16cid:durableId="1477721350">
    <w:abstractNumId w:val="31"/>
  </w:num>
  <w:num w:numId="26" w16cid:durableId="738207954">
    <w:abstractNumId w:val="10"/>
  </w:num>
  <w:num w:numId="27" w16cid:durableId="1999964544">
    <w:abstractNumId w:val="8"/>
  </w:num>
  <w:num w:numId="28" w16cid:durableId="376200470">
    <w:abstractNumId w:val="5"/>
  </w:num>
  <w:num w:numId="29" w16cid:durableId="1640264625">
    <w:abstractNumId w:val="20"/>
  </w:num>
  <w:num w:numId="30" w16cid:durableId="214196183">
    <w:abstractNumId w:val="16"/>
  </w:num>
  <w:num w:numId="31" w16cid:durableId="233324327">
    <w:abstractNumId w:val="12"/>
  </w:num>
  <w:num w:numId="32" w16cid:durableId="1823689979">
    <w:abstractNumId w:val="2"/>
  </w:num>
  <w:num w:numId="33" w16cid:durableId="777138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2314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4952178">
    <w:abstractNumId w:val="13"/>
  </w:num>
  <w:num w:numId="36" w16cid:durableId="1307006650">
    <w:abstractNumId w:val="17"/>
  </w:num>
  <w:num w:numId="37" w16cid:durableId="1296106456">
    <w:abstractNumId w:val="14"/>
  </w:num>
  <w:num w:numId="38" w16cid:durableId="150486117">
    <w:abstractNumId w:val="18"/>
  </w:num>
  <w:num w:numId="39" w16cid:durableId="1313216920">
    <w:abstractNumId w:val="1"/>
  </w:num>
  <w:num w:numId="40" w16cid:durableId="185823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1E5C"/>
    <w:rsid w:val="0003148F"/>
    <w:rsid w:val="000427D8"/>
    <w:rsid w:val="00042C6C"/>
    <w:rsid w:val="00045319"/>
    <w:rsid w:val="00054839"/>
    <w:rsid w:val="00063DDE"/>
    <w:rsid w:val="0007062A"/>
    <w:rsid w:val="000713D3"/>
    <w:rsid w:val="000735C4"/>
    <w:rsid w:val="00074014"/>
    <w:rsid w:val="00081E8E"/>
    <w:rsid w:val="000A440A"/>
    <w:rsid w:val="000A6318"/>
    <w:rsid w:val="000C6401"/>
    <w:rsid w:val="000D1502"/>
    <w:rsid w:val="000F3F9D"/>
    <w:rsid w:val="000F5C22"/>
    <w:rsid w:val="000F6374"/>
    <w:rsid w:val="00114825"/>
    <w:rsid w:val="00123D58"/>
    <w:rsid w:val="00137D3D"/>
    <w:rsid w:val="00140D08"/>
    <w:rsid w:val="00143826"/>
    <w:rsid w:val="00147437"/>
    <w:rsid w:val="00157A49"/>
    <w:rsid w:val="00171445"/>
    <w:rsid w:val="001721D8"/>
    <w:rsid w:val="00172862"/>
    <w:rsid w:val="0018357E"/>
    <w:rsid w:val="001864A9"/>
    <w:rsid w:val="001A125B"/>
    <w:rsid w:val="001C1481"/>
    <w:rsid w:val="001D51FD"/>
    <w:rsid w:val="001E30F7"/>
    <w:rsid w:val="001E4BA3"/>
    <w:rsid w:val="001E779F"/>
    <w:rsid w:val="0021214A"/>
    <w:rsid w:val="00212622"/>
    <w:rsid w:val="00212D06"/>
    <w:rsid w:val="00220A69"/>
    <w:rsid w:val="002275AE"/>
    <w:rsid w:val="00230996"/>
    <w:rsid w:val="0023188A"/>
    <w:rsid w:val="002509E9"/>
    <w:rsid w:val="002557C3"/>
    <w:rsid w:val="00265457"/>
    <w:rsid w:val="002727AB"/>
    <w:rsid w:val="00276F3A"/>
    <w:rsid w:val="002805E4"/>
    <w:rsid w:val="00282E01"/>
    <w:rsid w:val="00286CBE"/>
    <w:rsid w:val="00291397"/>
    <w:rsid w:val="002970FC"/>
    <w:rsid w:val="002C6093"/>
    <w:rsid w:val="002C7119"/>
    <w:rsid w:val="002C7C67"/>
    <w:rsid w:val="002D390F"/>
    <w:rsid w:val="002D3BB5"/>
    <w:rsid w:val="002D3C44"/>
    <w:rsid w:val="002D738C"/>
    <w:rsid w:val="002E2F9E"/>
    <w:rsid w:val="002F4E7B"/>
    <w:rsid w:val="003152DA"/>
    <w:rsid w:val="00321567"/>
    <w:rsid w:val="0033053B"/>
    <w:rsid w:val="00334D14"/>
    <w:rsid w:val="00360067"/>
    <w:rsid w:val="0036343A"/>
    <w:rsid w:val="0037373E"/>
    <w:rsid w:val="00375713"/>
    <w:rsid w:val="00382054"/>
    <w:rsid w:val="00387C1F"/>
    <w:rsid w:val="003911FC"/>
    <w:rsid w:val="003B6839"/>
    <w:rsid w:val="003C1739"/>
    <w:rsid w:val="003C5ACA"/>
    <w:rsid w:val="003D2B74"/>
    <w:rsid w:val="003F2397"/>
    <w:rsid w:val="003F533B"/>
    <w:rsid w:val="004066BB"/>
    <w:rsid w:val="0041065E"/>
    <w:rsid w:val="00447A5F"/>
    <w:rsid w:val="00453E30"/>
    <w:rsid w:val="00453F3E"/>
    <w:rsid w:val="00456B5A"/>
    <w:rsid w:val="004619F5"/>
    <w:rsid w:val="004664D3"/>
    <w:rsid w:val="00477916"/>
    <w:rsid w:val="00483C9F"/>
    <w:rsid w:val="004910B8"/>
    <w:rsid w:val="00492602"/>
    <w:rsid w:val="004A2B41"/>
    <w:rsid w:val="004A3BAA"/>
    <w:rsid w:val="004A7395"/>
    <w:rsid w:val="004C18F4"/>
    <w:rsid w:val="004D1BC7"/>
    <w:rsid w:val="004D79B2"/>
    <w:rsid w:val="004F4CB0"/>
    <w:rsid w:val="004F5612"/>
    <w:rsid w:val="005052D9"/>
    <w:rsid w:val="00516394"/>
    <w:rsid w:val="0052118E"/>
    <w:rsid w:val="00521FF8"/>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B4C49"/>
    <w:rsid w:val="005C4F39"/>
    <w:rsid w:val="005C7622"/>
    <w:rsid w:val="005D723D"/>
    <w:rsid w:val="005E3534"/>
    <w:rsid w:val="005F549F"/>
    <w:rsid w:val="00607CFA"/>
    <w:rsid w:val="00623469"/>
    <w:rsid w:val="00634C49"/>
    <w:rsid w:val="00637A67"/>
    <w:rsid w:val="00650095"/>
    <w:rsid w:val="00651CA7"/>
    <w:rsid w:val="006615EC"/>
    <w:rsid w:val="00664C32"/>
    <w:rsid w:val="00673F96"/>
    <w:rsid w:val="00674418"/>
    <w:rsid w:val="00674428"/>
    <w:rsid w:val="006831E7"/>
    <w:rsid w:val="00683872"/>
    <w:rsid w:val="00686C26"/>
    <w:rsid w:val="00690023"/>
    <w:rsid w:val="00694315"/>
    <w:rsid w:val="00696F48"/>
    <w:rsid w:val="0069772F"/>
    <w:rsid w:val="006A6F35"/>
    <w:rsid w:val="006D3B5F"/>
    <w:rsid w:val="006E0C20"/>
    <w:rsid w:val="006E22A3"/>
    <w:rsid w:val="006E5D46"/>
    <w:rsid w:val="006E6AFF"/>
    <w:rsid w:val="006E7A9B"/>
    <w:rsid w:val="006F35F9"/>
    <w:rsid w:val="007319D7"/>
    <w:rsid w:val="00731FAF"/>
    <w:rsid w:val="007400F4"/>
    <w:rsid w:val="007426BF"/>
    <w:rsid w:val="00760FDF"/>
    <w:rsid w:val="007757E7"/>
    <w:rsid w:val="007818DC"/>
    <w:rsid w:val="00781D3B"/>
    <w:rsid w:val="00783744"/>
    <w:rsid w:val="007A41F5"/>
    <w:rsid w:val="007B2F2D"/>
    <w:rsid w:val="007B4429"/>
    <w:rsid w:val="007B7425"/>
    <w:rsid w:val="007C13BC"/>
    <w:rsid w:val="007D7D91"/>
    <w:rsid w:val="007E4380"/>
    <w:rsid w:val="007F5417"/>
    <w:rsid w:val="00804116"/>
    <w:rsid w:val="008050A6"/>
    <w:rsid w:val="00812480"/>
    <w:rsid w:val="00815D85"/>
    <w:rsid w:val="00821937"/>
    <w:rsid w:val="00824696"/>
    <w:rsid w:val="008340D0"/>
    <w:rsid w:val="008403CA"/>
    <w:rsid w:val="00852D98"/>
    <w:rsid w:val="0085395A"/>
    <w:rsid w:val="00853F8E"/>
    <w:rsid w:val="00854315"/>
    <w:rsid w:val="0086142C"/>
    <w:rsid w:val="00872E7F"/>
    <w:rsid w:val="00880FA9"/>
    <w:rsid w:val="008930F1"/>
    <w:rsid w:val="00893F45"/>
    <w:rsid w:val="008A0D77"/>
    <w:rsid w:val="008C5414"/>
    <w:rsid w:val="008E1746"/>
    <w:rsid w:val="008F0130"/>
    <w:rsid w:val="008F2E4C"/>
    <w:rsid w:val="00905C46"/>
    <w:rsid w:val="00906EEC"/>
    <w:rsid w:val="009166DF"/>
    <w:rsid w:val="009204C7"/>
    <w:rsid w:val="00922030"/>
    <w:rsid w:val="0093532E"/>
    <w:rsid w:val="00935B3D"/>
    <w:rsid w:val="00941258"/>
    <w:rsid w:val="00942245"/>
    <w:rsid w:val="00945279"/>
    <w:rsid w:val="00956812"/>
    <w:rsid w:val="00963957"/>
    <w:rsid w:val="009725E5"/>
    <w:rsid w:val="00974CFD"/>
    <w:rsid w:val="00977BF0"/>
    <w:rsid w:val="00981567"/>
    <w:rsid w:val="009A4C70"/>
    <w:rsid w:val="009C3981"/>
    <w:rsid w:val="009C3CFF"/>
    <w:rsid w:val="009D1341"/>
    <w:rsid w:val="009D441A"/>
    <w:rsid w:val="009D6D73"/>
    <w:rsid w:val="009D79C6"/>
    <w:rsid w:val="009E55A1"/>
    <w:rsid w:val="009F0440"/>
    <w:rsid w:val="009F0526"/>
    <w:rsid w:val="00A01DE3"/>
    <w:rsid w:val="00A07FF1"/>
    <w:rsid w:val="00A11371"/>
    <w:rsid w:val="00A120E1"/>
    <w:rsid w:val="00A31FAA"/>
    <w:rsid w:val="00A343A9"/>
    <w:rsid w:val="00A5239C"/>
    <w:rsid w:val="00A55913"/>
    <w:rsid w:val="00A650DC"/>
    <w:rsid w:val="00A6764A"/>
    <w:rsid w:val="00A84255"/>
    <w:rsid w:val="00A93734"/>
    <w:rsid w:val="00AC1AC7"/>
    <w:rsid w:val="00AD18B8"/>
    <w:rsid w:val="00AD33D5"/>
    <w:rsid w:val="00AE21FC"/>
    <w:rsid w:val="00AE7072"/>
    <w:rsid w:val="00B01BAA"/>
    <w:rsid w:val="00B07BD7"/>
    <w:rsid w:val="00B12A3F"/>
    <w:rsid w:val="00B13AA5"/>
    <w:rsid w:val="00B3099B"/>
    <w:rsid w:val="00B40A71"/>
    <w:rsid w:val="00B41B0C"/>
    <w:rsid w:val="00B503C7"/>
    <w:rsid w:val="00B54AB5"/>
    <w:rsid w:val="00B645C9"/>
    <w:rsid w:val="00B649B1"/>
    <w:rsid w:val="00B91E6F"/>
    <w:rsid w:val="00B92C96"/>
    <w:rsid w:val="00B94D4E"/>
    <w:rsid w:val="00BA68F0"/>
    <w:rsid w:val="00BD08CA"/>
    <w:rsid w:val="00BE1214"/>
    <w:rsid w:val="00BE3015"/>
    <w:rsid w:val="00C030B8"/>
    <w:rsid w:val="00C15672"/>
    <w:rsid w:val="00C31421"/>
    <w:rsid w:val="00C33753"/>
    <w:rsid w:val="00C35B94"/>
    <w:rsid w:val="00C82FA4"/>
    <w:rsid w:val="00CA0669"/>
    <w:rsid w:val="00CA1E7C"/>
    <w:rsid w:val="00CB0030"/>
    <w:rsid w:val="00CB7018"/>
    <w:rsid w:val="00CB7521"/>
    <w:rsid w:val="00CC57AC"/>
    <w:rsid w:val="00CC776C"/>
    <w:rsid w:val="00CD6D68"/>
    <w:rsid w:val="00CE3864"/>
    <w:rsid w:val="00CF383E"/>
    <w:rsid w:val="00CF4425"/>
    <w:rsid w:val="00D0584B"/>
    <w:rsid w:val="00D2467C"/>
    <w:rsid w:val="00D2695E"/>
    <w:rsid w:val="00D32115"/>
    <w:rsid w:val="00D335C5"/>
    <w:rsid w:val="00D51986"/>
    <w:rsid w:val="00D521FA"/>
    <w:rsid w:val="00D5685A"/>
    <w:rsid w:val="00D76E6C"/>
    <w:rsid w:val="00D81121"/>
    <w:rsid w:val="00D83FDF"/>
    <w:rsid w:val="00D85B7A"/>
    <w:rsid w:val="00DB3517"/>
    <w:rsid w:val="00DB5DBC"/>
    <w:rsid w:val="00DB6A12"/>
    <w:rsid w:val="00DD3E94"/>
    <w:rsid w:val="00DD44E8"/>
    <w:rsid w:val="00DE273D"/>
    <w:rsid w:val="00DF3D6F"/>
    <w:rsid w:val="00E02354"/>
    <w:rsid w:val="00E10EA0"/>
    <w:rsid w:val="00E24139"/>
    <w:rsid w:val="00E34C02"/>
    <w:rsid w:val="00E3616D"/>
    <w:rsid w:val="00E44D32"/>
    <w:rsid w:val="00E50862"/>
    <w:rsid w:val="00E527AA"/>
    <w:rsid w:val="00E60ABB"/>
    <w:rsid w:val="00E62D91"/>
    <w:rsid w:val="00E67611"/>
    <w:rsid w:val="00E67713"/>
    <w:rsid w:val="00E72DFF"/>
    <w:rsid w:val="00E92E47"/>
    <w:rsid w:val="00E9576D"/>
    <w:rsid w:val="00E95805"/>
    <w:rsid w:val="00EB54BF"/>
    <w:rsid w:val="00EC08AC"/>
    <w:rsid w:val="00EC1948"/>
    <w:rsid w:val="00EC1F89"/>
    <w:rsid w:val="00ED4639"/>
    <w:rsid w:val="00EE54D2"/>
    <w:rsid w:val="00EF7C8A"/>
    <w:rsid w:val="00F07A15"/>
    <w:rsid w:val="00F11C4E"/>
    <w:rsid w:val="00F23119"/>
    <w:rsid w:val="00F25E7F"/>
    <w:rsid w:val="00F307D6"/>
    <w:rsid w:val="00F45E31"/>
    <w:rsid w:val="00F512EE"/>
    <w:rsid w:val="00F643E6"/>
    <w:rsid w:val="00F76D69"/>
    <w:rsid w:val="00F80E73"/>
    <w:rsid w:val="00F9012C"/>
    <w:rsid w:val="00F9097E"/>
    <w:rsid w:val="00F93C6C"/>
    <w:rsid w:val="00F944D4"/>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CommentReference">
    <w:name w:val="annotation reference"/>
    <w:basedOn w:val="DefaultParagraphFont"/>
    <w:semiHidden/>
    <w:unhideWhenUsed/>
    <w:rsid w:val="002557C3"/>
    <w:rPr>
      <w:sz w:val="16"/>
      <w:szCs w:val="16"/>
    </w:rPr>
  </w:style>
  <w:style w:type="paragraph" w:styleId="CommentText">
    <w:name w:val="annotation text"/>
    <w:basedOn w:val="Normal"/>
    <w:link w:val="CommentTextChar"/>
    <w:unhideWhenUsed/>
    <w:rsid w:val="002557C3"/>
    <w:rPr>
      <w:sz w:val="20"/>
      <w:szCs w:val="20"/>
    </w:rPr>
  </w:style>
  <w:style w:type="character" w:customStyle="1" w:styleId="CommentTextChar">
    <w:name w:val="Comment Text Char"/>
    <w:basedOn w:val="DefaultParagraphFont"/>
    <w:link w:val="CommentText"/>
    <w:rsid w:val="002557C3"/>
  </w:style>
  <w:style w:type="paragraph" w:styleId="CommentSubject">
    <w:name w:val="annotation subject"/>
    <w:basedOn w:val="CommentText"/>
    <w:next w:val="CommentText"/>
    <w:link w:val="CommentSubjectChar"/>
    <w:semiHidden/>
    <w:unhideWhenUsed/>
    <w:rsid w:val="002557C3"/>
    <w:rPr>
      <w:b/>
      <w:bCs/>
    </w:rPr>
  </w:style>
  <w:style w:type="character" w:customStyle="1" w:styleId="CommentSubjectChar">
    <w:name w:val="Comment Subject Char"/>
    <w:basedOn w:val="CommentTextChar"/>
    <w:link w:val="CommentSubject"/>
    <w:semiHidden/>
    <w:rsid w:val="002557C3"/>
    <w:rPr>
      <w:b/>
      <w:bCs/>
    </w:rPr>
  </w:style>
  <w:style w:type="paragraph" w:styleId="Revision">
    <w:name w:val="Revision"/>
    <w:hidden/>
    <w:uiPriority w:val="99"/>
    <w:semiHidden/>
    <w:rsid w:val="002557C3"/>
    <w:rPr>
      <w:sz w:val="24"/>
      <w:szCs w:val="24"/>
    </w:rPr>
  </w:style>
  <w:style w:type="character" w:styleId="UnresolvedMention">
    <w:name w:val="Unresolved Mention"/>
    <w:basedOn w:val="DefaultParagraphFont"/>
    <w:uiPriority w:val="99"/>
    <w:semiHidden/>
    <w:unhideWhenUsed/>
    <w:rsid w:val="00A07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mass.gov/drug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mass.gov/druglis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2024-08-07T13:01:00Z</dcterms:created>
  <dcterms:modified xsi:type="dcterms:W3CDTF">2024-08-07T15:50:00Z</dcterms:modified>
</cp:coreProperties>
</file>