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DBD5" w14:textId="36193E86" w:rsidR="008F2307" w:rsidRPr="0071247F" w:rsidRDefault="008F2307" w:rsidP="008F2307">
      <w:pPr>
        <w:pStyle w:val="Noparagraphstyle"/>
        <w:rPr>
          <w:rFonts w:ascii="Arial Narrow" w:hAnsi="Arial Narrow"/>
          <w:b/>
          <w:color w:val="000000" w:themeColor="text1"/>
          <w:sz w:val="20"/>
          <w:szCs w:val="20"/>
        </w:rPr>
      </w:pPr>
      <w:r>
        <w:rPr>
          <w:rFonts w:ascii="Arial Narrow" w:hAnsi="Arial Narrow"/>
          <w:b/>
          <w:sz w:val="20"/>
          <w:szCs w:val="20"/>
        </w:rPr>
        <w:t xml:space="preserve">Number </w:t>
      </w:r>
      <w:r w:rsidR="0071247F" w:rsidRPr="0071247F">
        <w:rPr>
          <w:rFonts w:ascii="Arial Narrow" w:hAnsi="Arial Narrow"/>
          <w:b/>
          <w:color w:val="000000" w:themeColor="text1"/>
          <w:sz w:val="20"/>
          <w:szCs w:val="20"/>
        </w:rPr>
        <w:t>231, September 25, 2024</w:t>
      </w:r>
      <w:r w:rsidR="009759A0">
        <w:rPr>
          <w:rFonts w:ascii="Arial Narrow" w:hAnsi="Arial Narrow"/>
          <w:b/>
          <w:color w:val="000000" w:themeColor="text1"/>
          <w:sz w:val="20"/>
          <w:szCs w:val="20"/>
        </w:rPr>
        <w:t xml:space="preserve"> (Corrected)</w:t>
      </w:r>
    </w:p>
    <w:p w14:paraId="6760C017" w14:textId="09729112" w:rsidR="00EC6FA6" w:rsidRPr="00AD2116" w:rsidRDefault="00DD6EC3" w:rsidP="00EC6FA6">
      <w:pPr>
        <w:rPr>
          <w:rFonts w:ascii="Arial Black" w:hAnsi="Arial Black" w:cs="Arial"/>
          <w:b/>
          <w:sz w:val="28"/>
          <w:szCs w:val="28"/>
        </w:rPr>
      </w:pPr>
      <w:r>
        <w:rPr>
          <w:rFonts w:ascii="Arial" w:hAnsi="Arial" w:cs="Arial"/>
          <w:noProof/>
          <w:color w:val="000000"/>
          <w:sz w:val="21"/>
          <w:szCs w:val="21"/>
        </w:rPr>
        <w:drawing>
          <wp:inline distT="0" distB="0" distL="0" distR="0" wp14:anchorId="19C31D1D" wp14:editId="016C96CA">
            <wp:extent cx="6620510" cy="1706620"/>
            <wp:effectExtent l="0" t="0" r="0" b="8255"/>
            <wp:docPr id="570265057" name="Picture 1" descr="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65057" name="Picture 1" descr="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0510" cy="1706620"/>
                    </a:xfrm>
                    <a:prstGeom prst="rect">
                      <a:avLst/>
                    </a:prstGeom>
                  </pic:spPr>
                </pic:pic>
              </a:graphicData>
            </a:graphic>
          </wp:inline>
        </w:drawing>
      </w:r>
      <w:r w:rsidR="00EC6FA6" w:rsidRPr="00AD2116">
        <w:rPr>
          <w:rFonts w:ascii="Arial Black" w:hAnsi="Arial Black" w:cs="Arial"/>
          <w:b/>
          <w:sz w:val="28"/>
          <w:szCs w:val="28"/>
        </w:rPr>
        <w:t xml:space="preserve">Close-Out Meeting for Cost-of-Dispensing Survey </w:t>
      </w:r>
    </w:p>
    <w:p w14:paraId="05B60FB8" w14:textId="77777777" w:rsidR="00EC6FA6" w:rsidRPr="00382D94" w:rsidRDefault="00EC6FA6" w:rsidP="00EC6FA6">
      <w:pPr>
        <w:autoSpaceDE w:val="0"/>
        <w:autoSpaceDN w:val="0"/>
        <w:adjustRightInd w:val="0"/>
        <w:rPr>
          <w:bCs/>
          <w:sz w:val="16"/>
        </w:rPr>
      </w:pPr>
    </w:p>
    <w:p w14:paraId="3485C5C2" w14:textId="77777777" w:rsidR="00EC6FA6" w:rsidRPr="00AD2116" w:rsidRDefault="00EC6FA6" w:rsidP="00AD2116">
      <w:pPr>
        <w:autoSpaceDE w:val="0"/>
        <w:autoSpaceDN w:val="0"/>
        <w:adjustRightInd w:val="0"/>
        <w:rPr>
          <w:rFonts w:ascii="Arial" w:hAnsi="Arial" w:cs="Arial"/>
          <w:bCs/>
          <w:sz w:val="22"/>
          <w:szCs w:val="22"/>
        </w:rPr>
      </w:pPr>
      <w:r w:rsidRPr="00AD2116">
        <w:rPr>
          <w:rFonts w:ascii="Arial" w:hAnsi="Arial" w:cs="Arial"/>
          <w:bCs/>
          <w:sz w:val="22"/>
          <w:szCs w:val="22"/>
        </w:rPr>
        <w:t>On October 4, 2024, from 12:00 p.m. to 1:00 p.m.,</w:t>
      </w:r>
      <w:r w:rsidRPr="00AD2116">
        <w:rPr>
          <w:rFonts w:ascii="Arial" w:hAnsi="Arial" w:cs="Arial"/>
          <w:bCs/>
          <w:color w:val="FF0000"/>
          <w:sz w:val="22"/>
          <w:szCs w:val="22"/>
        </w:rPr>
        <w:t xml:space="preserve"> </w:t>
      </w:r>
      <w:r w:rsidRPr="00AD2116">
        <w:rPr>
          <w:rFonts w:ascii="Arial" w:hAnsi="Arial" w:cs="Arial"/>
          <w:bCs/>
          <w:sz w:val="22"/>
          <w:szCs w:val="22"/>
        </w:rPr>
        <w:t xml:space="preserve">MassHealth and Mercer Government Human Services Consulting will be hosting a webinar to discuss the results of the 2023 Cost-of-Dispensing Survey. The process for determining these fees and next steps will be discussed. </w:t>
      </w:r>
    </w:p>
    <w:p w14:paraId="0B007AFF" w14:textId="77777777" w:rsidR="00EC6FA6" w:rsidRPr="00AD2116" w:rsidRDefault="00EC6FA6" w:rsidP="00AD2116">
      <w:pPr>
        <w:autoSpaceDE w:val="0"/>
        <w:autoSpaceDN w:val="0"/>
        <w:adjustRightInd w:val="0"/>
        <w:rPr>
          <w:rFonts w:ascii="Arial" w:hAnsi="Arial" w:cs="Arial"/>
          <w:bCs/>
          <w:sz w:val="22"/>
          <w:szCs w:val="22"/>
        </w:rPr>
      </w:pPr>
    </w:p>
    <w:p w14:paraId="2C7B421C" w14:textId="63CE129A" w:rsidR="00EC6FA6" w:rsidRPr="009759A0" w:rsidRDefault="00EC6FA6" w:rsidP="00AD2116">
      <w:pPr>
        <w:autoSpaceDE w:val="0"/>
        <w:autoSpaceDN w:val="0"/>
        <w:adjustRightInd w:val="0"/>
        <w:rPr>
          <w:rFonts w:ascii="Arial" w:hAnsi="Arial" w:cs="Arial"/>
          <w:bCs/>
          <w:sz w:val="22"/>
          <w:szCs w:val="22"/>
        </w:rPr>
      </w:pPr>
      <w:r w:rsidRPr="00AD2116">
        <w:rPr>
          <w:rFonts w:ascii="Arial" w:hAnsi="Arial" w:cs="Arial"/>
          <w:bCs/>
          <w:sz w:val="22"/>
          <w:szCs w:val="22"/>
        </w:rPr>
        <w:t xml:space="preserve">The link for this webinar is </w:t>
      </w:r>
      <w:hyperlink r:id="rId9" w:history="1">
        <w:r w:rsidRPr="00AD2116">
          <w:rPr>
            <w:rStyle w:val="Hyperlink"/>
            <w:rFonts w:ascii="Arial" w:hAnsi="Arial" w:cs="Arial"/>
            <w:bCs/>
            <w:sz w:val="22"/>
            <w:szCs w:val="22"/>
          </w:rPr>
          <w:t>https://mmc.zoom.us/j/98542738452?pwd=keEvXyljMMjpv64G5mwVjDZ5jLT9dB.1</w:t>
        </w:r>
      </w:hyperlink>
      <w:r>
        <w:rPr>
          <w:bCs/>
          <w:color w:val="FF0000"/>
        </w:rPr>
        <w:t>.</w:t>
      </w:r>
      <w:r w:rsidR="003E18CC">
        <w:rPr>
          <w:bCs/>
          <w:color w:val="FF0000"/>
        </w:rPr>
        <w:t xml:space="preserve"> </w:t>
      </w:r>
      <w:r w:rsidR="003E18CC" w:rsidRPr="009759A0">
        <w:rPr>
          <w:rFonts w:ascii="Arial" w:hAnsi="Arial" w:cs="Arial"/>
          <w:bCs/>
          <w:sz w:val="22"/>
          <w:szCs w:val="22"/>
        </w:rPr>
        <w:t xml:space="preserve">The passcode is </w:t>
      </w:r>
      <w:r w:rsidR="003E18CC" w:rsidRPr="009759A0">
        <w:rPr>
          <w:rFonts w:ascii="Arial" w:hAnsi="Arial" w:cs="Arial"/>
          <w:bCs/>
          <w:sz w:val="22"/>
          <w:szCs w:val="22"/>
        </w:rPr>
        <w:t>253430</w:t>
      </w:r>
      <w:r w:rsidR="003E18CC" w:rsidRPr="009759A0">
        <w:rPr>
          <w:rFonts w:ascii="Arial" w:hAnsi="Arial" w:cs="Arial"/>
          <w:bCs/>
          <w:sz w:val="22"/>
          <w:szCs w:val="22"/>
        </w:rPr>
        <w:t>.</w:t>
      </w:r>
    </w:p>
    <w:p w14:paraId="0FA3EBDD" w14:textId="77777777" w:rsidR="00EC6FA6" w:rsidRDefault="00EC6FA6" w:rsidP="00EC6FA6">
      <w:pPr>
        <w:autoSpaceDE w:val="0"/>
        <w:autoSpaceDN w:val="0"/>
        <w:adjustRightInd w:val="0"/>
        <w:rPr>
          <w:bCs/>
        </w:rPr>
      </w:pPr>
    </w:p>
    <w:p w14:paraId="450A93DC" w14:textId="05CFEF8A" w:rsidR="00AD2116" w:rsidRDefault="009759A0" w:rsidP="00AD2116">
      <w:pPr>
        <w:rPr>
          <w:rFonts w:ascii="Arial Black" w:hAnsi="Arial Black" w:cs="Arial"/>
          <w:b/>
          <w:sz w:val="28"/>
          <w:szCs w:val="28"/>
        </w:rPr>
      </w:pPr>
      <w:r>
        <w:rPr>
          <w:rFonts w:ascii="Arial Black" w:hAnsi="Arial Black" w:cs="Arial"/>
          <w:b/>
          <w:sz w:val="28"/>
          <w:szCs w:val="28"/>
        </w:rPr>
        <w:t>MassHealth Drug List</w:t>
      </w:r>
      <w:r w:rsidR="00EC6FA6" w:rsidRPr="00AD2116">
        <w:rPr>
          <w:rFonts w:ascii="Arial Black" w:hAnsi="Arial Black" w:cs="Arial"/>
          <w:b/>
          <w:sz w:val="28"/>
          <w:szCs w:val="28"/>
        </w:rPr>
        <w:t xml:space="preserve"> Update</w:t>
      </w:r>
    </w:p>
    <w:p w14:paraId="6A4E9087" w14:textId="77777777" w:rsidR="00AD2116" w:rsidRDefault="00AD2116" w:rsidP="00AD2116">
      <w:pPr>
        <w:pStyle w:val="Heading1"/>
        <w:jc w:val="left"/>
        <w:rPr>
          <w:rFonts w:ascii="Arial" w:hAnsi="Arial" w:cs="Arial"/>
          <w:b w:val="0"/>
          <w:bCs w:val="0"/>
          <w:sz w:val="22"/>
          <w:szCs w:val="22"/>
        </w:rPr>
      </w:pPr>
    </w:p>
    <w:p w14:paraId="2C2EE9D3" w14:textId="30C4005C" w:rsidR="00AD2116" w:rsidRDefault="00EC6FA6" w:rsidP="00AD2116">
      <w:pPr>
        <w:pStyle w:val="Heading1"/>
        <w:jc w:val="left"/>
        <w:rPr>
          <w:rFonts w:ascii="Arial" w:hAnsi="Arial" w:cs="Arial"/>
          <w:b w:val="0"/>
          <w:bCs w:val="0"/>
          <w:sz w:val="22"/>
          <w:szCs w:val="22"/>
        </w:rPr>
      </w:pPr>
      <w:r w:rsidRPr="00C7515B">
        <w:rPr>
          <w:rFonts w:ascii="Arial" w:hAnsi="Arial" w:cs="Arial"/>
          <w:b w:val="0"/>
          <w:bCs w:val="0"/>
          <w:sz w:val="22"/>
          <w:szCs w:val="22"/>
        </w:rPr>
        <w:t>Below are certain updates to the MassHealth Drug List (MHDL). See the MHDL for a complete listing of updates.</w:t>
      </w:r>
      <w:r w:rsidRPr="00C7515B">
        <w:rPr>
          <w:rFonts w:ascii="Arial" w:hAnsi="Arial" w:cs="Arial"/>
          <w:b w:val="0"/>
          <w:bCs w:val="0"/>
          <w:sz w:val="22"/>
          <w:szCs w:val="22"/>
        </w:rPr>
        <w:cr/>
      </w:r>
    </w:p>
    <w:p w14:paraId="3CDDAE98" w14:textId="6BFB8BCB" w:rsidR="00EC6FA6" w:rsidRPr="00AD2116" w:rsidRDefault="00EC6FA6" w:rsidP="00AD2116">
      <w:pPr>
        <w:pStyle w:val="Heading1"/>
        <w:spacing w:line="276" w:lineRule="auto"/>
        <w:jc w:val="left"/>
        <w:rPr>
          <w:rFonts w:ascii="Arial Black" w:hAnsi="Arial Black" w:cs="Times New Roman"/>
          <w:b w:val="0"/>
          <w:bCs w:val="0"/>
          <w:sz w:val="24"/>
        </w:rPr>
      </w:pPr>
      <w:r w:rsidRPr="00AD2116">
        <w:rPr>
          <w:rFonts w:ascii="Arial Black" w:hAnsi="Arial Black"/>
          <w:sz w:val="24"/>
        </w:rPr>
        <w:t>Additions</w:t>
      </w:r>
    </w:p>
    <w:p w14:paraId="5F880C5B" w14:textId="77777777" w:rsidR="00AD2116" w:rsidRDefault="00AD2116" w:rsidP="00AD2116">
      <w:pPr>
        <w:pStyle w:val="Default"/>
        <w:rPr>
          <w:rFonts w:ascii="Arial" w:hAnsi="Arial" w:cs="Arial"/>
          <w:sz w:val="22"/>
          <w:szCs w:val="22"/>
        </w:rPr>
      </w:pPr>
      <w:bookmarkStart w:id="0" w:name="_Hlk86933353"/>
      <w:bookmarkStart w:id="1" w:name="_Hlk94786218"/>
    </w:p>
    <w:p w14:paraId="1F7FDCC1" w14:textId="0BC20116" w:rsidR="00EC6FA6" w:rsidRPr="004045CF" w:rsidRDefault="00EC6FA6" w:rsidP="00AD2116">
      <w:pPr>
        <w:pStyle w:val="Default"/>
        <w:rPr>
          <w:rFonts w:ascii="Arial" w:hAnsi="Arial" w:cs="Arial"/>
          <w:sz w:val="22"/>
          <w:szCs w:val="21"/>
        </w:rPr>
      </w:pPr>
      <w:r w:rsidRPr="004045CF">
        <w:rPr>
          <w:rFonts w:ascii="Arial" w:hAnsi="Arial" w:cs="Arial"/>
          <w:sz w:val="22"/>
          <w:szCs w:val="22"/>
        </w:rPr>
        <w:t>Effective October 1, 2024, the</w:t>
      </w:r>
      <w:r w:rsidRPr="004045CF">
        <w:rPr>
          <w:rFonts w:ascii="Arial" w:hAnsi="Arial" w:cs="Arial"/>
          <w:sz w:val="22"/>
          <w:szCs w:val="21"/>
        </w:rPr>
        <w:t xml:space="preserve"> following newly marketed drugs have been added to the </w:t>
      </w:r>
      <w:r w:rsidR="0042538A">
        <w:rPr>
          <w:rFonts w:ascii="Arial" w:hAnsi="Arial" w:cs="Arial"/>
          <w:sz w:val="22"/>
          <w:szCs w:val="21"/>
        </w:rPr>
        <w:t>MHDL</w:t>
      </w:r>
      <w:r w:rsidRPr="004045CF">
        <w:rPr>
          <w:rFonts w:ascii="Arial" w:hAnsi="Arial" w:cs="Arial"/>
          <w:sz w:val="22"/>
          <w:szCs w:val="21"/>
        </w:rPr>
        <w:t xml:space="preserve">. </w:t>
      </w:r>
    </w:p>
    <w:p w14:paraId="0744A24C" w14:textId="77777777" w:rsidR="00EC6FA6" w:rsidRDefault="00EC6FA6" w:rsidP="00EC6FA6">
      <w:pPr>
        <w:pStyle w:val="Default"/>
        <w:numPr>
          <w:ilvl w:val="0"/>
          <w:numId w:val="2"/>
        </w:numPr>
        <w:spacing w:line="276" w:lineRule="auto"/>
        <w:ind w:left="900"/>
        <w:rPr>
          <w:rFonts w:ascii="Arial" w:hAnsi="Arial" w:cs="Arial"/>
          <w:sz w:val="22"/>
          <w:szCs w:val="22"/>
        </w:rPr>
      </w:pPr>
      <w:proofErr w:type="spellStart"/>
      <w:r>
        <w:rPr>
          <w:rFonts w:ascii="Arial" w:hAnsi="Arial" w:cs="Arial"/>
          <w:sz w:val="22"/>
          <w:szCs w:val="22"/>
        </w:rPr>
        <w:t>Alyglo</w:t>
      </w:r>
      <w:proofErr w:type="spellEnd"/>
      <w:r>
        <w:rPr>
          <w:rFonts w:ascii="Arial" w:hAnsi="Arial" w:cs="Arial"/>
          <w:sz w:val="22"/>
          <w:szCs w:val="22"/>
        </w:rPr>
        <w:t xml:space="preserve"> (immune globulin IV, human-</w:t>
      </w:r>
      <w:proofErr w:type="spellStart"/>
      <w:r>
        <w:rPr>
          <w:rFonts w:ascii="Arial" w:hAnsi="Arial" w:cs="Arial"/>
          <w:sz w:val="22"/>
          <w:szCs w:val="22"/>
        </w:rPr>
        <w:t>stwk</w:t>
      </w:r>
      <w:proofErr w:type="spellEnd"/>
      <w:r>
        <w:rPr>
          <w:rFonts w:ascii="Arial" w:hAnsi="Arial" w:cs="Arial"/>
          <w:sz w:val="22"/>
          <w:szCs w:val="22"/>
        </w:rPr>
        <w:t xml:space="preserve">) – </w:t>
      </w:r>
      <w:r w:rsidRPr="0019601C">
        <w:rPr>
          <w:rFonts w:ascii="Arial" w:hAnsi="Arial" w:cs="Arial"/>
          <w:b/>
          <w:bCs/>
          <w:sz w:val="22"/>
          <w:szCs w:val="22"/>
        </w:rPr>
        <w:t>PA</w:t>
      </w:r>
      <w:r>
        <w:rPr>
          <w:rFonts w:ascii="Arial" w:hAnsi="Arial" w:cs="Arial"/>
          <w:sz w:val="22"/>
          <w:szCs w:val="22"/>
        </w:rPr>
        <w:t xml:space="preserve"> </w:t>
      </w:r>
    </w:p>
    <w:p w14:paraId="6F12EA57"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Alvaiz</w:t>
      </w:r>
      <w:proofErr w:type="spellEnd"/>
      <w:r w:rsidRPr="004045CF">
        <w:rPr>
          <w:rFonts w:ascii="Arial" w:hAnsi="Arial" w:cs="Arial"/>
          <w:sz w:val="22"/>
          <w:szCs w:val="22"/>
        </w:rPr>
        <w:t xml:space="preserve"> (</w:t>
      </w:r>
      <w:proofErr w:type="spellStart"/>
      <w:r w:rsidRPr="004045CF">
        <w:rPr>
          <w:rFonts w:ascii="Arial" w:hAnsi="Arial" w:cs="Arial"/>
          <w:sz w:val="22"/>
          <w:szCs w:val="22"/>
        </w:rPr>
        <w:t>eltrombopag</w:t>
      </w:r>
      <w:proofErr w:type="spellEnd"/>
      <w:r w:rsidRPr="004045CF">
        <w:rPr>
          <w:rFonts w:ascii="Arial" w:hAnsi="Arial" w:cs="Arial"/>
          <w:sz w:val="22"/>
          <w:szCs w:val="22"/>
        </w:rPr>
        <w:t xml:space="preserve"> choline) – </w:t>
      </w:r>
      <w:r w:rsidRPr="004045CF">
        <w:rPr>
          <w:rFonts w:ascii="Arial" w:hAnsi="Arial" w:cs="Arial"/>
          <w:b/>
          <w:bCs/>
          <w:sz w:val="22"/>
          <w:szCs w:val="22"/>
        </w:rPr>
        <w:t>PA</w:t>
      </w:r>
    </w:p>
    <w:p w14:paraId="43B4F64E"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Cabtreo</w:t>
      </w:r>
      <w:proofErr w:type="spellEnd"/>
      <w:r w:rsidRPr="004045CF">
        <w:rPr>
          <w:rFonts w:ascii="Arial" w:hAnsi="Arial" w:cs="Arial"/>
          <w:sz w:val="22"/>
          <w:szCs w:val="22"/>
        </w:rPr>
        <w:t xml:space="preserve"> (clindamycin/adapalene/benzoyl peroxide) –</w:t>
      </w:r>
      <w:r w:rsidRPr="004045CF">
        <w:rPr>
          <w:rFonts w:ascii="Arial" w:hAnsi="Arial" w:cs="Arial"/>
          <w:b/>
          <w:bCs/>
          <w:sz w:val="22"/>
          <w:szCs w:val="22"/>
        </w:rPr>
        <w:t xml:space="preserve"> PA</w:t>
      </w:r>
      <w:r w:rsidRPr="004045CF">
        <w:rPr>
          <w:rFonts w:ascii="Arial" w:hAnsi="Arial" w:cs="Arial"/>
          <w:sz w:val="22"/>
          <w:szCs w:val="22"/>
        </w:rPr>
        <w:t xml:space="preserve"> </w:t>
      </w:r>
    </w:p>
    <w:p w14:paraId="1059DAFE"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Docivyx</w:t>
      </w:r>
      <w:proofErr w:type="spellEnd"/>
      <w:r w:rsidRPr="004045CF">
        <w:rPr>
          <w:rFonts w:ascii="Arial" w:hAnsi="Arial" w:cs="Arial"/>
          <w:sz w:val="22"/>
          <w:szCs w:val="22"/>
        </w:rPr>
        <w:t xml:space="preserve"> (docetaxel); MB</w:t>
      </w:r>
    </w:p>
    <w:p w14:paraId="6232EEC7"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Fabhalta</w:t>
      </w:r>
      <w:proofErr w:type="spellEnd"/>
      <w:r w:rsidRPr="004045CF">
        <w:rPr>
          <w:rFonts w:ascii="Arial" w:hAnsi="Arial" w:cs="Arial"/>
          <w:sz w:val="22"/>
          <w:szCs w:val="22"/>
        </w:rPr>
        <w:t xml:space="preserve"> (</w:t>
      </w:r>
      <w:proofErr w:type="spellStart"/>
      <w:r w:rsidRPr="004045CF">
        <w:rPr>
          <w:rFonts w:ascii="Arial" w:hAnsi="Arial" w:cs="Arial"/>
          <w:sz w:val="22"/>
          <w:szCs w:val="22"/>
        </w:rPr>
        <w:t>iptacopan</w:t>
      </w:r>
      <w:proofErr w:type="spellEnd"/>
      <w:r w:rsidRPr="004045CF">
        <w:rPr>
          <w:rFonts w:ascii="Arial" w:hAnsi="Arial" w:cs="Arial"/>
          <w:sz w:val="22"/>
          <w:szCs w:val="22"/>
        </w:rPr>
        <w:t xml:space="preserve">) – </w:t>
      </w:r>
      <w:r w:rsidRPr="004045CF">
        <w:rPr>
          <w:rFonts w:ascii="Arial" w:hAnsi="Arial" w:cs="Arial"/>
          <w:b/>
          <w:bCs/>
          <w:sz w:val="22"/>
          <w:szCs w:val="22"/>
        </w:rPr>
        <w:t>PA</w:t>
      </w:r>
    </w:p>
    <w:p w14:paraId="56FF4473"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Hepzato</w:t>
      </w:r>
      <w:proofErr w:type="spellEnd"/>
      <w:r w:rsidRPr="004045CF">
        <w:rPr>
          <w:rFonts w:ascii="Arial" w:hAnsi="Arial" w:cs="Arial"/>
          <w:sz w:val="22"/>
          <w:szCs w:val="22"/>
        </w:rPr>
        <w:t xml:space="preserve"> (melphalan hepatic delivery system) –</w:t>
      </w:r>
      <w:r w:rsidRPr="004045CF">
        <w:rPr>
          <w:rFonts w:ascii="Arial" w:hAnsi="Arial" w:cs="Arial"/>
          <w:b/>
          <w:bCs/>
          <w:sz w:val="22"/>
          <w:szCs w:val="22"/>
        </w:rPr>
        <w:t xml:space="preserve"> PA</w:t>
      </w:r>
      <w:r w:rsidRPr="004045CF">
        <w:rPr>
          <w:rFonts w:ascii="Arial" w:hAnsi="Arial" w:cs="Arial"/>
          <w:sz w:val="22"/>
          <w:szCs w:val="22"/>
        </w:rPr>
        <w:t>; MB</w:t>
      </w:r>
    </w:p>
    <w:p w14:paraId="19F1C8CB"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Lenmeldy</w:t>
      </w:r>
      <w:proofErr w:type="spellEnd"/>
      <w:r w:rsidRPr="004045CF">
        <w:rPr>
          <w:rFonts w:ascii="Arial" w:hAnsi="Arial" w:cs="Arial"/>
          <w:sz w:val="22"/>
          <w:szCs w:val="22"/>
        </w:rPr>
        <w:t xml:space="preserve"> (</w:t>
      </w:r>
      <w:proofErr w:type="spellStart"/>
      <w:r w:rsidRPr="004045CF">
        <w:rPr>
          <w:rFonts w:ascii="Arial" w:hAnsi="Arial" w:cs="Arial"/>
          <w:sz w:val="22"/>
          <w:szCs w:val="22"/>
        </w:rPr>
        <w:t>atidarsagene</w:t>
      </w:r>
      <w:proofErr w:type="spellEnd"/>
      <w:r w:rsidRPr="004045CF">
        <w:rPr>
          <w:rFonts w:ascii="Arial" w:hAnsi="Arial" w:cs="Arial"/>
          <w:sz w:val="22"/>
          <w:szCs w:val="22"/>
        </w:rPr>
        <w:t xml:space="preserve"> </w:t>
      </w:r>
      <w:proofErr w:type="spellStart"/>
      <w:r w:rsidRPr="004045CF">
        <w:rPr>
          <w:rFonts w:ascii="Arial" w:hAnsi="Arial" w:cs="Arial"/>
          <w:sz w:val="22"/>
          <w:szCs w:val="22"/>
        </w:rPr>
        <w:t>autotemcel</w:t>
      </w:r>
      <w:proofErr w:type="spellEnd"/>
      <w:r w:rsidRPr="004045CF">
        <w:rPr>
          <w:rFonts w:ascii="Arial" w:hAnsi="Arial" w:cs="Arial"/>
          <w:sz w:val="22"/>
          <w:szCs w:val="22"/>
        </w:rPr>
        <w:t xml:space="preserve">) – </w:t>
      </w:r>
      <w:r w:rsidRPr="004045CF">
        <w:rPr>
          <w:rFonts w:ascii="Arial" w:hAnsi="Arial" w:cs="Arial"/>
          <w:b/>
          <w:bCs/>
          <w:sz w:val="22"/>
          <w:szCs w:val="22"/>
        </w:rPr>
        <w:t>PA</w:t>
      </w:r>
      <w:r w:rsidRPr="004045CF">
        <w:rPr>
          <w:rFonts w:ascii="Arial" w:hAnsi="Arial" w:cs="Arial"/>
          <w:sz w:val="22"/>
          <w:szCs w:val="22"/>
        </w:rPr>
        <w:t>; CO, MB</w:t>
      </w:r>
    </w:p>
    <w:p w14:paraId="6BB0E57E" w14:textId="77777777" w:rsidR="00EC6FA6" w:rsidRPr="004045CF" w:rsidRDefault="00EC6FA6" w:rsidP="00EC6FA6">
      <w:pPr>
        <w:pStyle w:val="Default"/>
        <w:numPr>
          <w:ilvl w:val="0"/>
          <w:numId w:val="2"/>
        </w:numPr>
        <w:spacing w:line="276" w:lineRule="auto"/>
        <w:ind w:left="900"/>
        <w:rPr>
          <w:rFonts w:ascii="Arial" w:hAnsi="Arial" w:cs="Arial"/>
          <w:sz w:val="22"/>
          <w:szCs w:val="22"/>
        </w:rPr>
      </w:pPr>
      <w:r w:rsidRPr="004045CF">
        <w:rPr>
          <w:rFonts w:ascii="Arial" w:hAnsi="Arial" w:cs="Arial"/>
          <w:sz w:val="22"/>
          <w:szCs w:val="22"/>
        </w:rPr>
        <w:t xml:space="preserve">leuprolide 22.5 mg vial – </w:t>
      </w:r>
      <w:r w:rsidRPr="004045CF">
        <w:rPr>
          <w:rFonts w:ascii="Arial" w:hAnsi="Arial" w:cs="Arial"/>
          <w:b/>
          <w:bCs/>
          <w:sz w:val="22"/>
          <w:szCs w:val="22"/>
        </w:rPr>
        <w:t>PA</w:t>
      </w:r>
      <w:r w:rsidRPr="004045CF">
        <w:rPr>
          <w:rFonts w:ascii="Arial" w:hAnsi="Arial" w:cs="Arial"/>
          <w:sz w:val="22"/>
          <w:szCs w:val="22"/>
        </w:rPr>
        <w:t xml:space="preserve"> </w:t>
      </w:r>
    </w:p>
    <w:p w14:paraId="7C60F321"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Libervant</w:t>
      </w:r>
      <w:proofErr w:type="spellEnd"/>
      <w:r w:rsidRPr="004045CF">
        <w:rPr>
          <w:rFonts w:ascii="Arial" w:hAnsi="Arial" w:cs="Arial"/>
          <w:sz w:val="22"/>
          <w:szCs w:val="22"/>
        </w:rPr>
        <w:t xml:space="preserve"> (diazepam buccal film) – </w:t>
      </w:r>
      <w:r w:rsidRPr="004045CF">
        <w:rPr>
          <w:rFonts w:ascii="Arial" w:hAnsi="Arial" w:cs="Arial"/>
          <w:b/>
          <w:bCs/>
          <w:sz w:val="22"/>
          <w:szCs w:val="22"/>
        </w:rPr>
        <w:t>PA ≥ 6 years and PA &gt; 10 units/30 days</w:t>
      </w:r>
    </w:p>
    <w:p w14:paraId="2E5C299B"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Mresvia</w:t>
      </w:r>
      <w:proofErr w:type="spellEnd"/>
      <w:r w:rsidRPr="004045CF">
        <w:rPr>
          <w:rFonts w:ascii="Arial" w:hAnsi="Arial" w:cs="Arial"/>
          <w:sz w:val="22"/>
          <w:szCs w:val="22"/>
        </w:rPr>
        <w:t xml:space="preserve"> (respiratory syncytial virus vaccine suspension) – </w:t>
      </w:r>
      <w:r w:rsidRPr="004045CF">
        <w:rPr>
          <w:rFonts w:ascii="Arial" w:hAnsi="Arial" w:cs="Arial"/>
          <w:b/>
          <w:bCs/>
          <w:sz w:val="22"/>
          <w:szCs w:val="22"/>
        </w:rPr>
        <w:t>PA &lt; 60 years</w:t>
      </w:r>
    </w:p>
    <w:p w14:paraId="20B4F973"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Omvoh</w:t>
      </w:r>
      <w:proofErr w:type="spellEnd"/>
      <w:r w:rsidRPr="004045CF">
        <w:rPr>
          <w:rFonts w:ascii="Arial" w:hAnsi="Arial" w:cs="Arial"/>
          <w:sz w:val="22"/>
          <w:szCs w:val="22"/>
        </w:rPr>
        <w:t xml:space="preserve"> (</w:t>
      </w:r>
      <w:proofErr w:type="spellStart"/>
      <w:r w:rsidRPr="004045CF">
        <w:rPr>
          <w:rFonts w:ascii="Arial" w:hAnsi="Arial" w:cs="Arial"/>
          <w:sz w:val="22"/>
          <w:szCs w:val="22"/>
        </w:rPr>
        <w:t>mirikizumab-mrkz</w:t>
      </w:r>
      <w:proofErr w:type="spellEnd"/>
      <w:r w:rsidRPr="004045CF">
        <w:rPr>
          <w:rFonts w:ascii="Arial" w:hAnsi="Arial" w:cs="Arial"/>
          <w:sz w:val="22"/>
          <w:szCs w:val="22"/>
        </w:rPr>
        <w:t xml:space="preserve">) – </w:t>
      </w:r>
      <w:r w:rsidRPr="004045CF">
        <w:rPr>
          <w:rFonts w:ascii="Arial" w:hAnsi="Arial" w:cs="Arial"/>
          <w:b/>
          <w:bCs/>
          <w:sz w:val="22"/>
          <w:szCs w:val="22"/>
        </w:rPr>
        <w:t>PA</w:t>
      </w:r>
      <w:r w:rsidRPr="004045CF">
        <w:rPr>
          <w:rFonts w:ascii="Arial" w:hAnsi="Arial" w:cs="Arial"/>
          <w:sz w:val="22"/>
          <w:szCs w:val="22"/>
        </w:rPr>
        <w:t xml:space="preserve"> </w:t>
      </w:r>
    </w:p>
    <w:p w14:paraId="59D277F5"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Opsynvi</w:t>
      </w:r>
      <w:proofErr w:type="spellEnd"/>
      <w:r w:rsidRPr="004045CF">
        <w:rPr>
          <w:rFonts w:ascii="Arial" w:hAnsi="Arial" w:cs="Arial"/>
          <w:sz w:val="22"/>
          <w:szCs w:val="22"/>
        </w:rPr>
        <w:t xml:space="preserve"> (</w:t>
      </w:r>
      <w:proofErr w:type="spellStart"/>
      <w:r w:rsidRPr="004045CF">
        <w:rPr>
          <w:rFonts w:ascii="Arial" w:hAnsi="Arial" w:cs="Arial"/>
          <w:sz w:val="22"/>
          <w:szCs w:val="22"/>
        </w:rPr>
        <w:t>macitentan</w:t>
      </w:r>
      <w:proofErr w:type="spellEnd"/>
      <w:r w:rsidRPr="004045CF">
        <w:rPr>
          <w:rFonts w:ascii="Arial" w:hAnsi="Arial" w:cs="Arial"/>
          <w:sz w:val="22"/>
          <w:szCs w:val="22"/>
        </w:rPr>
        <w:t xml:space="preserve">/tadalafil) – </w:t>
      </w:r>
      <w:r w:rsidRPr="004045CF">
        <w:rPr>
          <w:rFonts w:ascii="Arial" w:hAnsi="Arial" w:cs="Arial"/>
          <w:b/>
          <w:sz w:val="22"/>
          <w:szCs w:val="22"/>
        </w:rPr>
        <w:t>PA</w:t>
      </w:r>
    </w:p>
    <w:p w14:paraId="7A50E145"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Pemgarda</w:t>
      </w:r>
      <w:proofErr w:type="spellEnd"/>
      <w:r w:rsidRPr="004045CF">
        <w:rPr>
          <w:rFonts w:ascii="Arial" w:hAnsi="Arial" w:cs="Arial"/>
          <w:sz w:val="22"/>
          <w:szCs w:val="22"/>
        </w:rPr>
        <w:t xml:space="preserve"> (</w:t>
      </w:r>
      <w:proofErr w:type="spellStart"/>
      <w:r w:rsidRPr="004045CF">
        <w:rPr>
          <w:rFonts w:ascii="Arial" w:hAnsi="Arial" w:cs="Arial"/>
          <w:sz w:val="22"/>
          <w:szCs w:val="22"/>
        </w:rPr>
        <w:t>pemivibart</w:t>
      </w:r>
      <w:proofErr w:type="spellEnd"/>
      <w:r w:rsidRPr="004045CF">
        <w:t xml:space="preserve"> </w:t>
      </w:r>
      <w:r w:rsidRPr="004045CF">
        <w:rPr>
          <w:rFonts w:ascii="Arial" w:hAnsi="Arial" w:cs="Arial"/>
          <w:sz w:val="22"/>
          <w:szCs w:val="22"/>
        </w:rPr>
        <w:t xml:space="preserve">COVID EUA – March 22, 2024) – </w:t>
      </w:r>
      <w:r w:rsidRPr="004045CF">
        <w:rPr>
          <w:rFonts w:ascii="Arial" w:hAnsi="Arial" w:cs="Arial"/>
          <w:b/>
          <w:bCs/>
          <w:sz w:val="22"/>
          <w:szCs w:val="22"/>
        </w:rPr>
        <w:t>PA</w:t>
      </w:r>
      <w:r w:rsidRPr="004045CF">
        <w:rPr>
          <w:rFonts w:ascii="Arial" w:hAnsi="Arial" w:cs="Arial"/>
          <w:sz w:val="22"/>
          <w:szCs w:val="22"/>
        </w:rPr>
        <w:t>; MB</w:t>
      </w:r>
    </w:p>
    <w:p w14:paraId="0BDF0A28"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Rezdiffra</w:t>
      </w:r>
      <w:proofErr w:type="spellEnd"/>
      <w:r w:rsidRPr="004045CF">
        <w:rPr>
          <w:rFonts w:ascii="Arial" w:hAnsi="Arial" w:cs="Arial"/>
          <w:sz w:val="22"/>
          <w:szCs w:val="22"/>
        </w:rPr>
        <w:t xml:space="preserve"> (</w:t>
      </w:r>
      <w:proofErr w:type="spellStart"/>
      <w:r w:rsidRPr="004045CF">
        <w:rPr>
          <w:rFonts w:ascii="Arial" w:hAnsi="Arial" w:cs="Arial"/>
          <w:sz w:val="22"/>
          <w:szCs w:val="22"/>
        </w:rPr>
        <w:t>resmetirom</w:t>
      </w:r>
      <w:proofErr w:type="spellEnd"/>
      <w:r w:rsidRPr="004045CF">
        <w:rPr>
          <w:rFonts w:ascii="Arial" w:hAnsi="Arial" w:cs="Arial"/>
          <w:sz w:val="22"/>
          <w:szCs w:val="22"/>
        </w:rPr>
        <w:t xml:space="preserve">) – </w:t>
      </w:r>
      <w:r w:rsidRPr="004045CF">
        <w:rPr>
          <w:rFonts w:ascii="Arial" w:hAnsi="Arial" w:cs="Arial"/>
          <w:b/>
          <w:bCs/>
          <w:sz w:val="22"/>
          <w:szCs w:val="22"/>
        </w:rPr>
        <w:t>PA</w:t>
      </w:r>
      <w:r w:rsidRPr="004045CF">
        <w:rPr>
          <w:rFonts w:ascii="Arial" w:hAnsi="Arial" w:cs="Arial"/>
          <w:sz w:val="22"/>
          <w:szCs w:val="22"/>
        </w:rPr>
        <w:t xml:space="preserve"> </w:t>
      </w:r>
    </w:p>
    <w:p w14:paraId="06955E33"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Voydeya</w:t>
      </w:r>
      <w:proofErr w:type="spellEnd"/>
      <w:r w:rsidRPr="004045CF">
        <w:rPr>
          <w:rFonts w:ascii="Arial" w:hAnsi="Arial" w:cs="Arial"/>
          <w:sz w:val="22"/>
          <w:szCs w:val="22"/>
        </w:rPr>
        <w:t xml:space="preserve"> (</w:t>
      </w:r>
      <w:proofErr w:type="spellStart"/>
      <w:r w:rsidRPr="004045CF">
        <w:rPr>
          <w:rFonts w:ascii="Arial" w:hAnsi="Arial" w:cs="Arial"/>
          <w:sz w:val="22"/>
          <w:szCs w:val="22"/>
        </w:rPr>
        <w:t>danicopan</w:t>
      </w:r>
      <w:proofErr w:type="spellEnd"/>
      <w:r w:rsidRPr="004045CF">
        <w:rPr>
          <w:rFonts w:ascii="Arial" w:hAnsi="Arial" w:cs="Arial"/>
          <w:sz w:val="22"/>
          <w:szCs w:val="22"/>
        </w:rPr>
        <w:t xml:space="preserve">) – </w:t>
      </w:r>
      <w:r w:rsidRPr="004045CF">
        <w:rPr>
          <w:rFonts w:ascii="Arial" w:hAnsi="Arial" w:cs="Arial"/>
          <w:b/>
          <w:bCs/>
          <w:sz w:val="22"/>
          <w:szCs w:val="22"/>
        </w:rPr>
        <w:t>PA</w:t>
      </w:r>
      <w:r w:rsidRPr="004045CF">
        <w:rPr>
          <w:rFonts w:ascii="Arial" w:hAnsi="Arial" w:cs="Arial"/>
          <w:sz w:val="22"/>
          <w:szCs w:val="22"/>
        </w:rPr>
        <w:t xml:space="preserve"> </w:t>
      </w:r>
    </w:p>
    <w:p w14:paraId="2B4B90D0" w14:textId="77777777" w:rsidR="00EC6FA6" w:rsidRPr="004045CF" w:rsidRDefault="00EC6FA6" w:rsidP="00EC6FA6">
      <w:pPr>
        <w:pStyle w:val="Default"/>
        <w:numPr>
          <w:ilvl w:val="0"/>
          <w:numId w:val="2"/>
        </w:numPr>
        <w:spacing w:line="276" w:lineRule="auto"/>
        <w:ind w:left="900"/>
        <w:rPr>
          <w:rFonts w:ascii="Arial" w:hAnsi="Arial" w:cs="Arial"/>
          <w:sz w:val="22"/>
          <w:szCs w:val="22"/>
        </w:rPr>
      </w:pPr>
      <w:proofErr w:type="spellStart"/>
      <w:r w:rsidRPr="004045CF">
        <w:rPr>
          <w:rFonts w:ascii="Arial" w:hAnsi="Arial" w:cs="Arial"/>
          <w:sz w:val="22"/>
          <w:szCs w:val="22"/>
        </w:rPr>
        <w:t>Winrevair</w:t>
      </w:r>
      <w:proofErr w:type="spellEnd"/>
      <w:r w:rsidRPr="004045CF">
        <w:rPr>
          <w:rFonts w:ascii="Arial" w:hAnsi="Arial" w:cs="Arial"/>
          <w:sz w:val="22"/>
          <w:szCs w:val="22"/>
        </w:rPr>
        <w:t xml:space="preserve"> (</w:t>
      </w:r>
      <w:proofErr w:type="spellStart"/>
      <w:r w:rsidRPr="004045CF">
        <w:rPr>
          <w:rFonts w:ascii="Arial" w:hAnsi="Arial" w:cs="Arial"/>
          <w:sz w:val="22"/>
          <w:szCs w:val="22"/>
        </w:rPr>
        <w:t>sotatercept-csrk</w:t>
      </w:r>
      <w:proofErr w:type="spellEnd"/>
      <w:r w:rsidRPr="004045CF">
        <w:rPr>
          <w:rFonts w:ascii="Arial" w:hAnsi="Arial" w:cs="Arial"/>
          <w:sz w:val="22"/>
          <w:szCs w:val="22"/>
        </w:rPr>
        <w:t xml:space="preserve">) – </w:t>
      </w:r>
      <w:r w:rsidRPr="004045CF">
        <w:rPr>
          <w:rFonts w:ascii="Arial" w:hAnsi="Arial" w:cs="Arial"/>
          <w:b/>
          <w:bCs/>
          <w:sz w:val="22"/>
          <w:szCs w:val="22"/>
        </w:rPr>
        <w:t>PA</w:t>
      </w:r>
    </w:p>
    <w:p w14:paraId="0CFF3D94" w14:textId="77777777" w:rsidR="00EC6FA6" w:rsidRPr="004045CF" w:rsidRDefault="00EC6FA6" w:rsidP="00EC6FA6">
      <w:pPr>
        <w:pStyle w:val="Default"/>
        <w:numPr>
          <w:ilvl w:val="0"/>
          <w:numId w:val="2"/>
        </w:numPr>
        <w:spacing w:line="276" w:lineRule="auto"/>
        <w:ind w:left="900"/>
        <w:rPr>
          <w:rFonts w:ascii="Arial" w:hAnsi="Arial" w:cs="Arial"/>
          <w:b/>
          <w:bCs/>
          <w:sz w:val="22"/>
          <w:szCs w:val="22"/>
        </w:rPr>
      </w:pPr>
      <w:proofErr w:type="spellStart"/>
      <w:r w:rsidRPr="004045CF">
        <w:rPr>
          <w:rFonts w:ascii="Arial" w:hAnsi="Arial" w:cs="Arial"/>
          <w:sz w:val="22"/>
          <w:szCs w:val="22"/>
        </w:rPr>
        <w:t>Zilbrysq</w:t>
      </w:r>
      <w:proofErr w:type="spellEnd"/>
      <w:r w:rsidRPr="004045CF">
        <w:rPr>
          <w:rFonts w:ascii="Arial" w:hAnsi="Arial" w:cs="Arial"/>
          <w:sz w:val="22"/>
          <w:szCs w:val="22"/>
        </w:rPr>
        <w:t xml:space="preserve"> (</w:t>
      </w:r>
      <w:proofErr w:type="spellStart"/>
      <w:r w:rsidRPr="004045CF">
        <w:rPr>
          <w:rFonts w:ascii="Arial" w:hAnsi="Arial" w:cs="Arial"/>
          <w:sz w:val="22"/>
          <w:szCs w:val="22"/>
        </w:rPr>
        <w:t>zilucoplan</w:t>
      </w:r>
      <w:proofErr w:type="spellEnd"/>
      <w:r w:rsidRPr="004045CF">
        <w:rPr>
          <w:rFonts w:ascii="Arial" w:hAnsi="Arial" w:cs="Arial"/>
          <w:sz w:val="22"/>
          <w:szCs w:val="22"/>
        </w:rPr>
        <w:t xml:space="preserve">) – </w:t>
      </w:r>
      <w:r w:rsidRPr="004045CF">
        <w:rPr>
          <w:rFonts w:ascii="Arial" w:hAnsi="Arial" w:cs="Arial"/>
          <w:b/>
          <w:bCs/>
          <w:sz w:val="22"/>
          <w:szCs w:val="22"/>
        </w:rPr>
        <w:t>PA</w:t>
      </w:r>
    </w:p>
    <w:bookmarkEnd w:id="0"/>
    <w:bookmarkEnd w:id="1"/>
    <w:p w14:paraId="3BF9D4E6" w14:textId="77777777" w:rsidR="00CF0389" w:rsidRDefault="00CF0389" w:rsidP="00EC6FA6">
      <w:pPr>
        <w:pStyle w:val="Default"/>
        <w:ind w:left="-86"/>
        <w:rPr>
          <w:sz w:val="22"/>
          <w:szCs w:val="22"/>
        </w:rPr>
        <w:sectPr w:rsidR="00CF0389" w:rsidSect="00CF0389">
          <w:footerReference w:type="default" r:id="rId10"/>
          <w:footerReference w:type="first" r:id="rId11"/>
          <w:pgSz w:w="12240" w:h="15840" w:code="1"/>
          <w:pgMar w:top="360" w:right="907" w:bottom="1080" w:left="907" w:header="720" w:footer="576" w:gutter="0"/>
          <w:cols w:sep="1" w:space="720"/>
          <w:docGrid w:linePitch="360"/>
        </w:sectPr>
      </w:pPr>
    </w:p>
    <w:p w14:paraId="5E29A1D9" w14:textId="3E184D2A" w:rsidR="0071247F" w:rsidRDefault="0071247F" w:rsidP="0071247F">
      <w:pPr>
        <w:pStyle w:val="Default"/>
        <w:pBdr>
          <w:bottom w:val="single" w:sz="18" w:space="1" w:color="auto"/>
        </w:pBdr>
        <w:tabs>
          <w:tab w:val="right" w:pos="10440"/>
        </w:tabs>
        <w:spacing w:after="240"/>
        <w:rPr>
          <w:color w:val="FF0000"/>
          <w:sz w:val="18"/>
          <w:szCs w:val="18"/>
        </w:rPr>
      </w:pPr>
      <w:r w:rsidRPr="00AD18B8">
        <w:rPr>
          <w:sz w:val="18"/>
          <w:szCs w:val="18"/>
        </w:rPr>
        <w:lastRenderedPageBreak/>
        <w:t>P</w:t>
      </w:r>
      <w:r>
        <w:rPr>
          <w:sz w:val="18"/>
          <w:szCs w:val="18"/>
        </w:rPr>
        <w:t>harmacy Facts 231</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6931EA">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4</w:t>
      </w:r>
    </w:p>
    <w:p w14:paraId="4BBD1C83" w14:textId="77777777" w:rsidR="00EC6FA6" w:rsidRPr="006305E2" w:rsidRDefault="00EC6FA6" w:rsidP="0071247F">
      <w:pPr>
        <w:pStyle w:val="Heading1"/>
        <w:jc w:val="left"/>
        <w:rPr>
          <w:rFonts w:ascii="Arial Black" w:hAnsi="Arial Black"/>
          <w:sz w:val="24"/>
        </w:rPr>
      </w:pPr>
      <w:r w:rsidRPr="006305E2">
        <w:rPr>
          <w:rFonts w:ascii="Arial Black" w:hAnsi="Arial Black"/>
          <w:sz w:val="24"/>
        </w:rPr>
        <w:t>Change in Prior-Authorization Status</w:t>
      </w:r>
    </w:p>
    <w:p w14:paraId="30FBBE22" w14:textId="77777777" w:rsidR="00EC6FA6" w:rsidRPr="00C01B9B" w:rsidRDefault="00EC6FA6" w:rsidP="0071247F">
      <w:pPr>
        <w:rPr>
          <w:rFonts w:cs="Arial"/>
        </w:rPr>
      </w:pPr>
    </w:p>
    <w:p w14:paraId="44B9F172" w14:textId="1D018970" w:rsidR="00EC6FA6" w:rsidRPr="00CF0389" w:rsidRDefault="00EC6FA6" w:rsidP="0071247F">
      <w:pPr>
        <w:pStyle w:val="ListParagraph"/>
        <w:numPr>
          <w:ilvl w:val="0"/>
          <w:numId w:val="4"/>
        </w:numPr>
        <w:contextualSpacing/>
        <w:rPr>
          <w:rFonts w:ascii="Arial" w:hAnsi="Arial" w:cs="Arial"/>
          <w:sz w:val="22"/>
          <w:szCs w:val="22"/>
        </w:rPr>
      </w:pPr>
      <w:bookmarkStart w:id="2" w:name="_Hlk98931753"/>
      <w:bookmarkStart w:id="3" w:name="_Hlk30086979"/>
      <w:r w:rsidRPr="00CF0389">
        <w:rPr>
          <w:rFonts w:ascii="Arial" w:hAnsi="Arial" w:cs="Arial"/>
          <w:sz w:val="22"/>
          <w:szCs w:val="22"/>
        </w:rPr>
        <w:t>Effective October 1, 2024, the following antiretroviral agent will require</w:t>
      </w:r>
      <w:r w:rsidR="00612916">
        <w:rPr>
          <w:rFonts w:ascii="Arial" w:hAnsi="Arial" w:cs="Arial"/>
          <w:sz w:val="22"/>
          <w:szCs w:val="22"/>
        </w:rPr>
        <w:t xml:space="preserve"> prior authorization</w:t>
      </w:r>
      <w:r w:rsidRPr="00CF0389">
        <w:rPr>
          <w:rFonts w:ascii="Arial" w:hAnsi="Arial" w:cs="Arial"/>
          <w:sz w:val="22"/>
          <w:szCs w:val="22"/>
        </w:rPr>
        <w:t xml:space="preserve"> </w:t>
      </w:r>
      <w:r w:rsidR="00612916">
        <w:rPr>
          <w:rFonts w:ascii="Arial" w:hAnsi="Arial" w:cs="Arial"/>
          <w:sz w:val="22"/>
          <w:szCs w:val="22"/>
        </w:rPr>
        <w:t>(</w:t>
      </w:r>
      <w:r w:rsidRPr="00CF0389">
        <w:rPr>
          <w:rFonts w:ascii="Arial" w:hAnsi="Arial" w:cs="Arial"/>
          <w:sz w:val="22"/>
          <w:szCs w:val="22"/>
        </w:rPr>
        <w:t>PA</w:t>
      </w:r>
      <w:r w:rsidR="00612916">
        <w:rPr>
          <w:rFonts w:ascii="Arial" w:hAnsi="Arial" w:cs="Arial"/>
          <w:sz w:val="22"/>
          <w:szCs w:val="22"/>
        </w:rPr>
        <w:t>)</w:t>
      </w:r>
      <w:r w:rsidRPr="00CF0389">
        <w:rPr>
          <w:rFonts w:ascii="Arial" w:hAnsi="Arial" w:cs="Arial"/>
          <w:sz w:val="22"/>
          <w:szCs w:val="22"/>
        </w:rPr>
        <w:t xml:space="preserve">. </w:t>
      </w:r>
    </w:p>
    <w:p w14:paraId="2C708D1D" w14:textId="77777777" w:rsidR="00EC6FA6" w:rsidRPr="00457BB3" w:rsidRDefault="00EC6FA6" w:rsidP="00EC6FA6">
      <w:pPr>
        <w:pStyle w:val="ListParagraph"/>
        <w:numPr>
          <w:ilvl w:val="1"/>
          <w:numId w:val="4"/>
        </w:numPr>
        <w:spacing w:after="160" w:line="276" w:lineRule="auto"/>
        <w:ind w:left="1080"/>
        <w:contextualSpacing/>
        <w:rPr>
          <w:rFonts w:ascii="Arial" w:hAnsi="Arial" w:cs="Arial"/>
          <w:sz w:val="22"/>
          <w:szCs w:val="22"/>
        </w:rPr>
      </w:pPr>
      <w:proofErr w:type="spellStart"/>
      <w:r w:rsidRPr="00457BB3">
        <w:rPr>
          <w:rFonts w:ascii="Arial" w:hAnsi="Arial" w:cs="Arial"/>
          <w:sz w:val="22"/>
          <w:szCs w:val="22"/>
        </w:rPr>
        <w:t>Lexiva</w:t>
      </w:r>
      <w:proofErr w:type="spellEnd"/>
      <w:r w:rsidRPr="00457BB3">
        <w:rPr>
          <w:rFonts w:ascii="Arial" w:hAnsi="Arial" w:cs="Arial"/>
          <w:sz w:val="22"/>
          <w:szCs w:val="22"/>
        </w:rPr>
        <w:t xml:space="preserve"> (</w:t>
      </w:r>
      <w:proofErr w:type="spellStart"/>
      <w:r w:rsidRPr="00457BB3">
        <w:rPr>
          <w:rFonts w:ascii="Arial" w:hAnsi="Arial" w:cs="Arial"/>
          <w:sz w:val="22"/>
          <w:szCs w:val="22"/>
        </w:rPr>
        <w:t>fosamprenavir</w:t>
      </w:r>
      <w:proofErr w:type="spellEnd"/>
      <w:r w:rsidRPr="00457BB3">
        <w:rPr>
          <w:rFonts w:ascii="Arial" w:hAnsi="Arial" w:cs="Arial"/>
          <w:sz w:val="22"/>
          <w:szCs w:val="22"/>
        </w:rPr>
        <w:t xml:space="preserve">) – </w:t>
      </w:r>
      <w:r w:rsidRPr="00457BB3">
        <w:rPr>
          <w:rFonts w:ascii="Arial" w:hAnsi="Arial" w:cs="Arial"/>
          <w:b/>
          <w:bCs/>
          <w:sz w:val="22"/>
          <w:szCs w:val="22"/>
        </w:rPr>
        <w:t>PA</w:t>
      </w:r>
      <w:r w:rsidRPr="00457BB3">
        <w:rPr>
          <w:rFonts w:ascii="Arial" w:hAnsi="Arial" w:cs="Arial"/>
          <w:sz w:val="22"/>
          <w:szCs w:val="22"/>
        </w:rPr>
        <w:t>; A90</w:t>
      </w:r>
    </w:p>
    <w:p w14:paraId="74E25E2F" w14:textId="777EB7EA"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Effective October 1, 2024, the following GABA analog will no longer require PA within newly established dose limits.</w:t>
      </w:r>
      <w:r w:rsidR="00612916">
        <w:rPr>
          <w:rFonts w:ascii="Arial" w:hAnsi="Arial" w:cs="Arial"/>
          <w:sz w:val="22"/>
          <w:szCs w:val="22"/>
        </w:rPr>
        <w:t xml:space="preserve"> </w:t>
      </w:r>
      <w:r w:rsidRPr="00457BB3">
        <w:rPr>
          <w:rFonts w:ascii="Arial" w:hAnsi="Arial" w:cs="Arial"/>
          <w:sz w:val="22"/>
          <w:szCs w:val="22"/>
        </w:rPr>
        <w:t xml:space="preserve">Pediatric Behavioral Health Medication Initiative </w:t>
      </w:r>
      <w:r w:rsidR="00612916">
        <w:rPr>
          <w:rFonts w:ascii="Arial" w:hAnsi="Arial" w:cs="Arial"/>
          <w:sz w:val="22"/>
          <w:szCs w:val="22"/>
        </w:rPr>
        <w:t xml:space="preserve">(PBHMI) </w:t>
      </w:r>
      <w:r w:rsidRPr="00457BB3">
        <w:rPr>
          <w:rFonts w:ascii="Arial" w:hAnsi="Arial" w:cs="Arial"/>
          <w:sz w:val="22"/>
          <w:szCs w:val="22"/>
        </w:rPr>
        <w:t xml:space="preserve">criteria will still apply. For additional information, please see the </w:t>
      </w:r>
      <w:r w:rsidR="00612916">
        <w:rPr>
          <w:rFonts w:ascii="Arial" w:hAnsi="Arial" w:cs="Arial"/>
          <w:sz w:val="22"/>
          <w:szCs w:val="22"/>
        </w:rPr>
        <w:t>PBHMI</w:t>
      </w:r>
      <w:r w:rsidR="00612916" w:rsidRPr="00457BB3">
        <w:rPr>
          <w:rFonts w:ascii="Arial" w:hAnsi="Arial" w:cs="Arial"/>
          <w:sz w:val="22"/>
          <w:szCs w:val="22"/>
        </w:rPr>
        <w:t xml:space="preserve"> </w:t>
      </w:r>
      <w:r w:rsidRPr="00457BB3">
        <w:rPr>
          <w:rFonts w:ascii="Arial" w:hAnsi="Arial" w:cs="Arial"/>
          <w:sz w:val="22"/>
          <w:szCs w:val="22"/>
        </w:rPr>
        <w:t xml:space="preserve">documents found at </w:t>
      </w:r>
      <w:hyperlink r:id="rId12" w:history="1">
        <w:r w:rsidRPr="00457BB3">
          <w:rPr>
            <w:rStyle w:val="Hyperlink"/>
            <w:rFonts w:ascii="Arial" w:hAnsi="Arial" w:cs="Arial"/>
            <w:sz w:val="22"/>
            <w:szCs w:val="22"/>
          </w:rPr>
          <w:t>www.mass.gov/druglist</w:t>
        </w:r>
      </w:hyperlink>
      <w:r w:rsidRPr="00457BB3">
        <w:rPr>
          <w:rFonts w:ascii="Arial" w:hAnsi="Arial" w:cs="Arial"/>
          <w:sz w:val="22"/>
          <w:szCs w:val="22"/>
        </w:rPr>
        <w:t xml:space="preserve">. </w:t>
      </w:r>
    </w:p>
    <w:p w14:paraId="2B442A4F"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proofErr w:type="spellStart"/>
      <w:r w:rsidRPr="00457BB3">
        <w:rPr>
          <w:rFonts w:ascii="Arial" w:hAnsi="Arial" w:cs="Arial"/>
          <w:sz w:val="22"/>
          <w:szCs w:val="22"/>
        </w:rPr>
        <w:t>Horizant</w:t>
      </w:r>
      <w:proofErr w:type="spellEnd"/>
      <w:r w:rsidRPr="00457BB3">
        <w:rPr>
          <w:rFonts w:ascii="Arial" w:hAnsi="Arial" w:cs="Arial"/>
          <w:sz w:val="22"/>
          <w:szCs w:val="22"/>
        </w:rPr>
        <w:t xml:space="preserve"> (gabapentin </w:t>
      </w:r>
      <w:proofErr w:type="spellStart"/>
      <w:r w:rsidRPr="00457BB3">
        <w:rPr>
          <w:rFonts w:ascii="Arial" w:hAnsi="Arial" w:cs="Arial"/>
          <w:sz w:val="22"/>
          <w:szCs w:val="22"/>
        </w:rPr>
        <w:t>enacarbil</w:t>
      </w:r>
      <w:proofErr w:type="spellEnd"/>
      <w:r w:rsidRPr="00457BB3">
        <w:rPr>
          <w:rFonts w:ascii="Arial" w:hAnsi="Arial" w:cs="Arial"/>
          <w:sz w:val="22"/>
          <w:szCs w:val="22"/>
        </w:rPr>
        <w:t xml:space="preserve">) – </w:t>
      </w:r>
      <w:r w:rsidRPr="00457BB3">
        <w:rPr>
          <w:rFonts w:ascii="Arial" w:hAnsi="Arial" w:cs="Arial"/>
          <w:b/>
          <w:bCs/>
          <w:sz w:val="22"/>
          <w:szCs w:val="22"/>
        </w:rPr>
        <w:t>PA &lt; 6 years and PA &gt; 1200 mg/day</w:t>
      </w:r>
      <w:r w:rsidRPr="00457BB3">
        <w:rPr>
          <w:rFonts w:ascii="Arial" w:hAnsi="Arial" w:cs="Arial"/>
          <w:sz w:val="22"/>
          <w:szCs w:val="22"/>
        </w:rPr>
        <w:t>; BP</w:t>
      </w:r>
    </w:p>
    <w:p w14:paraId="7117EEA4" w14:textId="7FB9431D"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 xml:space="preserve">Effective October 1, 2024, the following GABA analog will no longer require PA within established dose limits. </w:t>
      </w:r>
      <w:r w:rsidR="00612916">
        <w:rPr>
          <w:rFonts w:ascii="Arial" w:hAnsi="Arial" w:cs="Arial"/>
          <w:sz w:val="22"/>
          <w:szCs w:val="22"/>
        </w:rPr>
        <w:t>PBHMI</w:t>
      </w:r>
      <w:r w:rsidR="00612916" w:rsidRPr="00457BB3">
        <w:rPr>
          <w:rFonts w:ascii="Arial" w:hAnsi="Arial" w:cs="Arial"/>
          <w:sz w:val="22"/>
          <w:szCs w:val="22"/>
        </w:rPr>
        <w:t xml:space="preserve"> </w:t>
      </w:r>
      <w:r w:rsidRPr="00457BB3">
        <w:rPr>
          <w:rFonts w:ascii="Arial" w:hAnsi="Arial" w:cs="Arial"/>
          <w:sz w:val="22"/>
          <w:szCs w:val="22"/>
        </w:rPr>
        <w:t xml:space="preserve">criteria will still apply. For additional information, please see the </w:t>
      </w:r>
      <w:r w:rsidR="00884DF4">
        <w:rPr>
          <w:rFonts w:ascii="Arial" w:hAnsi="Arial" w:cs="Arial"/>
          <w:sz w:val="22"/>
          <w:szCs w:val="22"/>
        </w:rPr>
        <w:t>PBHMI</w:t>
      </w:r>
      <w:r w:rsidRPr="00457BB3">
        <w:rPr>
          <w:rFonts w:ascii="Arial" w:hAnsi="Arial" w:cs="Arial"/>
          <w:sz w:val="22"/>
          <w:szCs w:val="22"/>
        </w:rPr>
        <w:t xml:space="preserve"> documents found at </w:t>
      </w:r>
      <w:hyperlink r:id="rId13" w:history="1">
        <w:r w:rsidRPr="00457BB3">
          <w:rPr>
            <w:rStyle w:val="Hyperlink"/>
            <w:rFonts w:ascii="Arial" w:hAnsi="Arial" w:cs="Arial"/>
            <w:sz w:val="22"/>
            <w:szCs w:val="22"/>
          </w:rPr>
          <w:t>www.mass.gov/druglist</w:t>
        </w:r>
      </w:hyperlink>
      <w:r w:rsidRPr="00457BB3">
        <w:rPr>
          <w:rFonts w:ascii="Arial" w:hAnsi="Arial" w:cs="Arial"/>
          <w:sz w:val="22"/>
          <w:szCs w:val="22"/>
        </w:rPr>
        <w:t xml:space="preserve">. </w:t>
      </w:r>
    </w:p>
    <w:p w14:paraId="3E2AF088"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r w:rsidRPr="00457BB3">
        <w:rPr>
          <w:rFonts w:ascii="Arial" w:hAnsi="Arial" w:cs="Arial"/>
          <w:sz w:val="22"/>
          <w:szCs w:val="22"/>
        </w:rPr>
        <w:t>Lyrica (pregabalin) –</w:t>
      </w:r>
      <w:r w:rsidRPr="00457BB3">
        <w:rPr>
          <w:rFonts w:ascii="Arial" w:hAnsi="Arial" w:cs="Arial"/>
          <w:b/>
          <w:bCs/>
          <w:sz w:val="22"/>
          <w:szCs w:val="22"/>
        </w:rPr>
        <w:t xml:space="preserve"> PA &lt; 6 years and PA &gt; 600 mg/day</w:t>
      </w:r>
      <w:r w:rsidRPr="00457BB3">
        <w:rPr>
          <w:rFonts w:ascii="Arial" w:hAnsi="Arial" w:cs="Arial"/>
          <w:sz w:val="22"/>
          <w:szCs w:val="22"/>
        </w:rPr>
        <w:t>; #</w:t>
      </w:r>
    </w:p>
    <w:p w14:paraId="105A5B10" w14:textId="6135340D"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Effective</w:t>
      </w:r>
      <w:bookmarkEnd w:id="2"/>
      <w:r w:rsidRPr="00457BB3">
        <w:rPr>
          <w:rFonts w:ascii="Arial" w:hAnsi="Arial" w:cs="Arial"/>
          <w:sz w:val="22"/>
          <w:szCs w:val="22"/>
        </w:rPr>
        <w:t xml:space="preserve"> October 1, 2024, the following benzodiazepine agent will require PA for all ages and </w:t>
      </w:r>
      <w:r w:rsidR="00884DF4">
        <w:rPr>
          <w:rFonts w:ascii="Arial" w:hAnsi="Arial" w:cs="Arial"/>
          <w:sz w:val="22"/>
          <w:szCs w:val="22"/>
        </w:rPr>
        <w:t xml:space="preserve"> </w:t>
      </w:r>
      <w:r w:rsidRPr="00457BB3">
        <w:rPr>
          <w:rFonts w:ascii="Arial" w:hAnsi="Arial" w:cs="Arial"/>
          <w:sz w:val="22"/>
          <w:szCs w:val="22"/>
        </w:rPr>
        <w:t xml:space="preserve">quantities. </w:t>
      </w:r>
      <w:r w:rsidR="00884DF4">
        <w:rPr>
          <w:rFonts w:ascii="Arial" w:hAnsi="Arial" w:cs="Arial"/>
          <w:sz w:val="22"/>
          <w:szCs w:val="22"/>
        </w:rPr>
        <w:t>PBHMI</w:t>
      </w:r>
      <w:r w:rsidR="00884DF4" w:rsidRPr="00457BB3">
        <w:rPr>
          <w:rFonts w:ascii="Arial" w:hAnsi="Arial" w:cs="Arial"/>
          <w:sz w:val="22"/>
          <w:szCs w:val="22"/>
        </w:rPr>
        <w:t xml:space="preserve"> </w:t>
      </w:r>
      <w:r w:rsidRPr="00457BB3">
        <w:rPr>
          <w:rFonts w:ascii="Arial" w:hAnsi="Arial" w:cs="Arial"/>
          <w:sz w:val="22"/>
          <w:szCs w:val="22"/>
        </w:rPr>
        <w:t xml:space="preserve">criteria will still apply. For additional information, please see the </w:t>
      </w:r>
      <w:r w:rsidR="00884DF4">
        <w:rPr>
          <w:rFonts w:ascii="Arial" w:hAnsi="Arial" w:cs="Arial"/>
          <w:sz w:val="22"/>
          <w:szCs w:val="22"/>
        </w:rPr>
        <w:t>PBHMI</w:t>
      </w:r>
      <w:r w:rsidR="00884DF4" w:rsidRPr="00457BB3">
        <w:rPr>
          <w:rFonts w:ascii="Arial" w:hAnsi="Arial" w:cs="Arial"/>
          <w:sz w:val="22"/>
          <w:szCs w:val="22"/>
        </w:rPr>
        <w:t xml:space="preserve"> </w:t>
      </w:r>
      <w:r w:rsidRPr="00457BB3">
        <w:rPr>
          <w:rFonts w:ascii="Arial" w:hAnsi="Arial" w:cs="Arial"/>
          <w:sz w:val="22"/>
          <w:szCs w:val="22"/>
        </w:rPr>
        <w:t xml:space="preserve">documents found at </w:t>
      </w:r>
      <w:hyperlink r:id="rId14" w:history="1">
        <w:r w:rsidRPr="00457BB3">
          <w:rPr>
            <w:rStyle w:val="Hyperlink"/>
            <w:rFonts w:ascii="Arial" w:hAnsi="Arial" w:cs="Arial"/>
            <w:sz w:val="22"/>
            <w:szCs w:val="22"/>
          </w:rPr>
          <w:t>www.mass.gov/druglist</w:t>
        </w:r>
      </w:hyperlink>
      <w:r w:rsidRPr="00457BB3">
        <w:rPr>
          <w:rFonts w:ascii="Arial" w:hAnsi="Arial" w:cs="Arial"/>
          <w:sz w:val="22"/>
          <w:szCs w:val="22"/>
        </w:rPr>
        <w:t>.</w:t>
      </w:r>
    </w:p>
    <w:bookmarkEnd w:id="3"/>
    <w:p w14:paraId="75643D7D" w14:textId="77777777" w:rsidR="00EC6FA6" w:rsidRPr="00457BB3" w:rsidRDefault="00EC6FA6" w:rsidP="00EC6FA6">
      <w:pPr>
        <w:pStyle w:val="Default"/>
        <w:numPr>
          <w:ilvl w:val="1"/>
          <w:numId w:val="4"/>
        </w:numPr>
        <w:spacing w:line="276" w:lineRule="auto"/>
        <w:ind w:left="1080"/>
        <w:rPr>
          <w:rFonts w:ascii="Arial" w:hAnsi="Arial" w:cs="Arial"/>
          <w:sz w:val="22"/>
          <w:szCs w:val="22"/>
        </w:rPr>
      </w:pPr>
      <w:r w:rsidRPr="00457BB3">
        <w:rPr>
          <w:rFonts w:ascii="Arial" w:hAnsi="Arial" w:cs="Arial"/>
          <w:sz w:val="22"/>
          <w:szCs w:val="22"/>
        </w:rPr>
        <w:t xml:space="preserve">flurazepam – </w:t>
      </w:r>
      <w:r w:rsidRPr="00457BB3">
        <w:rPr>
          <w:rFonts w:ascii="Arial" w:hAnsi="Arial" w:cs="Arial"/>
          <w:b/>
          <w:bCs/>
          <w:sz w:val="22"/>
          <w:szCs w:val="22"/>
        </w:rPr>
        <w:t>PA</w:t>
      </w:r>
    </w:p>
    <w:p w14:paraId="2197EBF5" w14:textId="09A00AA1"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 xml:space="preserve">Effective October 1, 2024, the following cardiovascular agent will require PA for members &lt; six years of age and for behavioral medication polypharmacy for members &lt;18 years of age. For additional information, please see the </w:t>
      </w:r>
      <w:r w:rsidR="00884DF4">
        <w:rPr>
          <w:rFonts w:ascii="Arial" w:hAnsi="Arial" w:cs="Arial"/>
          <w:sz w:val="22"/>
          <w:szCs w:val="22"/>
        </w:rPr>
        <w:t>PBHMI</w:t>
      </w:r>
      <w:r w:rsidR="00884DF4" w:rsidRPr="00457BB3">
        <w:rPr>
          <w:rFonts w:ascii="Arial" w:hAnsi="Arial" w:cs="Arial"/>
          <w:sz w:val="22"/>
          <w:szCs w:val="22"/>
        </w:rPr>
        <w:t xml:space="preserve"> </w:t>
      </w:r>
      <w:r w:rsidRPr="00457BB3">
        <w:rPr>
          <w:rFonts w:ascii="Arial" w:hAnsi="Arial" w:cs="Arial"/>
          <w:sz w:val="22"/>
          <w:szCs w:val="22"/>
        </w:rPr>
        <w:t xml:space="preserve">documents found at </w:t>
      </w:r>
      <w:hyperlink r:id="rId15" w:history="1">
        <w:r w:rsidRPr="00457BB3">
          <w:rPr>
            <w:rStyle w:val="Hyperlink"/>
            <w:rFonts w:ascii="Arial" w:hAnsi="Arial" w:cs="Arial"/>
            <w:sz w:val="22"/>
            <w:szCs w:val="22"/>
          </w:rPr>
          <w:t>www.mass.gov/druglist</w:t>
        </w:r>
      </w:hyperlink>
      <w:r w:rsidRPr="00457BB3">
        <w:rPr>
          <w:rFonts w:ascii="Arial" w:hAnsi="Arial" w:cs="Arial"/>
          <w:sz w:val="22"/>
          <w:szCs w:val="22"/>
        </w:rPr>
        <w:t xml:space="preserve">. </w:t>
      </w:r>
    </w:p>
    <w:p w14:paraId="5C43E01B"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r w:rsidRPr="00457BB3">
        <w:rPr>
          <w:rFonts w:ascii="Arial" w:hAnsi="Arial" w:cs="Arial"/>
          <w:sz w:val="22"/>
          <w:szCs w:val="22"/>
        </w:rPr>
        <w:t xml:space="preserve">Minipress (prazosin) – </w:t>
      </w:r>
      <w:r w:rsidRPr="00457BB3">
        <w:rPr>
          <w:rFonts w:ascii="Arial" w:hAnsi="Arial" w:cs="Arial"/>
          <w:b/>
          <w:bCs/>
          <w:sz w:val="22"/>
          <w:szCs w:val="22"/>
        </w:rPr>
        <w:t>PA &lt; 6 years</w:t>
      </w:r>
      <w:r w:rsidRPr="00457BB3">
        <w:rPr>
          <w:rFonts w:ascii="Arial" w:hAnsi="Arial" w:cs="Arial"/>
          <w:sz w:val="22"/>
          <w:szCs w:val="22"/>
        </w:rPr>
        <w:t>; #; M90</w:t>
      </w:r>
    </w:p>
    <w:p w14:paraId="32F95E4D" w14:textId="77777777"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 xml:space="preserve">Effective October 1, 2024, the following opioid dependence agent will no longer require PA within established dose limits. </w:t>
      </w:r>
    </w:p>
    <w:p w14:paraId="23A3786E"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r w:rsidRPr="00457BB3">
        <w:rPr>
          <w:rFonts w:ascii="Arial" w:hAnsi="Arial" w:cs="Arial"/>
          <w:sz w:val="22"/>
          <w:szCs w:val="22"/>
        </w:rPr>
        <w:t>buprenorphine/naloxone sublingual tablet ≤ 24 mg/day</w:t>
      </w:r>
    </w:p>
    <w:p w14:paraId="514FE03D"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r w:rsidRPr="00457BB3">
        <w:rPr>
          <w:rFonts w:ascii="Arial" w:hAnsi="Arial" w:cs="Arial"/>
          <w:sz w:val="22"/>
          <w:szCs w:val="22"/>
        </w:rPr>
        <w:t xml:space="preserve">buprenorphine/naloxone sublingual tablet – </w:t>
      </w:r>
      <w:r w:rsidRPr="00457BB3">
        <w:rPr>
          <w:rFonts w:ascii="Arial" w:hAnsi="Arial" w:cs="Arial"/>
          <w:b/>
          <w:bCs/>
          <w:sz w:val="22"/>
          <w:szCs w:val="22"/>
        </w:rPr>
        <w:t>PA &gt; 90 days (&gt;24 mg/day and ≤ 32 mg/day)</w:t>
      </w:r>
    </w:p>
    <w:p w14:paraId="005A5A8F"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b/>
          <w:bCs/>
          <w:sz w:val="22"/>
          <w:szCs w:val="22"/>
        </w:rPr>
      </w:pPr>
      <w:r w:rsidRPr="00457BB3">
        <w:rPr>
          <w:rFonts w:ascii="Arial" w:hAnsi="Arial" w:cs="Arial"/>
          <w:sz w:val="22"/>
          <w:szCs w:val="22"/>
        </w:rPr>
        <w:t xml:space="preserve">buprenorphine/naloxone sublingual tablet – </w:t>
      </w:r>
      <w:r w:rsidRPr="00457BB3">
        <w:rPr>
          <w:rFonts w:ascii="Arial" w:hAnsi="Arial" w:cs="Arial"/>
          <w:b/>
          <w:bCs/>
          <w:sz w:val="22"/>
          <w:szCs w:val="22"/>
        </w:rPr>
        <w:t>PA &gt; 32 mg/day</w:t>
      </w:r>
    </w:p>
    <w:p w14:paraId="2550BD9F" w14:textId="77777777" w:rsidR="00EC6FA6" w:rsidRPr="00457BB3" w:rsidRDefault="00EC6FA6" w:rsidP="00EC6FA6">
      <w:pPr>
        <w:pStyle w:val="ListParagraph"/>
        <w:numPr>
          <w:ilvl w:val="0"/>
          <w:numId w:val="4"/>
        </w:numPr>
        <w:spacing w:after="160" w:line="276" w:lineRule="auto"/>
        <w:contextualSpacing/>
        <w:rPr>
          <w:rFonts w:ascii="Arial" w:hAnsi="Arial" w:cs="Arial"/>
          <w:sz w:val="22"/>
          <w:szCs w:val="22"/>
        </w:rPr>
      </w:pPr>
      <w:r w:rsidRPr="00457BB3">
        <w:rPr>
          <w:rFonts w:ascii="Arial" w:hAnsi="Arial" w:cs="Arial"/>
          <w:sz w:val="22"/>
          <w:szCs w:val="22"/>
        </w:rPr>
        <w:t>Effective October 1, 2024, the following topical corticosteroid agents will no longer require PA.</w:t>
      </w:r>
    </w:p>
    <w:p w14:paraId="258753E8" w14:textId="77777777" w:rsidR="00EC6FA6" w:rsidRPr="00457BB3" w:rsidRDefault="00EC6FA6" w:rsidP="00EC6FA6">
      <w:pPr>
        <w:pStyle w:val="ListParagraph"/>
        <w:numPr>
          <w:ilvl w:val="1"/>
          <w:numId w:val="4"/>
        </w:numPr>
        <w:spacing w:line="276" w:lineRule="auto"/>
        <w:ind w:left="1080"/>
        <w:contextualSpacing/>
        <w:rPr>
          <w:rFonts w:ascii="Arial" w:hAnsi="Arial" w:cs="Arial"/>
          <w:sz w:val="22"/>
          <w:szCs w:val="22"/>
        </w:rPr>
      </w:pPr>
      <w:proofErr w:type="spellStart"/>
      <w:r w:rsidRPr="00457BB3">
        <w:rPr>
          <w:rFonts w:ascii="Arial" w:hAnsi="Arial" w:cs="Arial"/>
          <w:sz w:val="22"/>
          <w:szCs w:val="22"/>
        </w:rPr>
        <w:t>desonide</w:t>
      </w:r>
      <w:proofErr w:type="spellEnd"/>
      <w:r w:rsidRPr="00457BB3">
        <w:rPr>
          <w:rFonts w:ascii="Arial" w:hAnsi="Arial" w:cs="Arial"/>
          <w:sz w:val="22"/>
          <w:szCs w:val="22"/>
        </w:rPr>
        <w:t xml:space="preserve"> lotion; A90</w:t>
      </w:r>
    </w:p>
    <w:p w14:paraId="53AAB6A9" w14:textId="77777777" w:rsidR="00EC6FA6" w:rsidRPr="00457BB3" w:rsidRDefault="00EC6FA6" w:rsidP="00EC6FA6">
      <w:pPr>
        <w:pStyle w:val="ListParagraph"/>
        <w:numPr>
          <w:ilvl w:val="1"/>
          <w:numId w:val="4"/>
        </w:numPr>
        <w:spacing w:line="276" w:lineRule="auto"/>
        <w:ind w:left="1080"/>
        <w:contextualSpacing/>
        <w:rPr>
          <w:rFonts w:ascii="Arial" w:hAnsi="Arial" w:cs="Arial"/>
          <w:sz w:val="22"/>
          <w:szCs w:val="22"/>
        </w:rPr>
      </w:pPr>
      <w:bookmarkStart w:id="4" w:name="_Hlk169246010"/>
      <w:r w:rsidRPr="00457BB3">
        <w:rPr>
          <w:rFonts w:ascii="Arial" w:hAnsi="Arial" w:cs="Arial"/>
          <w:sz w:val="22"/>
          <w:szCs w:val="22"/>
        </w:rPr>
        <w:t>hydrocortisone valerate ointment; A90</w:t>
      </w:r>
    </w:p>
    <w:bookmarkEnd w:id="4"/>
    <w:p w14:paraId="572E40E4" w14:textId="77777777" w:rsidR="00EC6FA6" w:rsidRPr="00457BB3" w:rsidRDefault="00EC6FA6" w:rsidP="00EC6FA6">
      <w:pPr>
        <w:pStyle w:val="ListParagraph"/>
        <w:numPr>
          <w:ilvl w:val="1"/>
          <w:numId w:val="4"/>
        </w:numPr>
        <w:spacing w:line="276" w:lineRule="auto"/>
        <w:ind w:left="1080"/>
        <w:contextualSpacing/>
        <w:rPr>
          <w:rFonts w:ascii="Arial" w:hAnsi="Arial" w:cs="Arial"/>
          <w:sz w:val="22"/>
          <w:szCs w:val="22"/>
        </w:rPr>
      </w:pPr>
      <w:proofErr w:type="spellStart"/>
      <w:r w:rsidRPr="00457BB3">
        <w:rPr>
          <w:rFonts w:ascii="Arial" w:hAnsi="Arial" w:cs="Arial"/>
          <w:sz w:val="22"/>
          <w:szCs w:val="22"/>
        </w:rPr>
        <w:t>Olux</w:t>
      </w:r>
      <w:proofErr w:type="spellEnd"/>
      <w:r w:rsidRPr="00457BB3">
        <w:rPr>
          <w:rFonts w:ascii="Arial" w:hAnsi="Arial" w:cs="Arial"/>
          <w:sz w:val="22"/>
          <w:szCs w:val="22"/>
        </w:rPr>
        <w:t>-E (clobetasol propionate foam/emollient); BP, A90</w:t>
      </w:r>
    </w:p>
    <w:p w14:paraId="247C6051" w14:textId="77777777" w:rsidR="00EC6FA6" w:rsidRPr="00457BB3" w:rsidRDefault="00EC6FA6" w:rsidP="00EC6FA6">
      <w:pPr>
        <w:pStyle w:val="ListParagraph"/>
        <w:numPr>
          <w:ilvl w:val="0"/>
          <w:numId w:val="4"/>
        </w:numPr>
        <w:spacing w:after="160" w:line="276" w:lineRule="auto"/>
        <w:contextualSpacing/>
        <w:rPr>
          <w:rFonts w:ascii="Arial" w:hAnsi="Arial" w:cs="Arial"/>
          <w:sz w:val="22"/>
          <w:szCs w:val="22"/>
        </w:rPr>
      </w:pPr>
      <w:r w:rsidRPr="00457BB3">
        <w:rPr>
          <w:rFonts w:ascii="Arial" w:hAnsi="Arial" w:cs="Arial"/>
          <w:sz w:val="22"/>
          <w:szCs w:val="22"/>
        </w:rPr>
        <w:t>Effective October 1, 2024, the following dermatologic agents will require PA.</w:t>
      </w:r>
    </w:p>
    <w:p w14:paraId="5287D612" w14:textId="77777777" w:rsidR="00EC6FA6" w:rsidRPr="00457BB3" w:rsidRDefault="00EC6FA6" w:rsidP="00EC6FA6">
      <w:pPr>
        <w:pStyle w:val="ListParagraph"/>
        <w:numPr>
          <w:ilvl w:val="1"/>
          <w:numId w:val="4"/>
        </w:numPr>
        <w:spacing w:line="276" w:lineRule="auto"/>
        <w:ind w:left="1080"/>
        <w:contextualSpacing/>
        <w:rPr>
          <w:rFonts w:ascii="Arial" w:hAnsi="Arial" w:cs="Arial"/>
          <w:sz w:val="22"/>
          <w:szCs w:val="22"/>
        </w:rPr>
      </w:pPr>
      <w:proofErr w:type="spellStart"/>
      <w:r w:rsidRPr="00457BB3">
        <w:rPr>
          <w:rFonts w:ascii="Arial" w:hAnsi="Arial" w:cs="Arial"/>
          <w:sz w:val="22"/>
          <w:szCs w:val="22"/>
        </w:rPr>
        <w:t>Ameluz</w:t>
      </w:r>
      <w:proofErr w:type="spellEnd"/>
      <w:r w:rsidRPr="00457BB3">
        <w:rPr>
          <w:rFonts w:ascii="Arial" w:hAnsi="Arial" w:cs="Arial"/>
          <w:sz w:val="22"/>
          <w:szCs w:val="22"/>
        </w:rPr>
        <w:t xml:space="preserve"> (</w:t>
      </w:r>
      <w:proofErr w:type="spellStart"/>
      <w:r w:rsidRPr="00457BB3">
        <w:rPr>
          <w:rFonts w:ascii="Arial" w:hAnsi="Arial" w:cs="Arial"/>
          <w:sz w:val="22"/>
          <w:szCs w:val="22"/>
        </w:rPr>
        <w:t>aminolevulinic</w:t>
      </w:r>
      <w:proofErr w:type="spellEnd"/>
      <w:r w:rsidRPr="00457BB3">
        <w:rPr>
          <w:rFonts w:ascii="Arial" w:hAnsi="Arial" w:cs="Arial"/>
          <w:sz w:val="22"/>
          <w:szCs w:val="22"/>
        </w:rPr>
        <w:t xml:space="preserve"> acid) – </w:t>
      </w:r>
      <w:r w:rsidRPr="00457BB3">
        <w:rPr>
          <w:rFonts w:ascii="Arial" w:hAnsi="Arial" w:cs="Arial"/>
          <w:b/>
          <w:bCs/>
          <w:sz w:val="22"/>
          <w:szCs w:val="22"/>
        </w:rPr>
        <w:t>PA</w:t>
      </w:r>
      <w:r w:rsidRPr="00457BB3">
        <w:rPr>
          <w:rFonts w:ascii="Arial" w:hAnsi="Arial" w:cs="Arial"/>
          <w:sz w:val="22"/>
          <w:szCs w:val="22"/>
        </w:rPr>
        <w:t>; MB</w:t>
      </w:r>
    </w:p>
    <w:p w14:paraId="402C57CA" w14:textId="77777777" w:rsidR="00EC6FA6" w:rsidRPr="00457BB3" w:rsidRDefault="00EC6FA6" w:rsidP="00EC6FA6">
      <w:pPr>
        <w:pStyle w:val="ListParagraph"/>
        <w:numPr>
          <w:ilvl w:val="1"/>
          <w:numId w:val="4"/>
        </w:numPr>
        <w:spacing w:line="276" w:lineRule="auto"/>
        <w:ind w:left="1080"/>
        <w:contextualSpacing/>
        <w:rPr>
          <w:rFonts w:ascii="Arial" w:hAnsi="Arial" w:cs="Arial"/>
          <w:sz w:val="22"/>
          <w:szCs w:val="22"/>
        </w:rPr>
      </w:pPr>
      <w:proofErr w:type="spellStart"/>
      <w:r w:rsidRPr="00457BB3">
        <w:rPr>
          <w:rFonts w:ascii="Arial" w:hAnsi="Arial" w:cs="Arial"/>
          <w:sz w:val="22"/>
          <w:szCs w:val="22"/>
        </w:rPr>
        <w:t>Levulan</w:t>
      </w:r>
      <w:proofErr w:type="spellEnd"/>
      <w:r w:rsidRPr="00457BB3">
        <w:rPr>
          <w:rFonts w:ascii="Arial" w:hAnsi="Arial" w:cs="Arial"/>
          <w:sz w:val="22"/>
          <w:szCs w:val="22"/>
        </w:rPr>
        <w:t xml:space="preserve"> (</w:t>
      </w:r>
      <w:proofErr w:type="spellStart"/>
      <w:r w:rsidRPr="00457BB3">
        <w:rPr>
          <w:rFonts w:ascii="Arial" w:hAnsi="Arial" w:cs="Arial"/>
          <w:sz w:val="22"/>
          <w:szCs w:val="22"/>
        </w:rPr>
        <w:t>aminolevulinic</w:t>
      </w:r>
      <w:proofErr w:type="spellEnd"/>
      <w:r w:rsidRPr="00457BB3">
        <w:rPr>
          <w:rFonts w:ascii="Arial" w:hAnsi="Arial" w:cs="Arial"/>
          <w:sz w:val="22"/>
          <w:szCs w:val="22"/>
        </w:rPr>
        <w:t xml:space="preserve"> acid) – </w:t>
      </w:r>
      <w:r w:rsidRPr="00457BB3">
        <w:rPr>
          <w:rFonts w:ascii="Arial" w:hAnsi="Arial" w:cs="Arial"/>
          <w:b/>
          <w:bCs/>
          <w:sz w:val="22"/>
          <w:szCs w:val="22"/>
        </w:rPr>
        <w:t>PA</w:t>
      </w:r>
      <w:r w:rsidRPr="00457BB3">
        <w:rPr>
          <w:rFonts w:ascii="Arial" w:hAnsi="Arial" w:cs="Arial"/>
          <w:sz w:val="22"/>
          <w:szCs w:val="22"/>
        </w:rPr>
        <w:t>; MB</w:t>
      </w:r>
    </w:p>
    <w:p w14:paraId="0030C5C4" w14:textId="77777777"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Effective October 1, 2024, the following topical antibiotic will no longer require PA</w:t>
      </w:r>
    </w:p>
    <w:p w14:paraId="6A1F9A76" w14:textId="77777777" w:rsidR="00EC6FA6" w:rsidRPr="00457BB3" w:rsidRDefault="00EC6FA6" w:rsidP="00EC6FA6">
      <w:pPr>
        <w:pStyle w:val="ListParagraph"/>
        <w:numPr>
          <w:ilvl w:val="1"/>
          <w:numId w:val="4"/>
        </w:numPr>
        <w:spacing w:line="276" w:lineRule="auto"/>
        <w:ind w:left="1080"/>
        <w:contextualSpacing/>
        <w:rPr>
          <w:rFonts w:ascii="Arial" w:hAnsi="Arial" w:cs="Arial"/>
          <w:sz w:val="22"/>
          <w:szCs w:val="22"/>
        </w:rPr>
      </w:pPr>
      <w:proofErr w:type="spellStart"/>
      <w:r w:rsidRPr="00457BB3">
        <w:rPr>
          <w:rFonts w:ascii="Arial" w:hAnsi="Arial" w:cs="Arial"/>
          <w:sz w:val="22"/>
          <w:szCs w:val="22"/>
        </w:rPr>
        <w:t>Clindagel</w:t>
      </w:r>
      <w:proofErr w:type="spellEnd"/>
      <w:r w:rsidRPr="00457BB3">
        <w:rPr>
          <w:rFonts w:ascii="Arial" w:hAnsi="Arial" w:cs="Arial"/>
          <w:sz w:val="22"/>
          <w:szCs w:val="22"/>
        </w:rPr>
        <w:t xml:space="preserve"> (clindamycin gel); BP </w:t>
      </w:r>
    </w:p>
    <w:p w14:paraId="59758BCA" w14:textId="77777777" w:rsidR="00EC6FA6" w:rsidRPr="00457BB3" w:rsidRDefault="00EC6FA6" w:rsidP="00EC6FA6">
      <w:pPr>
        <w:pStyle w:val="ListParagraph"/>
        <w:numPr>
          <w:ilvl w:val="0"/>
          <w:numId w:val="4"/>
        </w:numPr>
        <w:spacing w:line="276" w:lineRule="auto"/>
        <w:contextualSpacing/>
        <w:rPr>
          <w:rFonts w:ascii="Arial" w:hAnsi="Arial" w:cs="Arial"/>
          <w:sz w:val="22"/>
          <w:szCs w:val="22"/>
        </w:rPr>
      </w:pPr>
      <w:r w:rsidRPr="00457BB3">
        <w:rPr>
          <w:rFonts w:ascii="Arial" w:hAnsi="Arial" w:cs="Arial"/>
          <w:sz w:val="22"/>
          <w:szCs w:val="22"/>
        </w:rPr>
        <w:t xml:space="preserve">Effective October 1, 2024, the following vaginal antibiotic will require PA. </w:t>
      </w:r>
    </w:p>
    <w:p w14:paraId="0D80B454"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proofErr w:type="spellStart"/>
      <w:r w:rsidRPr="00457BB3">
        <w:rPr>
          <w:rFonts w:ascii="Arial" w:hAnsi="Arial" w:cs="Arial"/>
          <w:sz w:val="22"/>
          <w:szCs w:val="22"/>
        </w:rPr>
        <w:t>Vandazole</w:t>
      </w:r>
      <w:proofErr w:type="spellEnd"/>
      <w:r w:rsidRPr="00457BB3">
        <w:rPr>
          <w:rFonts w:ascii="Arial" w:hAnsi="Arial" w:cs="Arial"/>
          <w:sz w:val="22"/>
          <w:szCs w:val="22"/>
        </w:rPr>
        <w:t xml:space="preserve"> (metronidazole 0.75% vaginal gel) – </w:t>
      </w:r>
      <w:r w:rsidRPr="00457BB3">
        <w:rPr>
          <w:rFonts w:ascii="Arial" w:hAnsi="Arial" w:cs="Arial"/>
          <w:b/>
          <w:bCs/>
          <w:sz w:val="22"/>
          <w:szCs w:val="22"/>
        </w:rPr>
        <w:t>PA</w:t>
      </w:r>
    </w:p>
    <w:p w14:paraId="1D92BC3B" w14:textId="77777777" w:rsidR="00EC6FA6" w:rsidRPr="00457BB3" w:rsidRDefault="00EC6FA6" w:rsidP="00EC6FA6">
      <w:pPr>
        <w:pStyle w:val="ListParagraph"/>
        <w:numPr>
          <w:ilvl w:val="0"/>
          <w:numId w:val="4"/>
        </w:numPr>
        <w:spacing w:after="160" w:line="259" w:lineRule="auto"/>
        <w:contextualSpacing/>
        <w:rPr>
          <w:rFonts w:ascii="Arial" w:hAnsi="Arial" w:cs="Arial"/>
          <w:sz w:val="22"/>
          <w:szCs w:val="22"/>
        </w:rPr>
      </w:pPr>
      <w:r w:rsidRPr="00457BB3">
        <w:rPr>
          <w:rFonts w:ascii="Arial" w:hAnsi="Arial" w:cs="Arial"/>
          <w:sz w:val="22"/>
          <w:szCs w:val="22"/>
        </w:rPr>
        <w:t>Effective October 1, 2024, the following oral antibiotic will require PA</w:t>
      </w:r>
    </w:p>
    <w:p w14:paraId="214BE260" w14:textId="77777777" w:rsidR="00EC6FA6" w:rsidRPr="00457BB3" w:rsidRDefault="00EC6FA6" w:rsidP="00EC6FA6">
      <w:pPr>
        <w:pStyle w:val="ListParagraph"/>
        <w:numPr>
          <w:ilvl w:val="1"/>
          <w:numId w:val="4"/>
        </w:numPr>
        <w:spacing w:after="160" w:line="259" w:lineRule="auto"/>
        <w:ind w:left="1080"/>
        <w:contextualSpacing/>
        <w:rPr>
          <w:rFonts w:ascii="Arial" w:hAnsi="Arial" w:cs="Arial"/>
          <w:sz w:val="22"/>
          <w:szCs w:val="22"/>
        </w:rPr>
      </w:pPr>
      <w:r w:rsidRPr="00457BB3">
        <w:rPr>
          <w:rFonts w:ascii="Arial" w:hAnsi="Arial" w:cs="Arial"/>
          <w:sz w:val="22"/>
          <w:szCs w:val="22"/>
        </w:rPr>
        <w:t xml:space="preserve">tetracycline tablet – </w:t>
      </w:r>
      <w:r w:rsidRPr="00457BB3">
        <w:rPr>
          <w:rFonts w:ascii="Arial" w:hAnsi="Arial" w:cs="Arial"/>
          <w:b/>
          <w:bCs/>
          <w:sz w:val="22"/>
          <w:szCs w:val="22"/>
        </w:rPr>
        <w:t>PA</w:t>
      </w:r>
      <w:r w:rsidRPr="00457BB3">
        <w:rPr>
          <w:rFonts w:ascii="Arial" w:hAnsi="Arial" w:cs="Arial"/>
          <w:sz w:val="22"/>
          <w:szCs w:val="22"/>
        </w:rPr>
        <w:t>; A90</w:t>
      </w:r>
    </w:p>
    <w:p w14:paraId="77384687" w14:textId="77777777" w:rsidR="00EC6FA6" w:rsidRPr="00457BB3" w:rsidRDefault="00EC6FA6" w:rsidP="00EC6FA6">
      <w:pPr>
        <w:pStyle w:val="ListParagraph"/>
        <w:numPr>
          <w:ilvl w:val="0"/>
          <w:numId w:val="4"/>
        </w:numPr>
        <w:spacing w:after="160" w:line="276" w:lineRule="auto"/>
        <w:contextualSpacing/>
        <w:rPr>
          <w:rFonts w:ascii="Arial" w:hAnsi="Arial" w:cs="Arial"/>
          <w:sz w:val="22"/>
          <w:szCs w:val="22"/>
        </w:rPr>
      </w:pPr>
      <w:r w:rsidRPr="00457BB3">
        <w:rPr>
          <w:rFonts w:ascii="Arial" w:hAnsi="Arial" w:cs="Arial"/>
          <w:sz w:val="22"/>
          <w:szCs w:val="22"/>
        </w:rPr>
        <w:t>Effective October 1, 2024, the following COVID-19-related medication will require PA.</w:t>
      </w:r>
    </w:p>
    <w:p w14:paraId="44F69816" w14:textId="77777777" w:rsidR="00EC6FA6" w:rsidRPr="00457BB3" w:rsidRDefault="00EC6FA6" w:rsidP="00EC6FA6">
      <w:pPr>
        <w:pStyle w:val="ListParagraph"/>
        <w:numPr>
          <w:ilvl w:val="1"/>
          <w:numId w:val="4"/>
        </w:numPr>
        <w:spacing w:after="160" w:line="276" w:lineRule="auto"/>
        <w:ind w:left="1080"/>
        <w:contextualSpacing/>
        <w:rPr>
          <w:rFonts w:ascii="Arial" w:hAnsi="Arial" w:cs="Arial"/>
          <w:sz w:val="22"/>
          <w:szCs w:val="22"/>
        </w:rPr>
      </w:pPr>
      <w:proofErr w:type="spellStart"/>
      <w:r w:rsidRPr="00457BB3">
        <w:rPr>
          <w:rFonts w:ascii="Arial" w:hAnsi="Arial" w:cs="Arial"/>
          <w:sz w:val="22"/>
          <w:szCs w:val="22"/>
        </w:rPr>
        <w:t>Lagevrio</w:t>
      </w:r>
      <w:proofErr w:type="spellEnd"/>
      <w:r w:rsidRPr="00457BB3">
        <w:rPr>
          <w:rFonts w:ascii="Arial" w:hAnsi="Arial" w:cs="Arial"/>
          <w:sz w:val="22"/>
          <w:szCs w:val="22"/>
        </w:rPr>
        <w:t xml:space="preserve"> (</w:t>
      </w:r>
      <w:proofErr w:type="spellStart"/>
      <w:r w:rsidRPr="00457BB3">
        <w:rPr>
          <w:rFonts w:ascii="Arial" w:hAnsi="Arial" w:cs="Arial"/>
          <w:sz w:val="22"/>
          <w:szCs w:val="22"/>
        </w:rPr>
        <w:t>molnupiravir</w:t>
      </w:r>
      <w:proofErr w:type="spellEnd"/>
      <w:r w:rsidRPr="00457BB3">
        <w:rPr>
          <w:rFonts w:ascii="Arial" w:hAnsi="Arial" w:cs="Arial"/>
          <w:sz w:val="22"/>
          <w:szCs w:val="22"/>
        </w:rPr>
        <w:t xml:space="preserve"> COVID EUA- December 23, 2021) – </w:t>
      </w:r>
      <w:r w:rsidRPr="00457BB3">
        <w:rPr>
          <w:rFonts w:ascii="Arial" w:hAnsi="Arial" w:cs="Arial"/>
          <w:b/>
          <w:bCs/>
          <w:sz w:val="22"/>
          <w:szCs w:val="22"/>
        </w:rPr>
        <w:t>PA</w:t>
      </w:r>
    </w:p>
    <w:p w14:paraId="43356553" w14:textId="77777777" w:rsidR="00EC6FA6" w:rsidRPr="00457BB3" w:rsidRDefault="00EC6FA6" w:rsidP="00EC6FA6">
      <w:pPr>
        <w:pStyle w:val="ListParagraph"/>
        <w:contextualSpacing/>
        <w:rPr>
          <w:rFonts w:ascii="Tahoma" w:hAnsi="Tahoma" w:cs="Tahoma"/>
          <w:sz w:val="22"/>
          <w:szCs w:val="22"/>
        </w:rPr>
      </w:pPr>
    </w:p>
    <w:p w14:paraId="7E56E297" w14:textId="77777777" w:rsidR="00AD4486" w:rsidRDefault="00AD4486" w:rsidP="00884DF4">
      <w:pPr>
        <w:pStyle w:val="Default"/>
        <w:pBdr>
          <w:bottom w:val="single" w:sz="18" w:space="1" w:color="auto"/>
        </w:pBdr>
        <w:tabs>
          <w:tab w:val="right" w:pos="10440"/>
        </w:tabs>
        <w:spacing w:before="960" w:after="240"/>
        <w:rPr>
          <w:sz w:val="18"/>
          <w:szCs w:val="18"/>
        </w:rPr>
      </w:pPr>
    </w:p>
    <w:p w14:paraId="02D0596F" w14:textId="791A3B03" w:rsidR="0071247F" w:rsidRDefault="0071247F" w:rsidP="00884DF4">
      <w:pPr>
        <w:pStyle w:val="Default"/>
        <w:pBdr>
          <w:bottom w:val="single" w:sz="18" w:space="1" w:color="auto"/>
        </w:pBdr>
        <w:tabs>
          <w:tab w:val="right" w:pos="10440"/>
        </w:tabs>
        <w:spacing w:before="960" w:after="240"/>
        <w:rPr>
          <w:color w:val="FF0000"/>
          <w:sz w:val="18"/>
          <w:szCs w:val="18"/>
        </w:rPr>
      </w:pPr>
      <w:r w:rsidRPr="00AD18B8">
        <w:rPr>
          <w:sz w:val="18"/>
          <w:szCs w:val="18"/>
        </w:rPr>
        <w:lastRenderedPageBreak/>
        <w:t>P</w:t>
      </w:r>
      <w:r>
        <w:rPr>
          <w:sz w:val="18"/>
          <w:szCs w:val="18"/>
        </w:rPr>
        <w:t>harmacy Facts 231</w:t>
      </w:r>
      <w:r>
        <w:rPr>
          <w:color w:val="FF0000"/>
          <w:sz w:val="18"/>
          <w:szCs w:val="18"/>
        </w:rPr>
        <w:tab/>
      </w:r>
      <w:r w:rsidRPr="00EC1948">
        <w:rPr>
          <w:color w:val="auto"/>
          <w:sz w:val="18"/>
          <w:szCs w:val="18"/>
        </w:rPr>
        <w:t xml:space="preserve">Page </w:t>
      </w:r>
      <w:r>
        <w:rPr>
          <w:color w:val="auto"/>
          <w:sz w:val="18"/>
          <w:szCs w:val="18"/>
        </w:rPr>
        <w:t>3</w:t>
      </w:r>
      <w:r w:rsidRPr="00EC1948">
        <w:rPr>
          <w:noProof/>
          <w:color w:val="auto"/>
          <w:sz w:val="18"/>
          <w:szCs w:val="18"/>
        </w:rPr>
        <w:t xml:space="preserve"> of </w:t>
      </w:r>
      <w:r>
        <w:rPr>
          <w:noProof/>
          <w:color w:val="auto"/>
          <w:sz w:val="18"/>
          <w:szCs w:val="18"/>
        </w:rPr>
        <w:t>4</w:t>
      </w:r>
    </w:p>
    <w:p w14:paraId="3F6DD72E" w14:textId="77777777" w:rsidR="00EC6FA6" w:rsidRPr="006305E2" w:rsidRDefault="00EC6FA6" w:rsidP="00EF5A5B">
      <w:pPr>
        <w:pStyle w:val="Heading1"/>
        <w:jc w:val="left"/>
        <w:rPr>
          <w:rFonts w:ascii="Arial Black" w:hAnsi="Arial Black"/>
          <w:sz w:val="24"/>
        </w:rPr>
      </w:pPr>
      <w:r w:rsidRPr="006305E2">
        <w:rPr>
          <w:rFonts w:ascii="Arial Black" w:hAnsi="Arial Black"/>
          <w:sz w:val="24"/>
        </w:rPr>
        <w:t>Change in Coverage Status</w:t>
      </w:r>
    </w:p>
    <w:p w14:paraId="08412EA9" w14:textId="77777777" w:rsidR="00EF5A5B" w:rsidRDefault="00EF5A5B" w:rsidP="00EF5A5B">
      <w:pPr>
        <w:pStyle w:val="Default"/>
        <w:rPr>
          <w:rFonts w:ascii="Arial" w:hAnsi="Arial" w:cs="Arial"/>
          <w:sz w:val="22"/>
          <w:szCs w:val="22"/>
        </w:rPr>
      </w:pPr>
    </w:p>
    <w:p w14:paraId="73E4CD1C" w14:textId="6FA0D611" w:rsidR="00EC6FA6" w:rsidRPr="004045CF" w:rsidRDefault="00EC6FA6" w:rsidP="00EF5A5B">
      <w:pPr>
        <w:pStyle w:val="Default"/>
        <w:rPr>
          <w:rFonts w:ascii="Arial" w:hAnsi="Arial" w:cs="Arial"/>
          <w:color w:val="auto"/>
          <w:sz w:val="22"/>
          <w:szCs w:val="22"/>
        </w:rPr>
      </w:pPr>
      <w:r w:rsidRPr="004045CF">
        <w:rPr>
          <w:rFonts w:ascii="Arial" w:hAnsi="Arial" w:cs="Arial"/>
          <w:sz w:val="22"/>
          <w:szCs w:val="22"/>
        </w:rPr>
        <w:t>Effective October 1, 2024, the following agents will be available through medical billing only and will no longer be available through pharmacy billing</w:t>
      </w:r>
      <w:r w:rsidRPr="004045CF">
        <w:rPr>
          <w:rFonts w:ascii="Arial" w:hAnsi="Arial" w:cs="Arial"/>
          <w:color w:val="auto"/>
          <w:sz w:val="22"/>
          <w:szCs w:val="22"/>
        </w:rPr>
        <w:t>.</w:t>
      </w:r>
    </w:p>
    <w:p w14:paraId="2B9D9D5D"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proofErr w:type="spellStart"/>
      <w:r w:rsidRPr="004045CF">
        <w:rPr>
          <w:rFonts w:ascii="Arial" w:hAnsi="Arial" w:cs="Arial"/>
          <w:color w:val="auto"/>
          <w:sz w:val="22"/>
          <w:szCs w:val="22"/>
        </w:rPr>
        <w:t>Cerebyx</w:t>
      </w:r>
      <w:proofErr w:type="spellEnd"/>
      <w:r w:rsidRPr="004045CF">
        <w:rPr>
          <w:rFonts w:ascii="Arial" w:hAnsi="Arial" w:cs="Arial"/>
          <w:color w:val="auto"/>
          <w:sz w:val="22"/>
          <w:szCs w:val="22"/>
        </w:rPr>
        <w:t xml:space="preserve"> (</w:t>
      </w:r>
      <w:proofErr w:type="spellStart"/>
      <w:r w:rsidRPr="004045CF">
        <w:rPr>
          <w:rFonts w:ascii="Arial" w:hAnsi="Arial" w:cs="Arial"/>
          <w:color w:val="auto"/>
          <w:sz w:val="22"/>
          <w:szCs w:val="22"/>
        </w:rPr>
        <w:t>fosphenytoin</w:t>
      </w:r>
      <w:proofErr w:type="spellEnd"/>
      <w:r w:rsidRPr="004045CF">
        <w:rPr>
          <w:rFonts w:ascii="Arial" w:hAnsi="Arial" w:cs="Arial"/>
          <w:color w:val="auto"/>
          <w:sz w:val="22"/>
          <w:szCs w:val="22"/>
        </w:rPr>
        <w:t>); MB</w:t>
      </w:r>
    </w:p>
    <w:p w14:paraId="58AACBBB"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proofErr w:type="spellStart"/>
      <w:r w:rsidRPr="004045CF">
        <w:rPr>
          <w:rFonts w:ascii="Arial" w:hAnsi="Arial" w:cs="Arial"/>
          <w:color w:val="auto"/>
          <w:sz w:val="22"/>
          <w:szCs w:val="22"/>
        </w:rPr>
        <w:t>Fensolvi</w:t>
      </w:r>
      <w:proofErr w:type="spellEnd"/>
      <w:r w:rsidRPr="004045CF">
        <w:rPr>
          <w:rFonts w:ascii="Arial" w:hAnsi="Arial" w:cs="Arial"/>
          <w:color w:val="auto"/>
          <w:sz w:val="22"/>
          <w:szCs w:val="22"/>
        </w:rPr>
        <w:t xml:space="preserve"> (leuprolide) – </w:t>
      </w:r>
      <w:r w:rsidRPr="004045CF">
        <w:rPr>
          <w:rFonts w:ascii="Arial" w:hAnsi="Arial" w:cs="Arial"/>
          <w:b/>
          <w:bCs/>
          <w:color w:val="auto"/>
          <w:sz w:val="22"/>
          <w:szCs w:val="22"/>
        </w:rPr>
        <w:t>PA</w:t>
      </w:r>
      <w:r w:rsidRPr="004045CF">
        <w:rPr>
          <w:rFonts w:ascii="Arial" w:hAnsi="Arial" w:cs="Arial"/>
          <w:color w:val="auto"/>
          <w:sz w:val="22"/>
          <w:szCs w:val="22"/>
        </w:rPr>
        <w:t>; MB</w:t>
      </w:r>
    </w:p>
    <w:p w14:paraId="2B56A1B2"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r w:rsidRPr="004045CF">
        <w:rPr>
          <w:rFonts w:ascii="Arial" w:hAnsi="Arial" w:cs="Arial"/>
          <w:color w:val="auto"/>
          <w:sz w:val="22"/>
          <w:szCs w:val="22"/>
        </w:rPr>
        <w:t>Keppra (levetiracetam injection); MB</w:t>
      </w:r>
    </w:p>
    <w:p w14:paraId="3585FE8F"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r w:rsidRPr="004045CF">
        <w:rPr>
          <w:rFonts w:ascii="Arial" w:hAnsi="Arial" w:cs="Arial"/>
          <w:color w:val="auto"/>
          <w:sz w:val="22"/>
          <w:szCs w:val="22"/>
        </w:rPr>
        <w:t>phenobarbital 65 mg/mL, 130 mg/mL injection; MB</w:t>
      </w:r>
    </w:p>
    <w:p w14:paraId="70838611"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proofErr w:type="spellStart"/>
      <w:r w:rsidRPr="004045CF">
        <w:rPr>
          <w:rFonts w:ascii="Arial" w:hAnsi="Arial" w:cs="Arial"/>
          <w:color w:val="auto"/>
          <w:sz w:val="22"/>
          <w:szCs w:val="22"/>
        </w:rPr>
        <w:t>Supprelin</w:t>
      </w:r>
      <w:proofErr w:type="spellEnd"/>
      <w:r w:rsidRPr="004045CF">
        <w:rPr>
          <w:rFonts w:ascii="Arial" w:hAnsi="Arial" w:cs="Arial"/>
          <w:color w:val="auto"/>
          <w:sz w:val="22"/>
          <w:szCs w:val="22"/>
        </w:rPr>
        <w:t xml:space="preserve"> LA (</w:t>
      </w:r>
      <w:proofErr w:type="spellStart"/>
      <w:r w:rsidRPr="004045CF">
        <w:rPr>
          <w:rFonts w:ascii="Arial" w:hAnsi="Arial" w:cs="Arial"/>
          <w:color w:val="auto"/>
          <w:sz w:val="22"/>
          <w:szCs w:val="22"/>
        </w:rPr>
        <w:t>histrelin</w:t>
      </w:r>
      <w:proofErr w:type="spellEnd"/>
      <w:r w:rsidRPr="004045CF">
        <w:rPr>
          <w:rFonts w:ascii="Arial" w:hAnsi="Arial" w:cs="Arial"/>
          <w:color w:val="auto"/>
          <w:sz w:val="22"/>
          <w:szCs w:val="22"/>
        </w:rPr>
        <w:t xml:space="preserve">) – </w:t>
      </w:r>
      <w:r w:rsidRPr="004045CF">
        <w:rPr>
          <w:rFonts w:ascii="Arial" w:hAnsi="Arial" w:cs="Arial"/>
          <w:b/>
          <w:bCs/>
          <w:color w:val="auto"/>
          <w:sz w:val="22"/>
          <w:szCs w:val="22"/>
        </w:rPr>
        <w:t>PA</w:t>
      </w:r>
      <w:r w:rsidRPr="004045CF">
        <w:rPr>
          <w:rFonts w:ascii="Arial" w:hAnsi="Arial" w:cs="Arial"/>
          <w:color w:val="auto"/>
          <w:sz w:val="22"/>
          <w:szCs w:val="22"/>
        </w:rPr>
        <w:t>; MB</w:t>
      </w:r>
    </w:p>
    <w:p w14:paraId="00BB3D61"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r w:rsidRPr="004045CF">
        <w:rPr>
          <w:rFonts w:ascii="Arial" w:hAnsi="Arial" w:cs="Arial"/>
          <w:color w:val="auto"/>
          <w:sz w:val="22"/>
          <w:szCs w:val="22"/>
        </w:rPr>
        <w:t>valproate injection; MB</w:t>
      </w:r>
    </w:p>
    <w:p w14:paraId="2A2E67D0" w14:textId="77777777" w:rsidR="00EC6FA6" w:rsidRPr="004045CF" w:rsidRDefault="00EC6FA6" w:rsidP="00EC6FA6">
      <w:pPr>
        <w:pStyle w:val="Default"/>
        <w:numPr>
          <w:ilvl w:val="1"/>
          <w:numId w:val="10"/>
        </w:numPr>
        <w:tabs>
          <w:tab w:val="left" w:pos="540"/>
        </w:tabs>
        <w:spacing w:line="276" w:lineRule="auto"/>
        <w:ind w:left="900"/>
        <w:rPr>
          <w:rFonts w:ascii="Arial" w:hAnsi="Arial" w:cs="Arial"/>
          <w:color w:val="auto"/>
          <w:sz w:val="22"/>
          <w:szCs w:val="22"/>
        </w:rPr>
      </w:pPr>
      <w:r w:rsidRPr="004045CF">
        <w:rPr>
          <w:rFonts w:ascii="Arial" w:hAnsi="Arial" w:cs="Arial"/>
          <w:color w:val="auto"/>
          <w:sz w:val="22"/>
          <w:szCs w:val="22"/>
        </w:rPr>
        <w:t>Vimpat (lacosamide injection); MB</w:t>
      </w:r>
    </w:p>
    <w:p w14:paraId="51516B88" w14:textId="77777777" w:rsidR="00EC6FA6" w:rsidRPr="00004894" w:rsidRDefault="00EC6FA6" w:rsidP="00EC6FA6">
      <w:pPr>
        <w:ind w:left="-86"/>
      </w:pPr>
    </w:p>
    <w:p w14:paraId="3B972500" w14:textId="77777777" w:rsidR="00EC6FA6" w:rsidRPr="00AF5D12" w:rsidRDefault="00EC6FA6" w:rsidP="00EF5A5B">
      <w:pPr>
        <w:pStyle w:val="Heading1"/>
        <w:jc w:val="left"/>
        <w:rPr>
          <w:szCs w:val="32"/>
        </w:rPr>
      </w:pPr>
      <w:r w:rsidRPr="006305E2">
        <w:rPr>
          <w:rFonts w:ascii="Arial Black" w:hAnsi="Arial Black"/>
          <w:sz w:val="24"/>
        </w:rPr>
        <w:t>Updated MassHealth Brand Name Preferred Over Generic Drug List</w:t>
      </w:r>
    </w:p>
    <w:p w14:paraId="53C7AA94" w14:textId="77777777" w:rsidR="00EF5A5B" w:rsidRDefault="00EF5A5B" w:rsidP="00EF5A5B">
      <w:pPr>
        <w:rPr>
          <w:rFonts w:ascii="Arial" w:hAnsi="Arial" w:cs="Arial"/>
          <w:sz w:val="22"/>
          <w:szCs w:val="22"/>
        </w:rPr>
      </w:pPr>
    </w:p>
    <w:p w14:paraId="3073320A" w14:textId="0B225DF4" w:rsidR="00EC6FA6" w:rsidRPr="006305E2" w:rsidRDefault="00EC6FA6" w:rsidP="00EF5A5B">
      <w:pPr>
        <w:rPr>
          <w:rFonts w:ascii="Arial" w:hAnsi="Arial" w:cs="Arial"/>
          <w:sz w:val="22"/>
          <w:szCs w:val="22"/>
        </w:rPr>
      </w:pPr>
      <w:r w:rsidRPr="006305E2">
        <w:rPr>
          <w:rFonts w:ascii="Arial" w:hAnsi="Arial" w:cs="Arial"/>
          <w:sz w:val="22"/>
          <w:szCs w:val="22"/>
        </w:rPr>
        <w:t xml:space="preserve">The MassHealth Brand Name Preferred Over Generic Drug List has been updated to reflect recent changes to the </w:t>
      </w:r>
      <w:r w:rsidR="0042538A">
        <w:rPr>
          <w:rFonts w:ascii="Arial" w:hAnsi="Arial" w:cs="Arial"/>
          <w:sz w:val="22"/>
          <w:szCs w:val="22"/>
        </w:rPr>
        <w:t>MHDL</w:t>
      </w:r>
      <w:r w:rsidRPr="006305E2">
        <w:rPr>
          <w:rFonts w:ascii="Arial" w:hAnsi="Arial" w:cs="Arial"/>
          <w:sz w:val="22"/>
          <w:szCs w:val="22"/>
        </w:rPr>
        <w:t>.</w:t>
      </w:r>
    </w:p>
    <w:p w14:paraId="4E537695" w14:textId="77777777" w:rsidR="00EC6FA6" w:rsidRPr="00457BB3" w:rsidRDefault="00EC6FA6" w:rsidP="00EC6FA6">
      <w:pPr>
        <w:pStyle w:val="Default"/>
        <w:numPr>
          <w:ilvl w:val="0"/>
          <w:numId w:val="12"/>
        </w:numPr>
        <w:spacing w:line="276" w:lineRule="auto"/>
        <w:rPr>
          <w:rFonts w:ascii="Arial" w:hAnsi="Arial" w:cs="Arial"/>
          <w:sz w:val="22"/>
          <w:szCs w:val="22"/>
        </w:rPr>
      </w:pPr>
      <w:r w:rsidRPr="006305E2">
        <w:rPr>
          <w:rFonts w:ascii="Arial" w:hAnsi="Arial" w:cs="Arial"/>
          <w:sz w:val="22"/>
          <w:szCs w:val="22"/>
        </w:rPr>
        <w:t>Effective October 1, 2024, the following agents will be added to the MassHealth Brand Name Preferred</w:t>
      </w:r>
      <w:r w:rsidRPr="00457BB3">
        <w:rPr>
          <w:rFonts w:ascii="Arial" w:hAnsi="Arial" w:cs="Arial"/>
          <w:sz w:val="22"/>
          <w:szCs w:val="22"/>
        </w:rPr>
        <w:t xml:space="preserve"> Over Generic Drug List. </w:t>
      </w:r>
    </w:p>
    <w:p w14:paraId="72F920DF" w14:textId="77777777" w:rsidR="00EC6FA6" w:rsidRPr="00457BB3" w:rsidRDefault="00EC6FA6" w:rsidP="00EC6FA6">
      <w:pPr>
        <w:pStyle w:val="Default"/>
        <w:numPr>
          <w:ilvl w:val="0"/>
          <w:numId w:val="6"/>
        </w:numPr>
        <w:spacing w:line="276" w:lineRule="auto"/>
        <w:rPr>
          <w:rFonts w:ascii="Arial" w:hAnsi="Arial" w:cs="Arial"/>
          <w:b/>
          <w:bCs/>
          <w:sz w:val="22"/>
          <w:szCs w:val="22"/>
        </w:rPr>
      </w:pPr>
      <w:bookmarkStart w:id="5" w:name="_Hlk11399419"/>
      <w:bookmarkStart w:id="6" w:name="_Hlk527542710"/>
      <w:proofErr w:type="spellStart"/>
      <w:r w:rsidRPr="00457BB3">
        <w:rPr>
          <w:rFonts w:ascii="Arial" w:hAnsi="Arial" w:cs="Arial"/>
          <w:sz w:val="22"/>
          <w:szCs w:val="22"/>
        </w:rPr>
        <w:t>Atralin</w:t>
      </w:r>
      <w:proofErr w:type="spellEnd"/>
      <w:r w:rsidRPr="00457BB3">
        <w:rPr>
          <w:rFonts w:ascii="Arial" w:hAnsi="Arial" w:cs="Arial"/>
          <w:sz w:val="22"/>
          <w:szCs w:val="22"/>
        </w:rPr>
        <w:t xml:space="preserve"> (tretinoin 0.05% gel) – </w:t>
      </w:r>
      <w:r w:rsidRPr="00457BB3">
        <w:rPr>
          <w:rFonts w:ascii="Arial" w:hAnsi="Arial" w:cs="Arial"/>
          <w:b/>
          <w:bCs/>
          <w:sz w:val="22"/>
          <w:szCs w:val="22"/>
        </w:rPr>
        <w:t>PA</w:t>
      </w:r>
      <w:r w:rsidRPr="00457BB3">
        <w:rPr>
          <w:rFonts w:ascii="Arial" w:hAnsi="Arial" w:cs="Arial"/>
          <w:sz w:val="22"/>
          <w:szCs w:val="22"/>
        </w:rPr>
        <w:t>; BP, A90</w:t>
      </w:r>
    </w:p>
    <w:p w14:paraId="5A6EF6AF" w14:textId="77777777" w:rsidR="00EC6FA6" w:rsidRPr="00457BB3" w:rsidRDefault="00EC6FA6" w:rsidP="00EC6FA6">
      <w:pPr>
        <w:pStyle w:val="Default"/>
        <w:numPr>
          <w:ilvl w:val="0"/>
          <w:numId w:val="6"/>
        </w:numPr>
        <w:spacing w:line="276" w:lineRule="auto"/>
        <w:rPr>
          <w:rFonts w:ascii="Arial" w:hAnsi="Arial" w:cs="Arial"/>
          <w:sz w:val="22"/>
          <w:szCs w:val="22"/>
        </w:rPr>
      </w:pPr>
      <w:r w:rsidRPr="00457BB3">
        <w:rPr>
          <w:rFonts w:ascii="Arial" w:hAnsi="Arial" w:cs="Arial"/>
          <w:sz w:val="22"/>
          <w:szCs w:val="22"/>
        </w:rPr>
        <w:t>Cleocin T (clindamycin lotion); BP, A90</w:t>
      </w:r>
    </w:p>
    <w:p w14:paraId="6DFA7229"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Clindagel</w:t>
      </w:r>
      <w:proofErr w:type="spellEnd"/>
      <w:r w:rsidRPr="00457BB3">
        <w:rPr>
          <w:rFonts w:ascii="Arial" w:hAnsi="Arial" w:cs="Arial"/>
          <w:sz w:val="22"/>
          <w:szCs w:val="22"/>
        </w:rPr>
        <w:t xml:space="preserve"> (clindamycin gel); BP </w:t>
      </w:r>
    </w:p>
    <w:p w14:paraId="3BFA7FE3"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Complera</w:t>
      </w:r>
      <w:proofErr w:type="spellEnd"/>
      <w:r w:rsidRPr="00457BB3">
        <w:rPr>
          <w:rFonts w:ascii="Arial" w:hAnsi="Arial" w:cs="Arial"/>
          <w:sz w:val="22"/>
          <w:szCs w:val="22"/>
        </w:rPr>
        <w:t xml:space="preserve"> (emtricitabine/</w:t>
      </w:r>
      <w:proofErr w:type="spellStart"/>
      <w:r w:rsidRPr="00457BB3">
        <w:rPr>
          <w:rFonts w:ascii="Arial" w:hAnsi="Arial" w:cs="Arial"/>
          <w:sz w:val="22"/>
          <w:szCs w:val="22"/>
        </w:rPr>
        <w:t>rilpivirine</w:t>
      </w:r>
      <w:proofErr w:type="spellEnd"/>
      <w:r w:rsidRPr="00457BB3">
        <w:rPr>
          <w:rFonts w:ascii="Arial" w:hAnsi="Arial" w:cs="Arial"/>
          <w:sz w:val="22"/>
          <w:szCs w:val="22"/>
        </w:rPr>
        <w:t>/tenofovir disoproxil fumarate); BP</w:t>
      </w:r>
    </w:p>
    <w:p w14:paraId="1408FE03"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Condylox</w:t>
      </w:r>
      <w:proofErr w:type="spellEnd"/>
      <w:r w:rsidRPr="00457BB3">
        <w:rPr>
          <w:rFonts w:ascii="Arial" w:hAnsi="Arial" w:cs="Arial"/>
          <w:sz w:val="22"/>
          <w:szCs w:val="22"/>
        </w:rPr>
        <w:t xml:space="preserve"> (podofilox gel); BP, A90</w:t>
      </w:r>
    </w:p>
    <w:p w14:paraId="380564B3"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Fabior</w:t>
      </w:r>
      <w:proofErr w:type="spellEnd"/>
      <w:r w:rsidRPr="00457BB3">
        <w:rPr>
          <w:rFonts w:ascii="Arial" w:hAnsi="Arial" w:cs="Arial"/>
          <w:sz w:val="22"/>
          <w:szCs w:val="22"/>
        </w:rPr>
        <w:t xml:space="preserve"> (tazarotene foam) – </w:t>
      </w:r>
      <w:r w:rsidRPr="00457BB3">
        <w:rPr>
          <w:rFonts w:ascii="Arial" w:hAnsi="Arial" w:cs="Arial"/>
          <w:b/>
          <w:bCs/>
          <w:sz w:val="22"/>
          <w:szCs w:val="22"/>
        </w:rPr>
        <w:t>PA</w:t>
      </w:r>
      <w:r w:rsidRPr="00457BB3">
        <w:rPr>
          <w:rFonts w:ascii="Arial" w:hAnsi="Arial" w:cs="Arial"/>
          <w:sz w:val="22"/>
          <w:szCs w:val="22"/>
        </w:rPr>
        <w:t>; BP</w:t>
      </w:r>
    </w:p>
    <w:p w14:paraId="41F4F5ED"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Finacea</w:t>
      </w:r>
      <w:proofErr w:type="spellEnd"/>
      <w:r w:rsidRPr="00457BB3">
        <w:rPr>
          <w:rFonts w:ascii="Arial" w:hAnsi="Arial" w:cs="Arial"/>
          <w:sz w:val="22"/>
          <w:szCs w:val="22"/>
        </w:rPr>
        <w:t xml:space="preserve"> (azelaic acid foam) – </w:t>
      </w:r>
      <w:r w:rsidRPr="00457BB3">
        <w:rPr>
          <w:rFonts w:ascii="Arial" w:hAnsi="Arial" w:cs="Arial"/>
          <w:b/>
          <w:bCs/>
          <w:sz w:val="22"/>
          <w:szCs w:val="22"/>
        </w:rPr>
        <w:t>PA</w:t>
      </w:r>
      <w:r w:rsidRPr="00457BB3">
        <w:rPr>
          <w:rFonts w:ascii="Arial" w:hAnsi="Arial" w:cs="Arial"/>
          <w:sz w:val="22"/>
          <w:szCs w:val="22"/>
        </w:rPr>
        <w:t>; BP</w:t>
      </w:r>
    </w:p>
    <w:p w14:paraId="6D8B6933"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Horizant</w:t>
      </w:r>
      <w:proofErr w:type="spellEnd"/>
      <w:r w:rsidRPr="00457BB3">
        <w:rPr>
          <w:rFonts w:ascii="Arial" w:hAnsi="Arial" w:cs="Arial"/>
          <w:sz w:val="22"/>
          <w:szCs w:val="22"/>
        </w:rPr>
        <w:t xml:space="preserve"> (gabapentin </w:t>
      </w:r>
      <w:proofErr w:type="spellStart"/>
      <w:r w:rsidRPr="00457BB3">
        <w:rPr>
          <w:rFonts w:ascii="Arial" w:hAnsi="Arial" w:cs="Arial"/>
          <w:sz w:val="22"/>
          <w:szCs w:val="22"/>
        </w:rPr>
        <w:t>enacarbil</w:t>
      </w:r>
      <w:proofErr w:type="spellEnd"/>
      <w:r w:rsidRPr="00457BB3">
        <w:rPr>
          <w:rFonts w:ascii="Arial" w:hAnsi="Arial" w:cs="Arial"/>
          <w:sz w:val="22"/>
          <w:szCs w:val="22"/>
        </w:rPr>
        <w:t xml:space="preserve">) – </w:t>
      </w:r>
      <w:r w:rsidRPr="00457BB3">
        <w:rPr>
          <w:rFonts w:ascii="Arial" w:hAnsi="Arial" w:cs="Arial"/>
          <w:b/>
          <w:bCs/>
          <w:sz w:val="22"/>
          <w:szCs w:val="22"/>
        </w:rPr>
        <w:t>PA &lt; 6 years and PA &gt; 1200 mg/day</w:t>
      </w:r>
      <w:r w:rsidRPr="00457BB3">
        <w:rPr>
          <w:rFonts w:ascii="Arial" w:hAnsi="Arial" w:cs="Arial"/>
          <w:sz w:val="22"/>
          <w:szCs w:val="22"/>
        </w:rPr>
        <w:t>; BP</w:t>
      </w:r>
    </w:p>
    <w:p w14:paraId="184FBD25" w14:textId="77777777" w:rsidR="00EC6FA6" w:rsidRPr="00457BB3" w:rsidRDefault="00EC6FA6" w:rsidP="00EC6FA6">
      <w:pPr>
        <w:pStyle w:val="Default"/>
        <w:numPr>
          <w:ilvl w:val="0"/>
          <w:numId w:val="6"/>
        </w:numPr>
        <w:spacing w:line="276" w:lineRule="auto"/>
        <w:rPr>
          <w:rFonts w:ascii="Arial" w:hAnsi="Arial" w:cs="Arial"/>
          <w:sz w:val="22"/>
          <w:szCs w:val="22"/>
        </w:rPr>
      </w:pPr>
      <w:bookmarkStart w:id="7" w:name="_Hlk14249184"/>
      <w:bookmarkStart w:id="8" w:name="_Hlk536624120"/>
      <w:bookmarkEnd w:id="5"/>
      <w:bookmarkEnd w:id="6"/>
      <w:r w:rsidRPr="00457BB3">
        <w:rPr>
          <w:rFonts w:ascii="Arial" w:hAnsi="Arial" w:cs="Arial"/>
          <w:sz w:val="22"/>
          <w:szCs w:val="22"/>
        </w:rPr>
        <w:t>Nucynta (</w:t>
      </w:r>
      <w:proofErr w:type="spellStart"/>
      <w:r w:rsidRPr="00457BB3">
        <w:rPr>
          <w:rFonts w:ascii="Arial" w:hAnsi="Arial" w:cs="Arial"/>
          <w:sz w:val="22"/>
          <w:szCs w:val="22"/>
        </w:rPr>
        <w:t>tapentadol</w:t>
      </w:r>
      <w:proofErr w:type="spellEnd"/>
      <w:r w:rsidRPr="00457BB3">
        <w:rPr>
          <w:rFonts w:ascii="Arial" w:hAnsi="Arial" w:cs="Arial"/>
          <w:sz w:val="22"/>
          <w:szCs w:val="22"/>
        </w:rPr>
        <w:t xml:space="preserve">) – </w:t>
      </w:r>
      <w:r w:rsidRPr="00457BB3">
        <w:rPr>
          <w:rFonts w:ascii="Arial" w:hAnsi="Arial" w:cs="Arial"/>
          <w:b/>
          <w:bCs/>
          <w:sz w:val="22"/>
          <w:szCs w:val="22"/>
        </w:rPr>
        <w:t>PA</w:t>
      </w:r>
      <w:r w:rsidRPr="00457BB3">
        <w:rPr>
          <w:rFonts w:ascii="Arial" w:hAnsi="Arial" w:cs="Arial"/>
          <w:sz w:val="22"/>
          <w:szCs w:val="22"/>
        </w:rPr>
        <w:t xml:space="preserve">; BP </w:t>
      </w:r>
    </w:p>
    <w:p w14:paraId="4617F268" w14:textId="77777777" w:rsidR="00EC6FA6" w:rsidRPr="00457BB3" w:rsidRDefault="00EC6FA6" w:rsidP="00EC6FA6">
      <w:pPr>
        <w:pStyle w:val="Default"/>
        <w:numPr>
          <w:ilvl w:val="0"/>
          <w:numId w:val="6"/>
        </w:numPr>
        <w:spacing w:line="276" w:lineRule="auto"/>
        <w:rPr>
          <w:rFonts w:ascii="Arial" w:hAnsi="Arial" w:cs="Arial"/>
          <w:sz w:val="22"/>
          <w:szCs w:val="22"/>
        </w:rPr>
      </w:pPr>
      <w:r w:rsidRPr="00457BB3">
        <w:rPr>
          <w:rFonts w:ascii="Arial" w:hAnsi="Arial" w:cs="Arial"/>
          <w:sz w:val="22"/>
          <w:szCs w:val="22"/>
        </w:rPr>
        <w:t>Nucynta (</w:t>
      </w:r>
      <w:proofErr w:type="spellStart"/>
      <w:r w:rsidRPr="00457BB3">
        <w:rPr>
          <w:rFonts w:ascii="Arial" w:hAnsi="Arial" w:cs="Arial"/>
          <w:sz w:val="22"/>
          <w:szCs w:val="22"/>
        </w:rPr>
        <w:t>tapentadol</w:t>
      </w:r>
      <w:proofErr w:type="spellEnd"/>
      <w:r w:rsidRPr="00457BB3">
        <w:rPr>
          <w:rFonts w:ascii="Arial" w:hAnsi="Arial" w:cs="Arial"/>
          <w:sz w:val="22"/>
          <w:szCs w:val="22"/>
        </w:rPr>
        <w:t xml:space="preserve"> extended-release) – </w:t>
      </w:r>
      <w:r w:rsidRPr="00457BB3">
        <w:rPr>
          <w:rFonts w:ascii="Arial" w:hAnsi="Arial" w:cs="Arial"/>
          <w:b/>
          <w:bCs/>
          <w:sz w:val="22"/>
          <w:szCs w:val="22"/>
        </w:rPr>
        <w:t>PA</w:t>
      </w:r>
      <w:r w:rsidRPr="00457BB3">
        <w:rPr>
          <w:rFonts w:ascii="Arial" w:hAnsi="Arial" w:cs="Arial"/>
          <w:sz w:val="22"/>
          <w:szCs w:val="22"/>
        </w:rPr>
        <w:t xml:space="preserve">; BP </w:t>
      </w:r>
    </w:p>
    <w:p w14:paraId="1FBB61F1"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Olux</w:t>
      </w:r>
      <w:proofErr w:type="spellEnd"/>
      <w:r w:rsidRPr="00457BB3">
        <w:rPr>
          <w:rFonts w:ascii="Arial" w:hAnsi="Arial" w:cs="Arial"/>
          <w:sz w:val="22"/>
          <w:szCs w:val="22"/>
        </w:rPr>
        <w:t>-E (clobetasol propionate foam/emollient); BP, A90</w:t>
      </w:r>
    </w:p>
    <w:p w14:paraId="72A90C13"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Onexton</w:t>
      </w:r>
      <w:proofErr w:type="spellEnd"/>
      <w:r w:rsidRPr="00457BB3">
        <w:rPr>
          <w:rFonts w:ascii="Arial" w:hAnsi="Arial" w:cs="Arial"/>
          <w:sz w:val="22"/>
          <w:szCs w:val="22"/>
        </w:rPr>
        <w:t xml:space="preserve"> (clindamycin/benzoyl peroxide gel pump) – </w:t>
      </w:r>
      <w:r w:rsidRPr="00457BB3">
        <w:rPr>
          <w:rFonts w:ascii="Arial" w:hAnsi="Arial" w:cs="Arial"/>
          <w:b/>
          <w:bCs/>
          <w:sz w:val="22"/>
          <w:szCs w:val="22"/>
        </w:rPr>
        <w:t>PA;</w:t>
      </w:r>
      <w:r w:rsidRPr="00457BB3">
        <w:rPr>
          <w:rFonts w:ascii="Arial" w:hAnsi="Arial" w:cs="Arial"/>
          <w:sz w:val="22"/>
          <w:szCs w:val="22"/>
        </w:rPr>
        <w:t xml:space="preserve"> BP, A90</w:t>
      </w:r>
    </w:p>
    <w:p w14:paraId="5A413793" w14:textId="77777777" w:rsidR="00EC6FA6" w:rsidRPr="00457BB3" w:rsidRDefault="00EC6FA6" w:rsidP="00EC6FA6">
      <w:pPr>
        <w:pStyle w:val="Default"/>
        <w:numPr>
          <w:ilvl w:val="0"/>
          <w:numId w:val="6"/>
        </w:numPr>
        <w:spacing w:line="276" w:lineRule="auto"/>
        <w:rPr>
          <w:rFonts w:ascii="Arial" w:hAnsi="Arial" w:cs="Arial"/>
          <w:sz w:val="22"/>
          <w:szCs w:val="22"/>
        </w:rPr>
      </w:pPr>
      <w:proofErr w:type="spellStart"/>
      <w:r w:rsidRPr="00457BB3">
        <w:rPr>
          <w:rFonts w:ascii="Arial" w:hAnsi="Arial" w:cs="Arial"/>
          <w:sz w:val="22"/>
          <w:szCs w:val="22"/>
        </w:rPr>
        <w:t>Qudexy</w:t>
      </w:r>
      <w:proofErr w:type="spellEnd"/>
      <w:r w:rsidRPr="00457BB3">
        <w:rPr>
          <w:rFonts w:ascii="Arial" w:hAnsi="Arial" w:cs="Arial"/>
          <w:sz w:val="22"/>
          <w:szCs w:val="22"/>
        </w:rPr>
        <w:t xml:space="preserve"> XR (topiramate extended-release capsule) – </w:t>
      </w:r>
      <w:r w:rsidRPr="00457BB3">
        <w:rPr>
          <w:rFonts w:ascii="Arial" w:hAnsi="Arial" w:cs="Arial"/>
          <w:b/>
          <w:bCs/>
          <w:sz w:val="22"/>
          <w:szCs w:val="22"/>
        </w:rPr>
        <w:t>PA &lt; 6 years</w:t>
      </w:r>
      <w:r w:rsidRPr="00457BB3">
        <w:rPr>
          <w:rFonts w:ascii="Arial" w:hAnsi="Arial" w:cs="Arial"/>
          <w:sz w:val="22"/>
          <w:szCs w:val="22"/>
        </w:rPr>
        <w:t>; BP, A90</w:t>
      </w:r>
    </w:p>
    <w:p w14:paraId="12FDFA37" w14:textId="77777777" w:rsidR="00EC6FA6" w:rsidRPr="00457BB3" w:rsidRDefault="00EC6FA6" w:rsidP="00EC6FA6">
      <w:pPr>
        <w:pStyle w:val="Default"/>
        <w:numPr>
          <w:ilvl w:val="0"/>
          <w:numId w:val="6"/>
        </w:numPr>
        <w:spacing w:line="276" w:lineRule="auto"/>
        <w:rPr>
          <w:rFonts w:ascii="Arial" w:hAnsi="Arial" w:cs="Arial"/>
          <w:sz w:val="22"/>
          <w:szCs w:val="22"/>
        </w:rPr>
      </w:pPr>
      <w:r w:rsidRPr="00457BB3">
        <w:rPr>
          <w:rFonts w:ascii="Arial" w:hAnsi="Arial" w:cs="Arial"/>
          <w:sz w:val="22"/>
          <w:szCs w:val="22"/>
        </w:rPr>
        <w:t xml:space="preserve">Retin-A Micro (tretinoin microspheres) – </w:t>
      </w:r>
      <w:r w:rsidRPr="00457BB3">
        <w:rPr>
          <w:rFonts w:ascii="Arial" w:hAnsi="Arial" w:cs="Arial"/>
          <w:b/>
          <w:bCs/>
          <w:sz w:val="22"/>
          <w:szCs w:val="22"/>
        </w:rPr>
        <w:t>PA</w:t>
      </w:r>
      <w:r w:rsidRPr="00457BB3">
        <w:rPr>
          <w:rFonts w:ascii="Arial" w:hAnsi="Arial" w:cs="Arial"/>
          <w:sz w:val="22"/>
          <w:szCs w:val="22"/>
        </w:rPr>
        <w:t>; BP, A90</w:t>
      </w:r>
    </w:p>
    <w:p w14:paraId="3474D477" w14:textId="77777777" w:rsidR="00EC6FA6" w:rsidRPr="00457BB3" w:rsidRDefault="00EC6FA6" w:rsidP="00EC6FA6">
      <w:pPr>
        <w:pStyle w:val="Default"/>
        <w:numPr>
          <w:ilvl w:val="0"/>
          <w:numId w:val="6"/>
        </w:numPr>
        <w:spacing w:line="276" w:lineRule="auto"/>
        <w:rPr>
          <w:rFonts w:ascii="Arial" w:hAnsi="Arial" w:cs="Arial"/>
          <w:sz w:val="22"/>
          <w:szCs w:val="22"/>
          <w:lang w:val="sv-SE"/>
        </w:rPr>
      </w:pPr>
      <w:proofErr w:type="spellStart"/>
      <w:r w:rsidRPr="00457BB3">
        <w:rPr>
          <w:rFonts w:ascii="Arial" w:hAnsi="Arial" w:cs="Arial"/>
          <w:sz w:val="22"/>
          <w:szCs w:val="22"/>
        </w:rPr>
        <w:t>Zyvox</w:t>
      </w:r>
      <w:proofErr w:type="spellEnd"/>
      <w:r w:rsidRPr="00457BB3">
        <w:rPr>
          <w:rFonts w:ascii="Arial" w:hAnsi="Arial" w:cs="Arial"/>
          <w:sz w:val="22"/>
          <w:szCs w:val="22"/>
        </w:rPr>
        <w:t xml:space="preserve"> (linezolid suspension) – </w:t>
      </w:r>
      <w:r w:rsidRPr="00457BB3">
        <w:rPr>
          <w:rFonts w:ascii="Arial" w:hAnsi="Arial" w:cs="Arial"/>
          <w:b/>
          <w:bCs/>
          <w:sz w:val="22"/>
          <w:szCs w:val="22"/>
        </w:rPr>
        <w:t>PA</w:t>
      </w:r>
      <w:r w:rsidRPr="00457BB3">
        <w:rPr>
          <w:rFonts w:ascii="Arial" w:hAnsi="Arial" w:cs="Arial"/>
          <w:sz w:val="22"/>
          <w:szCs w:val="22"/>
        </w:rPr>
        <w:t>; BP</w:t>
      </w:r>
    </w:p>
    <w:p w14:paraId="0107B3D3" w14:textId="77777777" w:rsidR="00EC6FA6" w:rsidRPr="00457BB3" w:rsidRDefault="00EC6FA6" w:rsidP="00EC6FA6">
      <w:pPr>
        <w:pStyle w:val="Default"/>
        <w:numPr>
          <w:ilvl w:val="0"/>
          <w:numId w:val="12"/>
        </w:numPr>
        <w:spacing w:line="276" w:lineRule="auto"/>
        <w:rPr>
          <w:rFonts w:ascii="Arial" w:hAnsi="Arial" w:cs="Arial"/>
          <w:sz w:val="22"/>
          <w:szCs w:val="22"/>
        </w:rPr>
      </w:pPr>
      <w:r w:rsidRPr="00457BB3">
        <w:rPr>
          <w:rFonts w:ascii="Arial" w:hAnsi="Arial" w:cs="Arial"/>
          <w:sz w:val="22"/>
          <w:szCs w:val="22"/>
        </w:rPr>
        <w:t xml:space="preserve">Effective October 1, 2024, the following agents will be removed from the MassHealth Brand Name Preferred Over Generic Drug List. </w:t>
      </w:r>
    </w:p>
    <w:bookmarkEnd w:id="7"/>
    <w:p w14:paraId="1F8A49EC" w14:textId="77777777" w:rsidR="00EC6FA6" w:rsidRPr="00457BB3" w:rsidRDefault="00EC6FA6" w:rsidP="00EC6FA6">
      <w:pPr>
        <w:pStyle w:val="ListParagraph"/>
        <w:numPr>
          <w:ilvl w:val="0"/>
          <w:numId w:val="13"/>
        </w:numPr>
        <w:spacing w:line="259" w:lineRule="auto"/>
        <w:ind w:left="1080"/>
        <w:contextualSpacing/>
        <w:rPr>
          <w:rFonts w:ascii="Arial" w:hAnsi="Arial" w:cs="Arial"/>
          <w:color w:val="000000"/>
          <w:sz w:val="22"/>
          <w:szCs w:val="22"/>
        </w:rPr>
      </w:pPr>
      <w:r w:rsidRPr="00457BB3">
        <w:rPr>
          <w:rFonts w:ascii="Arial" w:hAnsi="Arial" w:cs="Arial"/>
          <w:color w:val="000000"/>
          <w:sz w:val="22"/>
          <w:szCs w:val="22"/>
        </w:rPr>
        <w:t>Bystolic (nebivolol); #, M90</w:t>
      </w:r>
    </w:p>
    <w:p w14:paraId="174292EB" w14:textId="77777777" w:rsidR="00EC6FA6" w:rsidRPr="00457BB3" w:rsidRDefault="00EC6FA6" w:rsidP="00EC6FA6">
      <w:pPr>
        <w:pStyle w:val="ListParagraph"/>
        <w:numPr>
          <w:ilvl w:val="0"/>
          <w:numId w:val="13"/>
        </w:numPr>
        <w:spacing w:line="259" w:lineRule="auto"/>
        <w:ind w:left="1080"/>
        <w:contextualSpacing/>
        <w:rPr>
          <w:rFonts w:ascii="Arial" w:hAnsi="Arial" w:cs="Arial"/>
          <w:color w:val="000000"/>
          <w:sz w:val="22"/>
          <w:szCs w:val="22"/>
        </w:rPr>
      </w:pPr>
      <w:r w:rsidRPr="00457BB3">
        <w:rPr>
          <w:rFonts w:ascii="Arial" w:hAnsi="Arial" w:cs="Arial"/>
          <w:sz w:val="22"/>
          <w:szCs w:val="22"/>
        </w:rPr>
        <w:t>Carafate (sucralfate suspension); #, A90</w:t>
      </w:r>
    </w:p>
    <w:p w14:paraId="700AF87A" w14:textId="77777777" w:rsidR="00EC6FA6" w:rsidRPr="00457BB3" w:rsidRDefault="00EC6FA6" w:rsidP="00EC6FA6">
      <w:pPr>
        <w:pStyle w:val="ListParagraph"/>
        <w:numPr>
          <w:ilvl w:val="0"/>
          <w:numId w:val="11"/>
        </w:numPr>
        <w:spacing w:line="259" w:lineRule="auto"/>
        <w:contextualSpacing/>
        <w:rPr>
          <w:rFonts w:ascii="Arial" w:hAnsi="Arial" w:cs="Arial"/>
          <w:color w:val="000000"/>
          <w:sz w:val="22"/>
          <w:szCs w:val="22"/>
        </w:rPr>
      </w:pPr>
      <w:proofErr w:type="spellStart"/>
      <w:r w:rsidRPr="00457BB3">
        <w:rPr>
          <w:rFonts w:ascii="Arial" w:hAnsi="Arial" w:cs="Arial"/>
          <w:color w:val="000000"/>
          <w:sz w:val="22"/>
          <w:szCs w:val="22"/>
        </w:rPr>
        <w:t>Onglyza</w:t>
      </w:r>
      <w:proofErr w:type="spellEnd"/>
      <w:r w:rsidRPr="00457BB3">
        <w:rPr>
          <w:rFonts w:ascii="Arial" w:hAnsi="Arial" w:cs="Arial"/>
          <w:color w:val="000000"/>
          <w:sz w:val="22"/>
          <w:szCs w:val="22"/>
        </w:rPr>
        <w:t xml:space="preserve"> (</w:t>
      </w:r>
      <w:proofErr w:type="spellStart"/>
      <w:r w:rsidRPr="00457BB3">
        <w:rPr>
          <w:rFonts w:ascii="Arial" w:hAnsi="Arial" w:cs="Arial"/>
          <w:color w:val="000000"/>
          <w:sz w:val="22"/>
          <w:szCs w:val="22"/>
        </w:rPr>
        <w:t>saxagliptin</w:t>
      </w:r>
      <w:proofErr w:type="spellEnd"/>
      <w:r w:rsidRPr="00457BB3">
        <w:rPr>
          <w:rFonts w:ascii="Arial" w:hAnsi="Arial" w:cs="Arial"/>
          <w:color w:val="000000"/>
          <w:sz w:val="22"/>
          <w:szCs w:val="22"/>
        </w:rPr>
        <w:t>); #, M90</w:t>
      </w:r>
    </w:p>
    <w:p w14:paraId="6FEB643B" w14:textId="77777777" w:rsidR="00EC6FA6" w:rsidRPr="00457BB3" w:rsidRDefault="00EC6FA6" w:rsidP="00EC6FA6">
      <w:pPr>
        <w:pStyle w:val="ListParagraph"/>
        <w:numPr>
          <w:ilvl w:val="0"/>
          <w:numId w:val="11"/>
        </w:numPr>
        <w:spacing w:line="259" w:lineRule="auto"/>
        <w:contextualSpacing/>
        <w:rPr>
          <w:rFonts w:ascii="Arial" w:hAnsi="Arial" w:cs="Arial"/>
          <w:color w:val="000000"/>
          <w:sz w:val="22"/>
          <w:szCs w:val="22"/>
        </w:rPr>
      </w:pPr>
      <w:proofErr w:type="spellStart"/>
      <w:r w:rsidRPr="00457BB3">
        <w:rPr>
          <w:rFonts w:ascii="Arial" w:eastAsia="Calibri" w:hAnsi="Arial" w:cs="Arial"/>
          <w:sz w:val="22"/>
          <w:szCs w:val="22"/>
        </w:rPr>
        <w:t>Selzentry</w:t>
      </w:r>
      <w:proofErr w:type="spellEnd"/>
      <w:r w:rsidRPr="00457BB3">
        <w:rPr>
          <w:rFonts w:ascii="Arial" w:eastAsia="Calibri" w:hAnsi="Arial" w:cs="Arial"/>
          <w:sz w:val="22"/>
          <w:szCs w:val="22"/>
        </w:rPr>
        <w:t xml:space="preserve"> (maraviroc tablet) – </w:t>
      </w:r>
      <w:r w:rsidRPr="00457BB3">
        <w:rPr>
          <w:rFonts w:ascii="Arial" w:eastAsia="Calibri" w:hAnsi="Arial" w:cs="Arial"/>
          <w:b/>
          <w:bCs/>
          <w:sz w:val="22"/>
          <w:szCs w:val="22"/>
        </w:rPr>
        <w:t>PA</w:t>
      </w:r>
      <w:r w:rsidRPr="00457BB3">
        <w:rPr>
          <w:rFonts w:ascii="Arial" w:eastAsia="Calibri" w:hAnsi="Arial" w:cs="Arial"/>
          <w:sz w:val="22"/>
          <w:szCs w:val="22"/>
        </w:rPr>
        <w:t xml:space="preserve">; A90 </w:t>
      </w:r>
    </w:p>
    <w:bookmarkEnd w:id="8"/>
    <w:p w14:paraId="34711010" w14:textId="77777777" w:rsidR="00EC6FA6" w:rsidRPr="00457BB3" w:rsidRDefault="00EC6FA6" w:rsidP="00EC6FA6">
      <w:pPr>
        <w:pStyle w:val="ListParagraph"/>
        <w:numPr>
          <w:ilvl w:val="0"/>
          <w:numId w:val="11"/>
        </w:numPr>
        <w:spacing w:line="259" w:lineRule="auto"/>
        <w:contextualSpacing/>
        <w:rPr>
          <w:rFonts w:ascii="Arial" w:hAnsi="Arial" w:cs="Arial"/>
          <w:color w:val="000000"/>
          <w:sz w:val="22"/>
          <w:szCs w:val="22"/>
        </w:rPr>
      </w:pPr>
      <w:proofErr w:type="spellStart"/>
      <w:r w:rsidRPr="00457BB3">
        <w:rPr>
          <w:rFonts w:ascii="Arial" w:hAnsi="Arial" w:cs="Arial"/>
          <w:color w:val="000000"/>
          <w:sz w:val="22"/>
          <w:szCs w:val="22"/>
        </w:rPr>
        <w:t>Toviaz</w:t>
      </w:r>
      <w:proofErr w:type="spellEnd"/>
      <w:r w:rsidRPr="00457BB3">
        <w:rPr>
          <w:rFonts w:ascii="Arial" w:hAnsi="Arial" w:cs="Arial"/>
          <w:color w:val="000000"/>
          <w:sz w:val="22"/>
          <w:szCs w:val="22"/>
        </w:rPr>
        <w:t xml:space="preserve"> (</w:t>
      </w:r>
      <w:proofErr w:type="spellStart"/>
      <w:r w:rsidRPr="00457BB3">
        <w:rPr>
          <w:rFonts w:ascii="Arial" w:hAnsi="Arial" w:cs="Arial"/>
          <w:color w:val="000000"/>
          <w:sz w:val="22"/>
          <w:szCs w:val="22"/>
        </w:rPr>
        <w:t>fesoterodine</w:t>
      </w:r>
      <w:proofErr w:type="spellEnd"/>
      <w:r w:rsidRPr="00457BB3">
        <w:rPr>
          <w:rFonts w:ascii="Arial" w:hAnsi="Arial" w:cs="Arial"/>
          <w:color w:val="000000"/>
          <w:sz w:val="22"/>
          <w:szCs w:val="22"/>
        </w:rPr>
        <w:t>); #, A90</w:t>
      </w:r>
    </w:p>
    <w:p w14:paraId="3B911A70" w14:textId="77777777" w:rsidR="00AD4486" w:rsidRDefault="00EC6FA6" w:rsidP="00EF5A5B">
      <w:pPr>
        <w:pStyle w:val="ListParagraph"/>
        <w:numPr>
          <w:ilvl w:val="0"/>
          <w:numId w:val="11"/>
        </w:numPr>
        <w:contextualSpacing/>
        <w:rPr>
          <w:rFonts w:ascii="Arial" w:hAnsi="Arial" w:cs="Arial"/>
          <w:sz w:val="22"/>
          <w:szCs w:val="22"/>
        </w:rPr>
        <w:sectPr w:rsidR="00AD4486" w:rsidSect="00AF611B">
          <w:pgSz w:w="12240" w:h="15840" w:code="1"/>
          <w:pgMar w:top="360" w:right="907" w:bottom="1080" w:left="907" w:header="720" w:footer="576" w:gutter="0"/>
          <w:cols w:sep="1" w:space="720"/>
          <w:docGrid w:linePitch="360"/>
        </w:sectPr>
      </w:pPr>
      <w:proofErr w:type="spellStart"/>
      <w:r w:rsidRPr="00457BB3">
        <w:rPr>
          <w:rFonts w:ascii="Arial" w:hAnsi="Arial" w:cs="Arial"/>
          <w:sz w:val="22"/>
          <w:szCs w:val="22"/>
        </w:rPr>
        <w:t>Xerese</w:t>
      </w:r>
      <w:proofErr w:type="spellEnd"/>
      <w:r w:rsidRPr="00457BB3">
        <w:rPr>
          <w:rFonts w:ascii="Arial" w:hAnsi="Arial" w:cs="Arial"/>
          <w:sz w:val="22"/>
          <w:szCs w:val="22"/>
        </w:rPr>
        <w:t xml:space="preserve"> (acyclovir/hydrocortisone)</w:t>
      </w:r>
    </w:p>
    <w:p w14:paraId="6512F4AC" w14:textId="77777777" w:rsidR="00A21D33" w:rsidRDefault="00A21D33" w:rsidP="00A21D33">
      <w:pPr>
        <w:pStyle w:val="Default"/>
        <w:pBdr>
          <w:bottom w:val="single" w:sz="18" w:space="1" w:color="auto"/>
        </w:pBdr>
        <w:tabs>
          <w:tab w:val="right" w:pos="10440"/>
        </w:tabs>
        <w:spacing w:after="240"/>
        <w:rPr>
          <w:color w:val="FF0000"/>
          <w:sz w:val="18"/>
          <w:szCs w:val="18"/>
        </w:rPr>
      </w:pPr>
      <w:r w:rsidRPr="00AD18B8">
        <w:rPr>
          <w:sz w:val="18"/>
          <w:szCs w:val="18"/>
        </w:rPr>
        <w:lastRenderedPageBreak/>
        <w:t>P</w:t>
      </w:r>
      <w:r>
        <w:rPr>
          <w:sz w:val="18"/>
          <w:szCs w:val="18"/>
        </w:rPr>
        <w:t>harmacy Facts 231</w:t>
      </w:r>
      <w:r>
        <w:rPr>
          <w:color w:val="FF0000"/>
          <w:sz w:val="18"/>
          <w:szCs w:val="18"/>
        </w:rPr>
        <w:tab/>
      </w:r>
      <w:r w:rsidRPr="00EC1948">
        <w:rPr>
          <w:color w:val="auto"/>
          <w:sz w:val="18"/>
          <w:szCs w:val="18"/>
        </w:rPr>
        <w:t xml:space="preserve">Page </w:t>
      </w:r>
      <w:r>
        <w:rPr>
          <w:color w:val="auto"/>
          <w:sz w:val="18"/>
          <w:szCs w:val="18"/>
        </w:rPr>
        <w:t>4</w:t>
      </w:r>
      <w:r w:rsidRPr="00EC1948">
        <w:rPr>
          <w:noProof/>
          <w:color w:val="auto"/>
          <w:sz w:val="18"/>
          <w:szCs w:val="18"/>
        </w:rPr>
        <w:t xml:space="preserve"> of </w:t>
      </w:r>
      <w:r>
        <w:rPr>
          <w:noProof/>
          <w:color w:val="auto"/>
          <w:sz w:val="18"/>
          <w:szCs w:val="18"/>
        </w:rPr>
        <w:t>4</w:t>
      </w:r>
    </w:p>
    <w:p w14:paraId="1BFABDE7" w14:textId="77777777" w:rsidR="00A21D33" w:rsidRPr="00A21D33" w:rsidRDefault="00A21D33" w:rsidP="00A21D33">
      <w:pPr>
        <w:pStyle w:val="Heading1"/>
        <w:spacing w:line="276" w:lineRule="auto"/>
        <w:jc w:val="left"/>
        <w:rPr>
          <w:rFonts w:ascii="Arial Black" w:hAnsi="Arial Black"/>
          <w:sz w:val="24"/>
        </w:rPr>
      </w:pPr>
      <w:r w:rsidRPr="00A21D33">
        <w:rPr>
          <w:rFonts w:ascii="Arial Black" w:hAnsi="Arial Black"/>
          <w:sz w:val="24"/>
        </w:rPr>
        <w:t>Updated MassHealth Over-the-Counter Drug List</w:t>
      </w:r>
    </w:p>
    <w:p w14:paraId="2C3A3314" w14:textId="77777777" w:rsidR="00A21D33" w:rsidRDefault="00A21D33" w:rsidP="00A21D33">
      <w:pPr>
        <w:rPr>
          <w:rFonts w:ascii="Arial" w:hAnsi="Arial" w:cs="Arial"/>
          <w:sz w:val="22"/>
          <w:szCs w:val="22"/>
        </w:rPr>
      </w:pPr>
    </w:p>
    <w:p w14:paraId="0343FBEE" w14:textId="4D337C75" w:rsidR="00EC6FA6" w:rsidRDefault="00EC6FA6" w:rsidP="00A21D33">
      <w:pPr>
        <w:rPr>
          <w:rFonts w:ascii="Arial" w:hAnsi="Arial" w:cs="Arial"/>
          <w:sz w:val="22"/>
          <w:szCs w:val="22"/>
        </w:rPr>
      </w:pPr>
      <w:r w:rsidRPr="006305E2">
        <w:rPr>
          <w:rFonts w:ascii="Arial" w:hAnsi="Arial" w:cs="Arial"/>
          <w:sz w:val="22"/>
          <w:szCs w:val="22"/>
        </w:rPr>
        <w:t xml:space="preserve">The MassHealth Over-the-Counter Drug List has been updated to reflect recent changes to the </w:t>
      </w:r>
      <w:r w:rsidR="0042538A">
        <w:rPr>
          <w:rFonts w:ascii="Arial" w:hAnsi="Arial" w:cs="Arial"/>
          <w:sz w:val="22"/>
          <w:szCs w:val="22"/>
        </w:rPr>
        <w:t>MHDL</w:t>
      </w:r>
      <w:r w:rsidRPr="006305E2">
        <w:rPr>
          <w:rFonts w:ascii="Arial" w:hAnsi="Arial" w:cs="Arial"/>
          <w:sz w:val="22"/>
          <w:szCs w:val="22"/>
        </w:rPr>
        <w:t>.</w:t>
      </w:r>
    </w:p>
    <w:p w14:paraId="05A76236" w14:textId="77777777" w:rsidR="00400BE4" w:rsidRPr="006305E2" w:rsidRDefault="00400BE4" w:rsidP="00A21D33">
      <w:pPr>
        <w:rPr>
          <w:rFonts w:ascii="Arial" w:hAnsi="Arial" w:cs="Arial"/>
          <w:sz w:val="22"/>
          <w:szCs w:val="22"/>
        </w:rPr>
      </w:pPr>
    </w:p>
    <w:p w14:paraId="62248C7C" w14:textId="2D64343C" w:rsidR="00EC6FA6" w:rsidRPr="0071247F" w:rsidRDefault="00EC6FA6" w:rsidP="00EF5A5B">
      <w:pPr>
        <w:autoSpaceDE w:val="0"/>
        <w:autoSpaceDN w:val="0"/>
        <w:adjustRightInd w:val="0"/>
        <w:rPr>
          <w:rFonts w:ascii="Arial" w:hAnsi="Arial" w:cs="Arial"/>
          <w:color w:val="000000"/>
          <w:sz w:val="22"/>
          <w:szCs w:val="22"/>
        </w:rPr>
      </w:pPr>
      <w:r w:rsidRPr="0071247F">
        <w:rPr>
          <w:rFonts w:ascii="Arial" w:hAnsi="Arial" w:cs="Arial"/>
          <w:color w:val="000000"/>
          <w:sz w:val="22"/>
          <w:szCs w:val="22"/>
        </w:rPr>
        <w:t xml:space="preserve">Effective </w:t>
      </w:r>
      <w:r w:rsidRPr="0071247F">
        <w:rPr>
          <w:rFonts w:ascii="Arial" w:hAnsi="Arial" w:cs="Arial"/>
          <w:sz w:val="22"/>
          <w:szCs w:val="22"/>
        </w:rPr>
        <w:t xml:space="preserve">October 1, 2024, </w:t>
      </w:r>
      <w:r w:rsidRPr="0071247F">
        <w:rPr>
          <w:rFonts w:ascii="Arial" w:hAnsi="Arial" w:cs="Arial"/>
          <w:color w:val="000000"/>
          <w:sz w:val="22"/>
          <w:szCs w:val="22"/>
        </w:rPr>
        <w:t xml:space="preserve">the following topical anesthetic agent will be added to the MassHealth Over-the-Counter Drug List. </w:t>
      </w:r>
    </w:p>
    <w:p w14:paraId="2F2E65A4" w14:textId="77777777" w:rsidR="00EC6FA6" w:rsidRPr="006305E2" w:rsidRDefault="00EC6FA6" w:rsidP="00EC6FA6">
      <w:pPr>
        <w:numPr>
          <w:ilvl w:val="0"/>
          <w:numId w:val="6"/>
        </w:numPr>
        <w:autoSpaceDE w:val="0"/>
        <w:autoSpaceDN w:val="0"/>
        <w:adjustRightInd w:val="0"/>
        <w:spacing w:line="276" w:lineRule="auto"/>
        <w:ind w:left="810"/>
        <w:rPr>
          <w:rFonts w:ascii="Arial" w:hAnsi="Arial" w:cs="Arial"/>
          <w:sz w:val="22"/>
          <w:szCs w:val="22"/>
        </w:rPr>
      </w:pPr>
      <w:r w:rsidRPr="006305E2">
        <w:rPr>
          <w:rFonts w:ascii="Arial" w:hAnsi="Arial" w:cs="Arial"/>
          <w:color w:val="000000"/>
          <w:sz w:val="22"/>
          <w:szCs w:val="22"/>
        </w:rPr>
        <w:t xml:space="preserve"> lidocaine 4% patch – </w:t>
      </w:r>
      <w:r w:rsidRPr="006305E2">
        <w:rPr>
          <w:rFonts w:ascii="Arial" w:hAnsi="Arial" w:cs="Arial"/>
          <w:b/>
          <w:bCs/>
          <w:color w:val="000000"/>
          <w:sz w:val="22"/>
          <w:szCs w:val="22"/>
        </w:rPr>
        <w:t>PA &gt; 4 units/day</w:t>
      </w:r>
    </w:p>
    <w:p w14:paraId="21FE00F9" w14:textId="77777777" w:rsidR="00EC6FA6" w:rsidRPr="006305E2" w:rsidRDefault="00EC6FA6" w:rsidP="00EC6FA6">
      <w:pPr>
        <w:rPr>
          <w:rFonts w:cs="Arial"/>
          <w:sz w:val="22"/>
          <w:szCs w:val="22"/>
        </w:rPr>
      </w:pPr>
    </w:p>
    <w:p w14:paraId="0F8028D4" w14:textId="2878135F" w:rsidR="00CB7178" w:rsidRPr="006305E2" w:rsidRDefault="00CB7178" w:rsidP="00EC6FA6">
      <w:pPr>
        <w:autoSpaceDE w:val="0"/>
        <w:autoSpaceDN w:val="0"/>
        <w:adjustRightInd w:val="0"/>
        <w:spacing w:line="276" w:lineRule="auto"/>
        <w:rPr>
          <w:rFonts w:ascii="Arial" w:hAnsi="Arial"/>
          <w:b/>
          <w:bCs/>
          <w:sz w:val="22"/>
          <w:szCs w:val="22"/>
        </w:rPr>
      </w:pPr>
    </w:p>
    <w:p w14:paraId="42AB0357" w14:textId="77777777" w:rsidR="009D6AAA" w:rsidRDefault="009D6AAA" w:rsidP="009D6AAA">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2EC450F4" w14:textId="77777777" w:rsidR="006305E2" w:rsidRDefault="006305E2" w:rsidP="009D6AAA">
      <w:pPr>
        <w:shd w:val="clear" w:color="auto" w:fill="FFFFFF"/>
        <w:ind w:left="729" w:hanging="630"/>
        <w:jc w:val="center"/>
        <w:rPr>
          <w:rFonts w:ascii="Arial" w:hAnsi="Arial"/>
          <w:b/>
          <w:bCs/>
          <w:sz w:val="18"/>
          <w:szCs w:val="18"/>
        </w:rPr>
      </w:pPr>
    </w:p>
    <w:p w14:paraId="3662CA4D" w14:textId="77777777" w:rsidR="00AF611B" w:rsidRPr="00AF611B" w:rsidRDefault="00AF611B" w:rsidP="00AF611B">
      <w:pPr>
        <w:pStyle w:val="Default"/>
        <w:spacing w:after="120"/>
        <w:ind w:left="360"/>
        <w:rPr>
          <w:rFonts w:ascii="Arial" w:hAnsi="Arial" w:cs="Arial"/>
          <w:sz w:val="18"/>
          <w:szCs w:val="18"/>
        </w:rPr>
      </w:pPr>
      <w:r w:rsidRPr="00AF611B">
        <w:rPr>
          <w:rFonts w:ascii="Arial" w:hAnsi="Arial" w:cs="Arial"/>
          <w:b/>
          <w:bCs/>
          <w:sz w:val="18"/>
          <w:szCs w:val="18"/>
        </w:rPr>
        <w:t xml:space="preserve"># </w:t>
      </w:r>
      <w:r w:rsidRPr="00AF611B">
        <w:rPr>
          <w:rFonts w:ascii="Arial" w:hAnsi="Arial" w:cs="Arial"/>
          <w:sz w:val="18"/>
          <w:szCs w:val="18"/>
        </w:rPr>
        <w:t xml:space="preserve">This designates a brand-name drug with FDA “A”-rated generic equivalents. PA is required for the brand, unless a particular form of that drug (for example, tablet, capsule, or liquid) does not have an FDA “A”-rated generic equivalent. </w:t>
      </w:r>
    </w:p>
    <w:p w14:paraId="06F7BCAD" w14:textId="77777777" w:rsidR="00AF611B" w:rsidRPr="00AF611B" w:rsidRDefault="00AF611B" w:rsidP="00AF611B">
      <w:pPr>
        <w:spacing w:after="120"/>
        <w:ind w:left="360" w:right="547"/>
        <w:rPr>
          <w:rFonts w:ascii="Arial" w:hAnsi="Arial" w:cs="Arial"/>
          <w:sz w:val="18"/>
          <w:szCs w:val="18"/>
        </w:rPr>
      </w:pPr>
      <w:r w:rsidRPr="00AF611B">
        <w:rPr>
          <w:rFonts w:ascii="Arial" w:hAnsi="Arial" w:cs="Arial"/>
          <w:sz w:val="18"/>
          <w:szCs w:val="18"/>
          <w:vertAlign w:val="superscript"/>
        </w:rPr>
        <w:t>MB</w:t>
      </w:r>
      <w:r w:rsidRPr="00AF611B">
        <w:rPr>
          <w:rFonts w:ascii="Arial" w:hAnsi="Arial" w:cs="Arial"/>
          <w:sz w:val="18"/>
          <w:szCs w:val="18"/>
        </w:rPr>
        <w:t xml:space="preserve"> This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690DDE03" w14:textId="77777777" w:rsidR="00AF611B" w:rsidRPr="00AF611B" w:rsidRDefault="00AF611B" w:rsidP="00AF611B">
      <w:pPr>
        <w:pStyle w:val="Default"/>
        <w:spacing w:after="120"/>
        <w:ind w:left="360"/>
        <w:rPr>
          <w:rFonts w:ascii="Arial" w:hAnsi="Arial" w:cs="Arial"/>
          <w:sz w:val="18"/>
          <w:szCs w:val="18"/>
        </w:rPr>
      </w:pPr>
      <w:r w:rsidRPr="00AF611B">
        <w:rPr>
          <w:rFonts w:ascii="Arial" w:hAnsi="Arial" w:cs="Arial"/>
          <w:b/>
          <w:bCs/>
          <w:sz w:val="18"/>
          <w:szCs w:val="18"/>
        </w:rPr>
        <w:t xml:space="preserve">PA </w:t>
      </w:r>
      <w:r w:rsidRPr="00AF611B">
        <w:rPr>
          <w:rFonts w:ascii="Arial" w:hAnsi="Arial" w:cs="Arial"/>
          <w:sz w:val="18"/>
          <w:szCs w:val="18"/>
        </w:rPr>
        <w:t xml:space="preserve">Prior authorization is required. The prescriber must obtain prior authorization for the drug in order for the provider to receive reimbursement. Note: PA applies to both the brand-name and the FDA “A”-rated generic equivalent of listed product. </w:t>
      </w:r>
    </w:p>
    <w:p w14:paraId="540AF686" w14:textId="77777777" w:rsidR="00AF611B" w:rsidRPr="00AF611B" w:rsidRDefault="00AF611B" w:rsidP="00AF611B">
      <w:pPr>
        <w:spacing w:after="120"/>
        <w:ind w:left="360" w:right="547"/>
        <w:rPr>
          <w:rFonts w:ascii="Arial" w:hAnsi="Arial" w:cs="Arial"/>
          <w:sz w:val="18"/>
          <w:szCs w:val="18"/>
        </w:rPr>
      </w:pPr>
      <w:r w:rsidRPr="00AF611B">
        <w:rPr>
          <w:rFonts w:ascii="Arial" w:hAnsi="Arial" w:cs="Arial"/>
          <w:b/>
          <w:sz w:val="18"/>
          <w:szCs w:val="18"/>
          <w:vertAlign w:val="superscript"/>
        </w:rPr>
        <w:t>A90</w:t>
      </w:r>
      <w:r w:rsidRPr="00AF611B">
        <w:rPr>
          <w:rFonts w:ascii="Arial" w:hAnsi="Arial" w:cs="Arial"/>
          <w:sz w:val="18"/>
          <w:szCs w:val="18"/>
        </w:rPr>
        <w:t xml:space="preserve"> Allowable 90-day supply. Dispensing in up to a 90-day supply is allowed. May not include all strengths or formulations. Quantity limits and other restrictions may apply. </w:t>
      </w:r>
    </w:p>
    <w:p w14:paraId="43A05FED" w14:textId="77777777" w:rsidR="00AF611B" w:rsidRPr="00AF611B" w:rsidRDefault="00AF611B" w:rsidP="00AF611B">
      <w:pPr>
        <w:spacing w:after="120"/>
        <w:ind w:left="360" w:right="547"/>
        <w:rPr>
          <w:rFonts w:ascii="Arial" w:hAnsi="Arial" w:cs="Arial"/>
          <w:sz w:val="18"/>
          <w:szCs w:val="18"/>
        </w:rPr>
      </w:pPr>
      <w:r w:rsidRPr="00AF611B">
        <w:rPr>
          <w:rFonts w:ascii="Arial" w:hAnsi="Arial" w:cs="Arial"/>
          <w:b/>
          <w:sz w:val="18"/>
          <w:szCs w:val="18"/>
          <w:vertAlign w:val="superscript"/>
        </w:rPr>
        <w:t>BP</w:t>
      </w:r>
      <w:r w:rsidRPr="00AF611B">
        <w:rPr>
          <w:rFonts w:ascii="Arial" w:hAnsi="Arial" w:cs="Arial"/>
          <w:sz w:val="18"/>
          <w:szCs w:val="18"/>
        </w:rPr>
        <w:t xml:space="preserve"> Brand Preferred over generic equivalents. In general, MassHealth requires a trial of the preferred drug or clinical rationale for prescribing the non-preferred drug generic equivalent.</w:t>
      </w:r>
    </w:p>
    <w:p w14:paraId="7A8CDA7D" w14:textId="77777777" w:rsidR="00AF611B" w:rsidRPr="00AF611B" w:rsidRDefault="00AF611B" w:rsidP="00AF611B">
      <w:pPr>
        <w:spacing w:after="120"/>
        <w:ind w:left="360" w:right="547"/>
        <w:rPr>
          <w:rFonts w:ascii="Arial" w:hAnsi="Arial" w:cs="Arial"/>
          <w:sz w:val="18"/>
          <w:szCs w:val="18"/>
        </w:rPr>
      </w:pPr>
      <w:r w:rsidRPr="00AF611B">
        <w:rPr>
          <w:rFonts w:ascii="Arial" w:hAnsi="Arial" w:cs="Arial"/>
          <w:b/>
          <w:sz w:val="18"/>
          <w:szCs w:val="18"/>
          <w:vertAlign w:val="superscript"/>
        </w:rPr>
        <w:t>CO</w:t>
      </w:r>
      <w:r w:rsidRPr="00AF611B">
        <w:rPr>
          <w:rFonts w:ascii="Arial" w:hAnsi="Arial" w:cs="Arial"/>
          <w:sz w:val="18"/>
          <w:szCs w:val="18"/>
        </w:rPr>
        <w:t xml:space="preserve"> Carve-Out. This agent is listed on the Acute Hospital Carve-Out Drugs List and is subject to additional monitoring and billing requirements.</w:t>
      </w:r>
    </w:p>
    <w:p w14:paraId="08A6F3FC" w14:textId="77777777" w:rsidR="00AF611B" w:rsidRPr="00AF611B" w:rsidRDefault="00AF611B" w:rsidP="00AF611B">
      <w:pPr>
        <w:spacing w:after="120"/>
        <w:ind w:left="360" w:right="547"/>
        <w:rPr>
          <w:rFonts w:ascii="Arial" w:hAnsi="Arial" w:cs="Arial"/>
          <w:sz w:val="18"/>
          <w:szCs w:val="18"/>
        </w:rPr>
      </w:pPr>
      <w:bookmarkStart w:id="9" w:name="_Hlk99013636"/>
      <w:r w:rsidRPr="00AF611B">
        <w:rPr>
          <w:rFonts w:ascii="Arial" w:hAnsi="Arial" w:cs="Arial"/>
          <w:b/>
          <w:sz w:val="18"/>
          <w:szCs w:val="18"/>
          <w:vertAlign w:val="superscript"/>
        </w:rPr>
        <w:t>M90</w:t>
      </w:r>
      <w:r w:rsidRPr="00AF611B">
        <w:rPr>
          <w:rFonts w:ascii="Arial" w:hAnsi="Arial" w:cs="Arial"/>
          <w:sz w:val="18"/>
          <w:szCs w:val="18"/>
        </w:rPr>
        <w:t xml:space="preserve"> Mandatory 90-day supply. After dispensing up to a 30-day supply initial fill, dispensing in a 90-day supply is required. May not include all strengths or formulations. Quantity limits and other restrictions may also apply. </w:t>
      </w:r>
    </w:p>
    <w:p w14:paraId="07EAC6B8" w14:textId="77777777" w:rsidR="00AF611B" w:rsidRPr="00AF611B" w:rsidRDefault="00AF611B" w:rsidP="00AF611B">
      <w:pPr>
        <w:spacing w:after="120"/>
        <w:ind w:left="360" w:right="547"/>
        <w:rPr>
          <w:rFonts w:ascii="Arial" w:hAnsi="Arial" w:cs="Arial"/>
          <w:sz w:val="18"/>
          <w:szCs w:val="18"/>
        </w:rPr>
      </w:pPr>
      <w:r w:rsidRPr="00AF611B">
        <w:rPr>
          <w:rFonts w:ascii="Arial" w:hAnsi="Arial" w:cs="Arial"/>
          <w:b/>
          <w:sz w:val="18"/>
          <w:szCs w:val="18"/>
          <w:vertAlign w:val="superscript"/>
        </w:rPr>
        <w:t>1</w:t>
      </w:r>
      <w:r w:rsidRPr="00AF611B">
        <w:rPr>
          <w:rFonts w:ascii="Arial" w:hAnsi="Arial" w:cs="Arial"/>
          <w:b/>
          <w:sz w:val="18"/>
          <w:szCs w:val="18"/>
        </w:rPr>
        <w:t xml:space="preserve"> </w:t>
      </w:r>
      <w:r w:rsidRPr="00AF611B">
        <w:rPr>
          <w:rFonts w:ascii="Arial" w:hAnsi="Arial" w:cs="Arial"/>
          <w:sz w:val="18"/>
          <w:szCs w:val="18"/>
        </w:rPr>
        <w:t>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Massachusetts Department of Public Health without PA (130 CMR 406.413(C)). In cases where free vaccines are available to providers for specific populations (e.g. children, high risk, etc.), MassHealth will reimburse the provider only for individuals not eligible for the free vaccines. Notwithstanding the above, MassHealth will pay pharmacies for seasonal flu vaccine serum without prior authorization, if the vaccine is administered in the pharmacy.</w:t>
      </w:r>
    </w:p>
    <w:bookmarkEnd w:id="9"/>
    <w:p w14:paraId="1E0F61C7" w14:textId="77777777" w:rsidR="009D6AAA" w:rsidRDefault="009D6AAA" w:rsidP="00AF611B">
      <w:pPr>
        <w:shd w:val="clear" w:color="auto" w:fill="FFFFFF"/>
        <w:tabs>
          <w:tab w:val="left" w:pos="180"/>
          <w:tab w:val="left" w:pos="360"/>
        </w:tabs>
        <w:ind w:left="270" w:hanging="360"/>
        <w:rPr>
          <w:bCs/>
          <w:sz w:val="18"/>
          <w:szCs w:val="18"/>
        </w:rPr>
      </w:pPr>
    </w:p>
    <w:sectPr w:rsidR="009D6AAA" w:rsidSect="00AF611B">
      <w:footerReference w:type="default" r:id="rId16"/>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91BE9" w14:textId="77777777" w:rsidR="007B1EEF" w:rsidRDefault="007B1EEF" w:rsidP="00492602">
      <w:r>
        <w:separator/>
      </w:r>
    </w:p>
  </w:endnote>
  <w:endnote w:type="continuationSeparator" w:id="0">
    <w:p w14:paraId="67D44B04" w14:textId="77777777" w:rsidR="007B1EEF" w:rsidRDefault="007B1EEF"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FF02" w14:textId="5F5A65B2" w:rsidR="00637A67" w:rsidRDefault="006D3B5F" w:rsidP="00AD4486">
    <w:pPr>
      <w:pBdr>
        <w:top w:val="single" w:sz="18" w:space="1" w:color="auto"/>
      </w:pBdr>
      <w:tabs>
        <w:tab w:val="left" w:pos="-90"/>
        <w:tab w:val="left" w:pos="530"/>
        <w:tab w:val="center" w:pos="5400"/>
      </w:tabs>
      <w:autoSpaceDE w:val="0"/>
      <w:autoSpaceDN w:val="0"/>
      <w:adjustRightInd w:val="0"/>
      <w:jc w:val="center"/>
      <w:textAlignment w:val="baselin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C125" w14:textId="77777777" w:rsidR="00637A67" w:rsidRDefault="00637A67">
    <w:pPr>
      <w:pStyle w:val="Footer"/>
    </w:pPr>
    <w:r>
      <w:t>[Type text]</w:t>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4D1D" w14:textId="77777777" w:rsidR="00AD4486" w:rsidRDefault="00AD4486" w:rsidP="00A21D33">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66FC2BA2" w14:textId="77777777" w:rsidR="00AD4486" w:rsidRPr="00E24139" w:rsidRDefault="00156804" w:rsidP="00A21D33">
    <w:pPr>
      <w:tabs>
        <w:tab w:val="left" w:pos="-90"/>
      </w:tabs>
      <w:autoSpaceDE w:val="0"/>
      <w:autoSpaceDN w:val="0"/>
      <w:adjustRightInd w:val="0"/>
      <w:jc w:val="center"/>
      <w:textAlignment w:val="baseline"/>
    </w:pPr>
    <w:hyperlink r:id="rId1" w:history="1">
      <w:r w:rsidR="00AD4486" w:rsidRPr="00386AF8">
        <w:rPr>
          <w:rStyle w:val="Hyperlink"/>
          <w:rFonts w:ascii="Arial" w:hAnsi="Arial" w:cs="Arial"/>
          <w:iCs/>
          <w:sz w:val="18"/>
          <w:szCs w:val="18"/>
        </w:rPr>
        <w:t>PharmFactsMA@Conduent.com</w:t>
      </w:r>
    </w:hyperlink>
    <w:r w:rsidR="00AD4486">
      <w:rPr>
        <w:rFonts w:ascii="Arial" w:hAnsi="Arial" w:cs="Arial"/>
        <w:iCs/>
        <w:sz w:val="18"/>
        <w:szCs w:val="18"/>
      </w:rPr>
      <w:t xml:space="preserve">. </w:t>
    </w:r>
  </w:p>
  <w:p w14:paraId="7322CC20" w14:textId="77777777" w:rsidR="00AD4486" w:rsidRDefault="00AD4486" w:rsidP="00A21D33">
    <w:pPr>
      <w:pStyle w:val="Footer"/>
      <w:tabs>
        <w:tab w:val="clear" w:pos="4680"/>
        <w:tab w:val="clear" w:pos="9360"/>
        <w:tab w:val="left" w:pos="947"/>
        <w:tab w:val="left" w:pos="3840"/>
      </w:tabs>
      <w:spacing w:before="120"/>
    </w:pPr>
    <w:r>
      <w:tab/>
    </w:r>
  </w:p>
  <w:p w14:paraId="18FDE582" w14:textId="77777777" w:rsidR="00AD4486" w:rsidRDefault="00AD4486" w:rsidP="00AF611B">
    <w:pPr>
      <w:pStyle w:val="Footer"/>
      <w:tabs>
        <w:tab w:val="clear" w:pos="4680"/>
        <w:tab w:val="clear" w:pos="9360"/>
        <w:tab w:val="left" w:pos="947"/>
        <w:tab w:val="left" w:pos="3840"/>
      </w:tabs>
      <w:spacing w:before="12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708B" w14:textId="77777777" w:rsidR="007B1EEF" w:rsidRDefault="007B1EEF" w:rsidP="00492602">
      <w:r>
        <w:separator/>
      </w:r>
    </w:p>
  </w:footnote>
  <w:footnote w:type="continuationSeparator" w:id="0">
    <w:p w14:paraId="0610A0EC" w14:textId="77777777" w:rsidR="007B1EEF" w:rsidRDefault="007B1EEF" w:rsidP="0049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362900">
    <w:abstractNumId w:val="6"/>
  </w:num>
  <w:num w:numId="2" w16cid:durableId="177275884">
    <w:abstractNumId w:val="8"/>
  </w:num>
  <w:num w:numId="3" w16cid:durableId="1256865367">
    <w:abstractNumId w:val="10"/>
  </w:num>
  <w:num w:numId="4" w16cid:durableId="1261255442">
    <w:abstractNumId w:val="3"/>
  </w:num>
  <w:num w:numId="5" w16cid:durableId="2115860523">
    <w:abstractNumId w:val="5"/>
  </w:num>
  <w:num w:numId="6" w16cid:durableId="519122462">
    <w:abstractNumId w:val="7"/>
  </w:num>
  <w:num w:numId="7" w16cid:durableId="30572276">
    <w:abstractNumId w:val="11"/>
  </w:num>
  <w:num w:numId="8" w16cid:durableId="360130868">
    <w:abstractNumId w:val="2"/>
  </w:num>
  <w:num w:numId="9" w16cid:durableId="1460032301">
    <w:abstractNumId w:val="0"/>
  </w:num>
  <w:num w:numId="10" w16cid:durableId="1754087416">
    <w:abstractNumId w:val="4"/>
  </w:num>
  <w:num w:numId="11" w16cid:durableId="573467208">
    <w:abstractNumId w:val="9"/>
  </w:num>
  <w:num w:numId="12" w16cid:durableId="552739578">
    <w:abstractNumId w:val="1"/>
  </w:num>
  <w:num w:numId="13" w16cid:durableId="265770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5108C"/>
    <w:rsid w:val="00054839"/>
    <w:rsid w:val="00065861"/>
    <w:rsid w:val="00074014"/>
    <w:rsid w:val="00081E8E"/>
    <w:rsid w:val="000B340B"/>
    <w:rsid w:val="000D1502"/>
    <w:rsid w:val="000D221A"/>
    <w:rsid w:val="000F0631"/>
    <w:rsid w:val="00137D3D"/>
    <w:rsid w:val="00140D08"/>
    <w:rsid w:val="00147437"/>
    <w:rsid w:val="00156804"/>
    <w:rsid w:val="00157A49"/>
    <w:rsid w:val="00170017"/>
    <w:rsid w:val="001721D8"/>
    <w:rsid w:val="00183133"/>
    <w:rsid w:val="0018357E"/>
    <w:rsid w:val="001864A9"/>
    <w:rsid w:val="001C1481"/>
    <w:rsid w:val="001C17CD"/>
    <w:rsid w:val="001E0E7A"/>
    <w:rsid w:val="001F701D"/>
    <w:rsid w:val="002509E9"/>
    <w:rsid w:val="0027289D"/>
    <w:rsid w:val="00276F3A"/>
    <w:rsid w:val="00286CBE"/>
    <w:rsid w:val="002C3773"/>
    <w:rsid w:val="002C54C4"/>
    <w:rsid w:val="002C690F"/>
    <w:rsid w:val="002C7C67"/>
    <w:rsid w:val="002D390F"/>
    <w:rsid w:val="002D738C"/>
    <w:rsid w:val="003152DA"/>
    <w:rsid w:val="0033053B"/>
    <w:rsid w:val="00360067"/>
    <w:rsid w:val="0036343A"/>
    <w:rsid w:val="0037373E"/>
    <w:rsid w:val="00381A1E"/>
    <w:rsid w:val="00382054"/>
    <w:rsid w:val="003B3B03"/>
    <w:rsid w:val="003B6839"/>
    <w:rsid w:val="003E18CC"/>
    <w:rsid w:val="00400BE4"/>
    <w:rsid w:val="00410B13"/>
    <w:rsid w:val="00417EB4"/>
    <w:rsid w:val="0042538A"/>
    <w:rsid w:val="00426F18"/>
    <w:rsid w:val="0043707B"/>
    <w:rsid w:val="004417DC"/>
    <w:rsid w:val="00447A5F"/>
    <w:rsid w:val="004664D3"/>
    <w:rsid w:val="00492602"/>
    <w:rsid w:val="004A3BAA"/>
    <w:rsid w:val="004A7395"/>
    <w:rsid w:val="004C1322"/>
    <w:rsid w:val="004C4924"/>
    <w:rsid w:val="004E3D20"/>
    <w:rsid w:val="004F5612"/>
    <w:rsid w:val="00516394"/>
    <w:rsid w:val="005265DC"/>
    <w:rsid w:val="005314A6"/>
    <w:rsid w:val="005502E1"/>
    <w:rsid w:val="0056481B"/>
    <w:rsid w:val="00571898"/>
    <w:rsid w:val="00574F07"/>
    <w:rsid w:val="00581E50"/>
    <w:rsid w:val="005842A0"/>
    <w:rsid w:val="005958DD"/>
    <w:rsid w:val="005A57BA"/>
    <w:rsid w:val="00612916"/>
    <w:rsid w:val="00623469"/>
    <w:rsid w:val="006305E2"/>
    <w:rsid w:val="00637A67"/>
    <w:rsid w:val="006421B9"/>
    <w:rsid w:val="00650095"/>
    <w:rsid w:val="00651CA7"/>
    <w:rsid w:val="00652261"/>
    <w:rsid w:val="00666BCC"/>
    <w:rsid w:val="00674418"/>
    <w:rsid w:val="00674428"/>
    <w:rsid w:val="00686C26"/>
    <w:rsid w:val="00690023"/>
    <w:rsid w:val="00692301"/>
    <w:rsid w:val="006931EA"/>
    <w:rsid w:val="0069772F"/>
    <w:rsid w:val="006D3B5F"/>
    <w:rsid w:val="006E0C20"/>
    <w:rsid w:val="006E22A3"/>
    <w:rsid w:val="006F35F9"/>
    <w:rsid w:val="0071247F"/>
    <w:rsid w:val="007319D7"/>
    <w:rsid w:val="00731FAF"/>
    <w:rsid w:val="007326EC"/>
    <w:rsid w:val="007426BF"/>
    <w:rsid w:val="00760FDF"/>
    <w:rsid w:val="00770E52"/>
    <w:rsid w:val="007757E7"/>
    <w:rsid w:val="007A41F5"/>
    <w:rsid w:val="007B1EEF"/>
    <w:rsid w:val="007B7425"/>
    <w:rsid w:val="007C290F"/>
    <w:rsid w:val="007C6D14"/>
    <w:rsid w:val="007F5417"/>
    <w:rsid w:val="00812480"/>
    <w:rsid w:val="00821937"/>
    <w:rsid w:val="008403CA"/>
    <w:rsid w:val="0085395A"/>
    <w:rsid w:val="00853F8E"/>
    <w:rsid w:val="00861844"/>
    <w:rsid w:val="00872E7F"/>
    <w:rsid w:val="00880FA9"/>
    <w:rsid w:val="00884DF4"/>
    <w:rsid w:val="008930F1"/>
    <w:rsid w:val="00893F45"/>
    <w:rsid w:val="008978FF"/>
    <w:rsid w:val="008B348F"/>
    <w:rsid w:val="008C5414"/>
    <w:rsid w:val="008E62B4"/>
    <w:rsid w:val="008F0130"/>
    <w:rsid w:val="008F2307"/>
    <w:rsid w:val="008F2E4C"/>
    <w:rsid w:val="00906EEC"/>
    <w:rsid w:val="009166DF"/>
    <w:rsid w:val="009204C7"/>
    <w:rsid w:val="00922030"/>
    <w:rsid w:val="00941258"/>
    <w:rsid w:val="00942245"/>
    <w:rsid w:val="00956812"/>
    <w:rsid w:val="009725E5"/>
    <w:rsid w:val="009759A0"/>
    <w:rsid w:val="00981567"/>
    <w:rsid w:val="009C3981"/>
    <w:rsid w:val="009D4391"/>
    <w:rsid w:val="009D6AAA"/>
    <w:rsid w:val="009F0440"/>
    <w:rsid w:val="00A01DE3"/>
    <w:rsid w:val="00A11371"/>
    <w:rsid w:val="00A120E1"/>
    <w:rsid w:val="00A21D33"/>
    <w:rsid w:val="00A262A2"/>
    <w:rsid w:val="00A330FD"/>
    <w:rsid w:val="00A343A9"/>
    <w:rsid w:val="00A405B4"/>
    <w:rsid w:val="00A5239C"/>
    <w:rsid w:val="00A62A02"/>
    <w:rsid w:val="00A650DC"/>
    <w:rsid w:val="00A84255"/>
    <w:rsid w:val="00A87E7D"/>
    <w:rsid w:val="00A91725"/>
    <w:rsid w:val="00AC1AC7"/>
    <w:rsid w:val="00AD18B8"/>
    <w:rsid w:val="00AD2116"/>
    <w:rsid w:val="00AD4486"/>
    <w:rsid w:val="00AD4750"/>
    <w:rsid w:val="00AD7369"/>
    <w:rsid w:val="00AE21FC"/>
    <w:rsid w:val="00AF19BA"/>
    <w:rsid w:val="00AF3D5A"/>
    <w:rsid w:val="00AF611B"/>
    <w:rsid w:val="00B01BAA"/>
    <w:rsid w:val="00B07BD7"/>
    <w:rsid w:val="00B3099B"/>
    <w:rsid w:val="00B54AB5"/>
    <w:rsid w:val="00B92C96"/>
    <w:rsid w:val="00BA68F0"/>
    <w:rsid w:val="00BD08CA"/>
    <w:rsid w:val="00C31421"/>
    <w:rsid w:val="00C33753"/>
    <w:rsid w:val="00C35B94"/>
    <w:rsid w:val="00C671DE"/>
    <w:rsid w:val="00C82FA4"/>
    <w:rsid w:val="00CA0669"/>
    <w:rsid w:val="00CB0030"/>
    <w:rsid w:val="00CB7178"/>
    <w:rsid w:val="00CC3C2D"/>
    <w:rsid w:val="00CC57AC"/>
    <w:rsid w:val="00CC776C"/>
    <w:rsid w:val="00CE1E17"/>
    <w:rsid w:val="00CF0389"/>
    <w:rsid w:val="00D2695E"/>
    <w:rsid w:val="00D4030C"/>
    <w:rsid w:val="00D63E59"/>
    <w:rsid w:val="00D66A89"/>
    <w:rsid w:val="00D81121"/>
    <w:rsid w:val="00D93833"/>
    <w:rsid w:val="00DB2624"/>
    <w:rsid w:val="00DD6EC3"/>
    <w:rsid w:val="00E24139"/>
    <w:rsid w:val="00E35484"/>
    <w:rsid w:val="00E60ABB"/>
    <w:rsid w:val="00E67713"/>
    <w:rsid w:val="00E92E47"/>
    <w:rsid w:val="00E9576D"/>
    <w:rsid w:val="00EC08AC"/>
    <w:rsid w:val="00EC2856"/>
    <w:rsid w:val="00EC6FA6"/>
    <w:rsid w:val="00EF5A5B"/>
    <w:rsid w:val="00EF7C8A"/>
    <w:rsid w:val="00F03AE8"/>
    <w:rsid w:val="00F053E2"/>
    <w:rsid w:val="00F25E7F"/>
    <w:rsid w:val="00F76D69"/>
    <w:rsid w:val="00F85F2A"/>
    <w:rsid w:val="00F906CF"/>
    <w:rsid w:val="00F9387A"/>
    <w:rsid w:val="00FA5147"/>
    <w:rsid w:val="00FB0C11"/>
    <w:rsid w:val="00FB3847"/>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21A708A8-E248-4F1F-BCD8-A9D0B482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C6FA6"/>
    <w:pPr>
      <w:keepNext/>
      <w:jc w:val="center"/>
      <w:outlineLvl w:val="0"/>
    </w:pPr>
    <w:rPr>
      <w:rFonts w:ascii="Tahoma" w:hAnsi="Tahoma" w:cs="Tahoma"/>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styleId="FollowedHyperlink">
    <w:name w:val="FollowedHyperlink"/>
    <w:basedOn w:val="DefaultParagraphFont"/>
    <w:semiHidden/>
    <w:unhideWhenUsed/>
    <w:rsid w:val="00EC6FA6"/>
    <w:rPr>
      <w:color w:val="800080" w:themeColor="followedHyperlink"/>
      <w:u w:val="single"/>
    </w:rPr>
  </w:style>
  <w:style w:type="character" w:customStyle="1" w:styleId="Heading1Char">
    <w:name w:val="Heading 1 Char"/>
    <w:basedOn w:val="DefaultParagraphFont"/>
    <w:link w:val="Heading1"/>
    <w:rsid w:val="00EC6FA6"/>
    <w:rPr>
      <w:rFonts w:ascii="Tahoma" w:hAnsi="Tahoma" w:cs="Tahoma"/>
      <w:b/>
      <w:bCs/>
      <w:sz w:val="32"/>
      <w:szCs w:val="24"/>
    </w:rPr>
  </w:style>
  <w:style w:type="paragraph" w:styleId="ListParagraph">
    <w:name w:val="List Paragraph"/>
    <w:basedOn w:val="Normal"/>
    <w:uiPriority w:val="34"/>
    <w:qFormat/>
    <w:rsid w:val="00EC6F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drugli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rugli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druglis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mc.zoom.us/j/98542738452?pwd=keEvXyljMMjpv64G5mwVjDZ5jLT9dB.1" TargetMode="External"/><Relationship Id="rId14" Type="http://schemas.openxmlformats.org/officeDocument/2006/relationships/hyperlink" Target="http://www.mass.gov/druglis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Luca, Joseph (EHS)</cp:lastModifiedBy>
  <cp:revision>2</cp:revision>
  <cp:lastPrinted>2024-10-01T13:33:00Z</cp:lastPrinted>
  <dcterms:created xsi:type="dcterms:W3CDTF">2024-10-01T13:46:00Z</dcterms:created>
  <dcterms:modified xsi:type="dcterms:W3CDTF">2024-10-01T13:46:00Z</dcterms:modified>
</cp:coreProperties>
</file>