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DBD5" w14:textId="66709019" w:rsidR="008F2307" w:rsidRPr="0071247F" w:rsidRDefault="008F2307" w:rsidP="008F2307">
      <w:pPr>
        <w:pStyle w:val="Noparagraphstyle"/>
        <w:rPr>
          <w:rFonts w:ascii="Arial Narrow" w:hAnsi="Arial Narrow"/>
          <w:b/>
          <w:color w:val="000000" w:themeColor="text1"/>
          <w:sz w:val="20"/>
          <w:szCs w:val="20"/>
        </w:rPr>
      </w:pPr>
      <w:r>
        <w:rPr>
          <w:rFonts w:ascii="Arial Narrow" w:hAnsi="Arial Narrow"/>
          <w:b/>
          <w:sz w:val="20"/>
          <w:szCs w:val="20"/>
        </w:rPr>
        <w:t xml:space="preserve">Number </w:t>
      </w:r>
      <w:r w:rsidR="0071247F" w:rsidRPr="0071247F">
        <w:rPr>
          <w:rFonts w:ascii="Arial Narrow" w:hAnsi="Arial Narrow"/>
          <w:b/>
          <w:color w:val="000000" w:themeColor="text1"/>
          <w:sz w:val="20"/>
          <w:szCs w:val="20"/>
        </w:rPr>
        <w:t>23</w:t>
      </w:r>
      <w:r w:rsidR="00346D3C">
        <w:rPr>
          <w:rFonts w:ascii="Arial Narrow" w:hAnsi="Arial Narrow"/>
          <w:b/>
          <w:color w:val="000000" w:themeColor="text1"/>
          <w:sz w:val="20"/>
          <w:szCs w:val="20"/>
        </w:rPr>
        <w:t>3</w:t>
      </w:r>
      <w:r w:rsidR="0071247F" w:rsidRPr="0071247F">
        <w:rPr>
          <w:rFonts w:ascii="Arial Narrow" w:hAnsi="Arial Narrow"/>
          <w:b/>
          <w:color w:val="000000" w:themeColor="text1"/>
          <w:sz w:val="20"/>
          <w:szCs w:val="20"/>
        </w:rPr>
        <w:t xml:space="preserve">, </w:t>
      </w:r>
      <w:r w:rsidR="00346D3C">
        <w:rPr>
          <w:rFonts w:ascii="Arial Narrow" w:hAnsi="Arial Narrow"/>
          <w:b/>
          <w:color w:val="000000" w:themeColor="text1"/>
          <w:sz w:val="20"/>
          <w:szCs w:val="20"/>
        </w:rPr>
        <w:t>October 9, 2024</w:t>
      </w:r>
    </w:p>
    <w:p w14:paraId="01A0388A" w14:textId="77777777" w:rsidR="00B26778" w:rsidRDefault="00DD6EC3" w:rsidP="00B26778">
      <w:r>
        <w:rPr>
          <w:rFonts w:ascii="Arial" w:hAnsi="Arial" w:cs="Arial"/>
          <w:noProof/>
          <w:color w:val="000000"/>
          <w:sz w:val="21"/>
          <w:szCs w:val="21"/>
        </w:rPr>
        <w:drawing>
          <wp:inline distT="0" distB="0" distL="0" distR="0" wp14:anchorId="19C31D1D" wp14:editId="016C96CA">
            <wp:extent cx="6620510" cy="1706620"/>
            <wp:effectExtent l="0" t="0" r="0" b="8255"/>
            <wp:docPr id="570265057" name="Picture 1" descr="Pharmacy Facts&#10;Current information for pharmacists about the MassHealth Pharmacy Program&#10;www.mass.gov/lists/masshealth-pharmacy-facts-2016-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65057" name="Picture 1" descr="Pharmacy Facts&#10;Current information for pharmacists about the MassHealth Pharmacy Program&#10;www.mass.gov/lists/masshealth-pharmacy-facts-2016-curr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0510" cy="1706620"/>
                    </a:xfrm>
                    <a:prstGeom prst="rect">
                      <a:avLst/>
                    </a:prstGeom>
                  </pic:spPr>
                </pic:pic>
              </a:graphicData>
            </a:graphic>
          </wp:inline>
        </w:drawing>
      </w:r>
      <w:r w:rsidR="00346D3C" w:rsidRPr="00346D3C">
        <w:t xml:space="preserve"> </w:t>
      </w:r>
    </w:p>
    <w:p w14:paraId="42B1A8A3" w14:textId="77777777" w:rsidR="00B26778" w:rsidRDefault="00B26778" w:rsidP="00B26778"/>
    <w:p w14:paraId="05B60FB8" w14:textId="7C160029" w:rsidR="00EC6FA6" w:rsidRPr="00382D94" w:rsidRDefault="00346D3C" w:rsidP="008174EA">
      <w:pPr>
        <w:spacing w:after="120"/>
        <w:rPr>
          <w:bCs/>
          <w:sz w:val="16"/>
        </w:rPr>
      </w:pPr>
      <w:r w:rsidRPr="00CE6D07">
        <w:rPr>
          <w:rFonts w:ascii="Arial Black" w:hAnsi="Arial Black" w:cs="Arial"/>
          <w:bCs/>
        </w:rPr>
        <w:t>COVID-19 Vaccination Reimbursement Update</w:t>
      </w:r>
    </w:p>
    <w:p w14:paraId="1B35BBAB" w14:textId="6929B82E" w:rsidR="00346D3C" w:rsidRPr="00553850" w:rsidRDefault="005816F4" w:rsidP="00B26778">
      <w:pPr>
        <w:autoSpaceDE w:val="0"/>
        <w:autoSpaceDN w:val="0"/>
        <w:adjustRightInd w:val="0"/>
        <w:rPr>
          <w:bCs/>
        </w:rPr>
      </w:pPr>
      <w:hyperlink r:id="rId9" w:history="1">
        <w:r w:rsidRPr="00553850">
          <w:rPr>
            <w:rStyle w:val="Hyperlink"/>
          </w:rPr>
          <w:t>All Provider Bulletin 395</w:t>
        </w:r>
      </w:hyperlink>
      <w:r w:rsidRPr="00553850">
        <w:rPr>
          <w:rStyle w:val="Hyperlink"/>
        </w:rPr>
        <w:t xml:space="preserve"> </w:t>
      </w:r>
      <w:r w:rsidR="00346D3C" w:rsidRPr="00553850">
        <w:rPr>
          <w:bCs/>
        </w:rPr>
        <w:t xml:space="preserve">describes reimbursement changes for COVID-19 vaccination. Effective October 1, 2024, the Executive Office of Health and Human Services is updating the rates for COVID-19 vaccination in 101 CMR 446.00: </w:t>
      </w:r>
      <w:r w:rsidR="00346D3C" w:rsidRPr="00553850">
        <w:rPr>
          <w:bCs/>
          <w:i/>
          <w:iCs/>
        </w:rPr>
        <w:t>Public Health Emergency Payment Rates for Certain Community Health Care Providers</w:t>
      </w:r>
      <w:r w:rsidR="00346D3C" w:rsidRPr="00553850">
        <w:rPr>
          <w:bCs/>
        </w:rPr>
        <w:t>.</w:t>
      </w:r>
    </w:p>
    <w:p w14:paraId="68333E0D" w14:textId="77777777" w:rsidR="00346D3C" w:rsidRPr="00553850" w:rsidRDefault="00346D3C" w:rsidP="00B26778">
      <w:pPr>
        <w:autoSpaceDE w:val="0"/>
        <w:autoSpaceDN w:val="0"/>
        <w:adjustRightInd w:val="0"/>
        <w:rPr>
          <w:bCs/>
        </w:rPr>
      </w:pPr>
    </w:p>
    <w:p w14:paraId="776D48BD" w14:textId="77777777" w:rsidR="00346D3C" w:rsidRPr="00553850" w:rsidRDefault="00346D3C" w:rsidP="00B26778">
      <w:pPr>
        <w:autoSpaceDE w:val="0"/>
        <w:autoSpaceDN w:val="0"/>
        <w:adjustRightInd w:val="0"/>
        <w:rPr>
          <w:bCs/>
        </w:rPr>
      </w:pPr>
      <w:r w:rsidRPr="00553850">
        <w:rPr>
          <w:bCs/>
        </w:rPr>
        <w:t xml:space="preserve">For claims billed through POPS, MassHealth will pay per the drug-pricing methodology in 101 CMR 331.00. Pharmacies may also continue to bill for administration of COVID-19 vaccines through POPS. Instead of paying a dispensing fee, MassHealth will pay pharmacies an administration fee. Effective October 1, 2024, the administration fee will be equal to 100% of the corresponding Medicare Part B payment rate for administration, without geographic adjustment. </w:t>
      </w:r>
    </w:p>
    <w:p w14:paraId="0AC6193A" w14:textId="77777777" w:rsidR="00346D3C" w:rsidRPr="00553850" w:rsidRDefault="00346D3C" w:rsidP="00B26778">
      <w:pPr>
        <w:autoSpaceDE w:val="0"/>
        <w:autoSpaceDN w:val="0"/>
        <w:adjustRightInd w:val="0"/>
        <w:rPr>
          <w:bCs/>
        </w:rPr>
      </w:pPr>
    </w:p>
    <w:p w14:paraId="0FA3EBDD" w14:textId="368C6EA6" w:rsidR="00EC6FA6" w:rsidRDefault="00346D3C" w:rsidP="00B26778">
      <w:pPr>
        <w:autoSpaceDE w:val="0"/>
        <w:autoSpaceDN w:val="0"/>
        <w:adjustRightInd w:val="0"/>
        <w:rPr>
          <w:rFonts w:ascii="Arial" w:hAnsi="Arial" w:cs="Arial"/>
          <w:bCs/>
          <w:sz w:val="22"/>
          <w:szCs w:val="22"/>
        </w:rPr>
      </w:pPr>
      <w:r w:rsidRPr="00553850">
        <w:rPr>
          <w:bCs/>
        </w:rPr>
        <w:t>Based on this change, beginning October 1, 2024, the administration rate for COVID-19 vaccination will be $40.00</w:t>
      </w:r>
      <w:r w:rsidRPr="00346D3C">
        <w:rPr>
          <w:rFonts w:ascii="Arial" w:hAnsi="Arial" w:cs="Arial"/>
          <w:bCs/>
          <w:sz w:val="22"/>
          <w:szCs w:val="22"/>
        </w:rPr>
        <w:t>.</w:t>
      </w:r>
    </w:p>
    <w:p w14:paraId="7C367C19" w14:textId="77777777" w:rsidR="00346D3C" w:rsidRDefault="00346D3C" w:rsidP="00B26778">
      <w:pPr>
        <w:autoSpaceDE w:val="0"/>
        <w:autoSpaceDN w:val="0"/>
        <w:adjustRightInd w:val="0"/>
        <w:rPr>
          <w:bCs/>
        </w:rPr>
      </w:pPr>
    </w:p>
    <w:p w14:paraId="3DBE6BC4" w14:textId="1D371DFE" w:rsidR="00346D3C" w:rsidRPr="00346D3C" w:rsidRDefault="00346D3C" w:rsidP="008174EA">
      <w:pPr>
        <w:pStyle w:val="Heading1"/>
        <w:spacing w:after="120"/>
        <w:jc w:val="left"/>
      </w:pPr>
      <w:r w:rsidRPr="00D60CC0">
        <w:rPr>
          <w:rFonts w:ascii="Arial Black" w:hAnsi="Arial Black" w:cs="Arial"/>
          <w:bCs w:val="0"/>
          <w:sz w:val="24"/>
        </w:rPr>
        <w:t>COVID-19 Vaccination and Treatment for MassHealth Limited Members or Health Safety Net Patients</w:t>
      </w:r>
    </w:p>
    <w:p w14:paraId="5C71A94E" w14:textId="6AF65F82" w:rsidR="00346D3C" w:rsidRPr="00553850" w:rsidRDefault="00346D3C" w:rsidP="00B26778">
      <w:r w:rsidRPr="00553850">
        <w:t xml:space="preserve">As noted in </w:t>
      </w:r>
      <w:r w:rsidR="005816F4" w:rsidRPr="00553850">
        <w:t>All Provider Bulletin 395</w:t>
      </w:r>
      <w:r w:rsidRPr="00553850">
        <w:t xml:space="preserve">, effective October 1, 2024, MassHealth Limited will no longer pay for COVID-19 vaccination. Health Safety Net (HSN) providers administering COVID-19 vaccines to HSN patients (including for MassHealth Limited members as of October 1, 2024) should submit claims for such services to the HSN. </w:t>
      </w:r>
    </w:p>
    <w:p w14:paraId="0F78EAE8" w14:textId="77777777" w:rsidR="00346D3C" w:rsidRPr="00553850" w:rsidRDefault="00346D3C" w:rsidP="00B26778"/>
    <w:p w14:paraId="2CD88A64" w14:textId="77777777" w:rsidR="00346D3C" w:rsidRPr="00553850" w:rsidRDefault="00346D3C" w:rsidP="00B26778">
      <w:pPr>
        <w:rPr>
          <w:b/>
        </w:rPr>
      </w:pPr>
      <w:r w:rsidRPr="00553850">
        <w:t>Treatments for COVID-19, including prescription drugs such as Paxlovid</w:t>
      </w:r>
      <w:r w:rsidRPr="00553850">
        <w:rPr>
          <w:vertAlign w:val="superscript"/>
        </w:rPr>
        <w:t>®</w:t>
      </w:r>
      <w:r w:rsidRPr="00553850">
        <w:t xml:space="preserve"> (nirmatrelvir and ritonavir) and </w:t>
      </w:r>
      <w:proofErr w:type="spellStart"/>
      <w:r w:rsidRPr="00553850">
        <w:t>Lagevrio</w:t>
      </w:r>
      <w:proofErr w:type="spellEnd"/>
      <w:r w:rsidRPr="00553850">
        <w:rPr>
          <w:vertAlign w:val="superscript"/>
        </w:rPr>
        <w:t>®</w:t>
      </w:r>
      <w:r w:rsidRPr="00553850">
        <w:t xml:space="preserve"> (</w:t>
      </w:r>
      <w:proofErr w:type="spellStart"/>
      <w:r w:rsidRPr="00553850">
        <w:t>molnupiravir</w:t>
      </w:r>
      <w:proofErr w:type="spellEnd"/>
      <w:r w:rsidRPr="00553850">
        <w:t>), are considered emergency services as defined in 130 CMR 450.105(F) for purposes of MassHealth Limited, and will continue to be payable by MassHealth to any participating provider qualified to provide such services.</w:t>
      </w:r>
    </w:p>
    <w:p w14:paraId="64C17240" w14:textId="77777777" w:rsidR="00CF0389" w:rsidRPr="00553850" w:rsidRDefault="00CF0389" w:rsidP="00B26778">
      <w:pPr>
        <w:pStyle w:val="Default"/>
        <w:ind w:left="-86"/>
        <w:rPr>
          <w:rFonts w:ascii="Times New Roman" w:hAnsi="Times New Roman" w:cs="Times New Roman"/>
        </w:rPr>
      </w:pPr>
    </w:p>
    <w:p w14:paraId="18647121" w14:textId="668660D4" w:rsidR="004924F1" w:rsidRPr="004924F1" w:rsidRDefault="004924F1" w:rsidP="008174EA">
      <w:pPr>
        <w:pStyle w:val="Default"/>
        <w:spacing w:after="120"/>
        <w:rPr>
          <w:rFonts w:ascii="Arial" w:hAnsi="Arial" w:cs="Arial"/>
          <w:b/>
          <w:color w:val="auto"/>
          <w:sz w:val="28"/>
          <w:szCs w:val="28"/>
        </w:rPr>
      </w:pPr>
      <w:r w:rsidRPr="00D60CC0">
        <w:rPr>
          <w:rFonts w:cs="Arial"/>
          <w:b/>
          <w:color w:val="auto"/>
        </w:rPr>
        <w:t>Guidance on Dispensing COVID-19 Over-the-Counter Antigen Test Kits</w:t>
      </w:r>
    </w:p>
    <w:p w14:paraId="1379A44D" w14:textId="77777777" w:rsidR="004924F1" w:rsidRPr="00553850" w:rsidRDefault="004924F1" w:rsidP="00B26778">
      <w:pPr>
        <w:rPr>
          <w:rFonts w:eastAsia="Arial"/>
          <w:bCs/>
        </w:rPr>
      </w:pPr>
      <w:r w:rsidRPr="00553850">
        <w:rPr>
          <w:rFonts w:eastAsia="Arial"/>
          <w:bCs/>
        </w:rPr>
        <w:t xml:space="preserve">Pharmacy Facts </w:t>
      </w:r>
      <w:hyperlink r:id="rId10" w:history="1">
        <w:r w:rsidRPr="00553850">
          <w:rPr>
            <w:rFonts w:eastAsia="Arial"/>
            <w:bCs/>
            <w:color w:val="0000FF"/>
            <w:u w:val="single"/>
          </w:rPr>
          <w:t>#177</w:t>
        </w:r>
      </w:hyperlink>
      <w:r w:rsidRPr="00553850">
        <w:rPr>
          <w:rFonts w:eastAsia="Arial"/>
          <w:bCs/>
        </w:rPr>
        <w:t xml:space="preserve">, </w:t>
      </w:r>
      <w:hyperlink r:id="rId11" w:history="1">
        <w:r w:rsidRPr="00553850">
          <w:rPr>
            <w:rStyle w:val="Hyperlink"/>
            <w:rFonts w:eastAsia="Arial"/>
            <w:bCs/>
          </w:rPr>
          <w:t>#201</w:t>
        </w:r>
      </w:hyperlink>
      <w:r w:rsidRPr="00553850">
        <w:rPr>
          <w:rFonts w:eastAsia="Arial"/>
          <w:bCs/>
        </w:rPr>
        <w:t xml:space="preserve">, and </w:t>
      </w:r>
      <w:hyperlink r:id="rId12" w:history="1">
        <w:r w:rsidRPr="00553850">
          <w:rPr>
            <w:rStyle w:val="Hyperlink"/>
            <w:rFonts w:eastAsia="Arial"/>
            <w:bCs/>
          </w:rPr>
          <w:t>#206</w:t>
        </w:r>
      </w:hyperlink>
      <w:r w:rsidRPr="00553850">
        <w:rPr>
          <w:rFonts w:eastAsia="Arial"/>
          <w:bCs/>
        </w:rPr>
        <w:t xml:space="preserve"> provide information on MassHealth coverage of COVID-19 over-the-counter (OTC) antigen test kits. These products are available via standing order at pharmacies and are covered by MassHealth at no cost to the member, within quantity limits. Prior authorization (PA) is required for more than two tests per 28 days. If additional tests above the quantity limit of two tests per month are needed, a prescriber may submit a PA request for consideration of medical necessity.</w:t>
      </w:r>
    </w:p>
    <w:p w14:paraId="3CA0D678" w14:textId="77777777" w:rsidR="004924F1" w:rsidRPr="00553850" w:rsidRDefault="004924F1" w:rsidP="00B26778">
      <w:pPr>
        <w:widowControl w:val="0"/>
        <w:autoSpaceDE w:val="0"/>
        <w:autoSpaceDN w:val="0"/>
        <w:ind w:right="553"/>
        <w:rPr>
          <w:rFonts w:eastAsia="Arial"/>
          <w:bCs/>
        </w:rPr>
      </w:pPr>
    </w:p>
    <w:p w14:paraId="3BF9D4E6" w14:textId="3917234D" w:rsidR="004924F1" w:rsidRPr="00553850" w:rsidRDefault="004924F1" w:rsidP="00B26778">
      <w:pPr>
        <w:pStyle w:val="Default"/>
        <w:rPr>
          <w:rFonts w:ascii="Times New Roman" w:hAnsi="Times New Roman" w:cs="Times New Roman"/>
          <w:bCs/>
        </w:rPr>
        <w:sectPr w:rsidR="004924F1" w:rsidRPr="00553850" w:rsidSect="00CF0389">
          <w:footerReference w:type="default" r:id="rId13"/>
          <w:footerReference w:type="first" r:id="rId14"/>
          <w:pgSz w:w="12240" w:h="15840" w:code="1"/>
          <w:pgMar w:top="360" w:right="907" w:bottom="1080" w:left="907" w:header="720" w:footer="576" w:gutter="0"/>
          <w:cols w:sep="1" w:space="720"/>
          <w:docGrid w:linePitch="360"/>
        </w:sectPr>
      </w:pPr>
      <w:r w:rsidRPr="00553850">
        <w:rPr>
          <w:rFonts w:ascii="Times New Roman" w:eastAsia="Arial" w:hAnsi="Times New Roman" w:cs="Times New Roman"/>
          <w:bCs/>
        </w:rPr>
        <w:t>MassHealth is implementing new documentation requirements for pharmacies dispensing COVID-19 OTC antigen test kits to members via standing order. This requirement applies to members enrolled in MassHealth fee-for-service, the Primary Care Clinician (PCC) Plan, Primary Care Accountable</w:t>
      </w:r>
      <w:r w:rsidR="008174EA" w:rsidRPr="00553850">
        <w:rPr>
          <w:rFonts w:ascii="Times New Roman" w:eastAsia="Arial" w:hAnsi="Times New Roman" w:cs="Times New Roman"/>
          <w:bCs/>
        </w:rPr>
        <w:t xml:space="preserve"> Care </w:t>
      </w:r>
    </w:p>
    <w:p w14:paraId="5E29A1D9" w14:textId="056555CC" w:rsidR="0071247F" w:rsidRDefault="0071247F" w:rsidP="0071247F">
      <w:pPr>
        <w:pStyle w:val="Default"/>
        <w:pBdr>
          <w:bottom w:val="single" w:sz="18" w:space="1" w:color="auto"/>
        </w:pBdr>
        <w:tabs>
          <w:tab w:val="right" w:pos="10440"/>
        </w:tabs>
        <w:spacing w:after="240"/>
        <w:rPr>
          <w:color w:val="FF0000"/>
          <w:sz w:val="18"/>
          <w:szCs w:val="18"/>
        </w:rPr>
      </w:pPr>
      <w:r w:rsidRPr="00AD18B8">
        <w:rPr>
          <w:sz w:val="18"/>
          <w:szCs w:val="18"/>
        </w:rPr>
        <w:lastRenderedPageBreak/>
        <w:t>P</w:t>
      </w:r>
      <w:r>
        <w:rPr>
          <w:sz w:val="18"/>
          <w:szCs w:val="18"/>
        </w:rPr>
        <w:t>harmacy Facts 23</w:t>
      </w:r>
      <w:r w:rsidR="00B26778">
        <w:rPr>
          <w:sz w:val="18"/>
          <w:szCs w:val="18"/>
        </w:rPr>
        <w:t>3</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sidR="006931EA">
        <w:rPr>
          <w:noProof/>
          <w:color w:val="auto"/>
          <w:sz w:val="18"/>
          <w:szCs w:val="18"/>
        </w:rPr>
        <w:t>2</w:t>
      </w:r>
      <w:r w:rsidRPr="00EC1948">
        <w:rPr>
          <w:noProof/>
          <w:color w:val="auto"/>
          <w:sz w:val="18"/>
          <w:szCs w:val="18"/>
        </w:rPr>
        <w:fldChar w:fldCharType="end"/>
      </w:r>
      <w:r w:rsidRPr="00EC1948">
        <w:rPr>
          <w:noProof/>
          <w:color w:val="auto"/>
          <w:sz w:val="18"/>
          <w:szCs w:val="18"/>
        </w:rPr>
        <w:t xml:space="preserve"> of </w:t>
      </w:r>
      <w:r w:rsidR="00B26778">
        <w:rPr>
          <w:noProof/>
          <w:color w:val="auto"/>
          <w:sz w:val="18"/>
          <w:szCs w:val="18"/>
        </w:rPr>
        <w:t>2</w:t>
      </w:r>
    </w:p>
    <w:p w14:paraId="24541C97" w14:textId="49D986DA" w:rsidR="00553850" w:rsidRDefault="00553850" w:rsidP="008174EA">
      <w:pPr>
        <w:widowControl w:val="0"/>
        <w:autoSpaceDE w:val="0"/>
        <w:autoSpaceDN w:val="0"/>
        <w:spacing w:after="120"/>
        <w:ind w:right="553"/>
        <w:rPr>
          <w:rFonts w:ascii="Arial Black" w:hAnsi="Arial Black" w:cs="Arial"/>
          <w:b/>
        </w:rPr>
      </w:pPr>
      <w:r w:rsidRPr="00553850">
        <w:rPr>
          <w:rFonts w:eastAsia="Arial"/>
          <w:bCs/>
        </w:rPr>
        <w:t>Organizations (PCACO), managed care organizations (MCO), and Accountable Care Partnership Plans (ACPP), and Health Safety Net (HSN) patients.</w:t>
      </w:r>
    </w:p>
    <w:p w14:paraId="0B119C74" w14:textId="68CD3AC2" w:rsidR="00B26778" w:rsidRPr="00B26778" w:rsidRDefault="004924F1" w:rsidP="008174EA">
      <w:pPr>
        <w:widowControl w:val="0"/>
        <w:autoSpaceDE w:val="0"/>
        <w:autoSpaceDN w:val="0"/>
        <w:spacing w:after="120"/>
        <w:ind w:right="553"/>
        <w:rPr>
          <w:rFonts w:ascii="Arial Black" w:hAnsi="Arial Black" w:cs="Arial"/>
          <w:b/>
        </w:rPr>
      </w:pPr>
      <w:r w:rsidRPr="00B26778">
        <w:rPr>
          <w:rFonts w:ascii="Arial Black" w:hAnsi="Arial Black" w:cs="Arial"/>
          <w:b/>
        </w:rPr>
        <w:t>Updated MassHealth COVID-19 OTC Antigen Test Kit Policy for Coverage</w:t>
      </w:r>
    </w:p>
    <w:p w14:paraId="56EDF04B" w14:textId="77777777" w:rsidR="004924F1" w:rsidRPr="00553850" w:rsidRDefault="004924F1" w:rsidP="00B26778">
      <w:pPr>
        <w:widowControl w:val="0"/>
        <w:numPr>
          <w:ilvl w:val="0"/>
          <w:numId w:val="14"/>
        </w:numPr>
        <w:autoSpaceDE w:val="0"/>
        <w:autoSpaceDN w:val="0"/>
        <w:ind w:right="553"/>
        <w:rPr>
          <w:rFonts w:eastAsia="Arial"/>
          <w:bCs/>
        </w:rPr>
      </w:pPr>
      <w:r w:rsidRPr="00553850">
        <w:rPr>
          <w:rFonts w:eastAsia="Arial"/>
          <w:bCs/>
        </w:rPr>
        <w:t xml:space="preserve">Up to two tests per month may be prescribed by a Medicaid-enrolled practitioner or requested by a member or caregiver and provided via standing order without PA. </w:t>
      </w:r>
    </w:p>
    <w:p w14:paraId="0128552D" w14:textId="77777777" w:rsidR="004924F1" w:rsidRPr="00553850" w:rsidRDefault="004924F1" w:rsidP="00B26778">
      <w:pPr>
        <w:widowControl w:val="0"/>
        <w:numPr>
          <w:ilvl w:val="0"/>
          <w:numId w:val="14"/>
        </w:numPr>
        <w:autoSpaceDE w:val="0"/>
        <w:autoSpaceDN w:val="0"/>
        <w:ind w:right="553"/>
        <w:rPr>
          <w:rFonts w:eastAsia="Arial"/>
          <w:bCs/>
        </w:rPr>
      </w:pPr>
      <w:r w:rsidRPr="00553850">
        <w:rPr>
          <w:rFonts w:eastAsia="Arial"/>
          <w:bCs/>
        </w:rPr>
        <w:t>If additional tests above the quantity limit of two tests per month are needed, a prescriber may submit a PA request for consideration of medical necessity.</w:t>
      </w:r>
    </w:p>
    <w:p w14:paraId="0358505B" w14:textId="77777777" w:rsidR="004924F1" w:rsidRPr="00553850" w:rsidRDefault="004924F1" w:rsidP="00B26778">
      <w:pPr>
        <w:widowControl w:val="0"/>
        <w:numPr>
          <w:ilvl w:val="0"/>
          <w:numId w:val="14"/>
        </w:numPr>
        <w:autoSpaceDE w:val="0"/>
        <w:autoSpaceDN w:val="0"/>
        <w:ind w:right="553"/>
        <w:rPr>
          <w:rFonts w:eastAsia="Arial"/>
          <w:bCs/>
        </w:rPr>
      </w:pPr>
      <w:r w:rsidRPr="00553850">
        <w:rPr>
          <w:rFonts w:eastAsia="Arial"/>
          <w:bCs/>
        </w:rPr>
        <w:t>Pharmacies dispensing tests based on member or caregiver request via standing order must retain documentation that includes all of the following:</w:t>
      </w:r>
    </w:p>
    <w:p w14:paraId="6E0F5E97" w14:textId="77777777" w:rsidR="004924F1" w:rsidRPr="00553850" w:rsidRDefault="004924F1" w:rsidP="00B26778">
      <w:pPr>
        <w:widowControl w:val="0"/>
        <w:numPr>
          <w:ilvl w:val="1"/>
          <w:numId w:val="14"/>
        </w:numPr>
        <w:autoSpaceDE w:val="0"/>
        <w:autoSpaceDN w:val="0"/>
        <w:ind w:right="553"/>
        <w:rPr>
          <w:rFonts w:eastAsia="Arial"/>
          <w:bCs/>
        </w:rPr>
      </w:pPr>
      <w:r w:rsidRPr="00553850">
        <w:rPr>
          <w:rFonts w:eastAsia="Arial"/>
          <w:bCs/>
        </w:rPr>
        <w:t>Member consent;</w:t>
      </w:r>
    </w:p>
    <w:p w14:paraId="5EACC0A5" w14:textId="77777777" w:rsidR="004924F1" w:rsidRPr="00553850" w:rsidRDefault="004924F1" w:rsidP="00B26778">
      <w:pPr>
        <w:widowControl w:val="0"/>
        <w:numPr>
          <w:ilvl w:val="1"/>
          <w:numId w:val="14"/>
        </w:numPr>
        <w:autoSpaceDE w:val="0"/>
        <w:autoSpaceDN w:val="0"/>
        <w:ind w:right="553"/>
        <w:rPr>
          <w:rFonts w:eastAsia="Arial"/>
          <w:bCs/>
        </w:rPr>
      </w:pPr>
      <w:r w:rsidRPr="00553850">
        <w:rPr>
          <w:rFonts w:eastAsia="Arial"/>
          <w:bCs/>
        </w:rPr>
        <w:t>Modality of request (in pharmacy or by phone); and</w:t>
      </w:r>
    </w:p>
    <w:p w14:paraId="24676936" w14:textId="77777777" w:rsidR="004924F1" w:rsidRPr="00AE02DC" w:rsidRDefault="004924F1" w:rsidP="00B26778">
      <w:pPr>
        <w:widowControl w:val="0"/>
        <w:numPr>
          <w:ilvl w:val="1"/>
          <w:numId w:val="14"/>
        </w:numPr>
        <w:autoSpaceDE w:val="0"/>
        <w:autoSpaceDN w:val="0"/>
        <w:ind w:right="553"/>
        <w:rPr>
          <w:rFonts w:ascii="Arial" w:eastAsia="Arial" w:hAnsi="Arial" w:cs="Arial"/>
          <w:bCs/>
          <w:sz w:val="22"/>
          <w:szCs w:val="22"/>
        </w:rPr>
      </w:pPr>
      <w:r w:rsidRPr="00553850">
        <w:rPr>
          <w:rFonts w:eastAsia="Arial"/>
          <w:bCs/>
        </w:rPr>
        <w:t>Date and time of request</w:t>
      </w:r>
      <w:r w:rsidRPr="00AE02DC">
        <w:rPr>
          <w:rFonts w:ascii="Arial" w:eastAsia="Arial" w:hAnsi="Arial" w:cs="Arial"/>
          <w:bCs/>
          <w:sz w:val="22"/>
          <w:szCs w:val="22"/>
        </w:rPr>
        <w:t>.</w:t>
      </w:r>
    </w:p>
    <w:p w14:paraId="2E3C0C58" w14:textId="77777777" w:rsidR="004924F1" w:rsidRPr="00AE02DC" w:rsidRDefault="004924F1" w:rsidP="00B26778">
      <w:pPr>
        <w:widowControl w:val="0"/>
        <w:autoSpaceDE w:val="0"/>
        <w:autoSpaceDN w:val="0"/>
        <w:ind w:right="553"/>
        <w:rPr>
          <w:rFonts w:ascii="Arial" w:eastAsia="Arial" w:hAnsi="Arial" w:cs="Arial"/>
          <w:bCs/>
          <w:sz w:val="22"/>
          <w:szCs w:val="22"/>
        </w:rPr>
      </w:pPr>
    </w:p>
    <w:p w14:paraId="00918330" w14:textId="70E76A52" w:rsidR="00B26778" w:rsidRPr="00B26778" w:rsidRDefault="004924F1" w:rsidP="008174EA">
      <w:pPr>
        <w:widowControl w:val="0"/>
        <w:autoSpaceDE w:val="0"/>
        <w:autoSpaceDN w:val="0"/>
        <w:spacing w:after="120"/>
        <w:ind w:right="553"/>
        <w:rPr>
          <w:rFonts w:ascii="Arial Black" w:hAnsi="Arial Black" w:cs="Arial"/>
          <w:b/>
        </w:rPr>
      </w:pPr>
      <w:r w:rsidRPr="00B26778">
        <w:rPr>
          <w:rFonts w:ascii="Arial Black" w:hAnsi="Arial Black" w:cs="Arial"/>
          <w:b/>
        </w:rPr>
        <w:t>Additional MassHealth COVID-19 OTC Antigen Test Kit Guidance</w:t>
      </w:r>
    </w:p>
    <w:p w14:paraId="62BFB87F" w14:textId="77777777" w:rsidR="004924F1" w:rsidRPr="00553850" w:rsidRDefault="004924F1" w:rsidP="00B26778">
      <w:pPr>
        <w:widowControl w:val="0"/>
        <w:numPr>
          <w:ilvl w:val="0"/>
          <w:numId w:val="15"/>
        </w:numPr>
        <w:autoSpaceDE w:val="0"/>
        <w:autoSpaceDN w:val="0"/>
        <w:ind w:left="720" w:right="553"/>
        <w:rPr>
          <w:rFonts w:eastAsia="Arial"/>
          <w:bCs/>
        </w:rPr>
      </w:pPr>
      <w:r w:rsidRPr="00553850">
        <w:rPr>
          <w:rFonts w:eastAsia="Arial"/>
          <w:bCs/>
        </w:rPr>
        <w:t xml:space="preserve">It is inappropriate to submit claims for COVID-19 OTC antigen test kits without specific member or caregiver request on date-of-service or Medicaid-enrolled practitioner prescription. </w:t>
      </w:r>
    </w:p>
    <w:p w14:paraId="7015C882" w14:textId="77777777" w:rsidR="004924F1" w:rsidRPr="00553850" w:rsidRDefault="004924F1" w:rsidP="00B26778">
      <w:pPr>
        <w:widowControl w:val="0"/>
        <w:numPr>
          <w:ilvl w:val="0"/>
          <w:numId w:val="15"/>
        </w:numPr>
        <w:autoSpaceDE w:val="0"/>
        <w:autoSpaceDN w:val="0"/>
        <w:ind w:left="720" w:right="553"/>
        <w:rPr>
          <w:rFonts w:eastAsia="Arial"/>
          <w:bCs/>
        </w:rPr>
      </w:pPr>
      <w:r w:rsidRPr="00553850">
        <w:rPr>
          <w:rFonts w:eastAsia="Arial"/>
          <w:bCs/>
        </w:rPr>
        <w:t xml:space="preserve">MassHealth is the payer of last resort. Providers should take reasonable measures necessary to ensure that all available options for coverage, including free at-home COVID-19 tests from any other entity or third-party insurance, are used before submitting claims to the Medicaid program. </w:t>
      </w:r>
    </w:p>
    <w:p w14:paraId="0EBA2468" w14:textId="77777777" w:rsidR="004924F1" w:rsidRPr="00553850" w:rsidRDefault="004924F1" w:rsidP="00B26778">
      <w:pPr>
        <w:widowControl w:val="0"/>
        <w:numPr>
          <w:ilvl w:val="1"/>
          <w:numId w:val="15"/>
        </w:numPr>
        <w:autoSpaceDE w:val="0"/>
        <w:autoSpaceDN w:val="0"/>
        <w:ind w:left="1440" w:right="553"/>
        <w:rPr>
          <w:rFonts w:eastAsia="Arial"/>
          <w:bCs/>
        </w:rPr>
      </w:pPr>
      <w:r w:rsidRPr="00553850">
        <w:rPr>
          <w:rFonts w:eastAsia="Arial"/>
          <w:bCs/>
        </w:rPr>
        <w:t xml:space="preserve">Pharmacies should notify patients that U.S. households are eligible to order four free COVID-19 tests at </w:t>
      </w:r>
      <w:hyperlink r:id="rId15" w:history="1">
        <w:r w:rsidRPr="00553850">
          <w:rPr>
            <w:rFonts w:eastAsia="Arial"/>
            <w:bCs/>
            <w:color w:val="0000FF"/>
            <w:u w:val="single"/>
          </w:rPr>
          <w:t>COVIDTests.gov</w:t>
        </w:r>
      </w:hyperlink>
      <w:r w:rsidRPr="00553850">
        <w:rPr>
          <w:rFonts w:eastAsia="Arial"/>
          <w:bCs/>
        </w:rPr>
        <w:t>.</w:t>
      </w:r>
    </w:p>
    <w:p w14:paraId="161362F4" w14:textId="77777777" w:rsidR="004924F1" w:rsidRPr="00553850" w:rsidRDefault="004924F1" w:rsidP="00B26778">
      <w:pPr>
        <w:widowControl w:val="0"/>
        <w:numPr>
          <w:ilvl w:val="0"/>
          <w:numId w:val="15"/>
        </w:numPr>
        <w:autoSpaceDE w:val="0"/>
        <w:autoSpaceDN w:val="0"/>
        <w:ind w:left="720" w:right="553"/>
        <w:rPr>
          <w:rFonts w:eastAsia="Arial"/>
          <w:bCs/>
        </w:rPr>
      </w:pPr>
      <w:r w:rsidRPr="00553850">
        <w:rPr>
          <w:rFonts w:eastAsia="Arial"/>
          <w:bCs/>
        </w:rPr>
        <w:t>All claims inconsistent with this guidance are subject to audit and recovery.</w:t>
      </w:r>
    </w:p>
    <w:sectPr w:rsidR="004924F1" w:rsidRPr="00553850" w:rsidSect="00AF611B">
      <w:footerReference w:type="default" r:id="rId16"/>
      <w:pgSz w:w="12240" w:h="15840" w:code="1"/>
      <w:pgMar w:top="360" w:right="907" w:bottom="108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91BE9" w14:textId="77777777" w:rsidR="007B1EEF" w:rsidRDefault="007B1EEF" w:rsidP="00492602">
      <w:r>
        <w:separator/>
      </w:r>
    </w:p>
  </w:endnote>
  <w:endnote w:type="continuationSeparator" w:id="0">
    <w:p w14:paraId="67D44B04" w14:textId="77777777" w:rsidR="007B1EEF" w:rsidRDefault="007B1EEF"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3FF02" w14:textId="5F5A65B2" w:rsidR="00637A67" w:rsidRDefault="006D3B5F" w:rsidP="00AD4486">
    <w:pPr>
      <w:pBdr>
        <w:top w:val="single" w:sz="18" w:space="1" w:color="auto"/>
      </w:pBdr>
      <w:tabs>
        <w:tab w:val="left" w:pos="-90"/>
        <w:tab w:val="left" w:pos="530"/>
        <w:tab w:val="center" w:pos="5400"/>
      </w:tabs>
      <w:autoSpaceDE w:val="0"/>
      <w:autoSpaceDN w:val="0"/>
      <w:adjustRightInd w:val="0"/>
      <w:jc w:val="center"/>
      <w:textAlignment w:val="baseline"/>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1C125" w14:textId="77777777" w:rsidR="00637A67" w:rsidRDefault="00637A67">
    <w:pPr>
      <w:pStyle w:val="Footer"/>
    </w:pPr>
    <w:r>
      <w:t>[Type text]</w:t>
    </w:r>
  </w:p>
  <w:p w14:paraId="1D4B9191"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54D1D" w14:textId="77777777" w:rsidR="00AD4486" w:rsidRDefault="00AD4486" w:rsidP="00A21D33">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66FC2BA2" w14:textId="77777777" w:rsidR="00AD4486" w:rsidRPr="00E24139" w:rsidRDefault="00553850" w:rsidP="00A21D33">
    <w:pPr>
      <w:tabs>
        <w:tab w:val="left" w:pos="-90"/>
      </w:tabs>
      <w:autoSpaceDE w:val="0"/>
      <w:autoSpaceDN w:val="0"/>
      <w:adjustRightInd w:val="0"/>
      <w:jc w:val="center"/>
      <w:textAlignment w:val="baseline"/>
    </w:pPr>
    <w:hyperlink r:id="rId1" w:history="1">
      <w:r w:rsidR="00AD4486" w:rsidRPr="00386AF8">
        <w:rPr>
          <w:rStyle w:val="Hyperlink"/>
          <w:rFonts w:ascii="Arial" w:hAnsi="Arial" w:cs="Arial"/>
          <w:iCs/>
          <w:sz w:val="18"/>
          <w:szCs w:val="18"/>
        </w:rPr>
        <w:t>PharmFactsMA@Conduent.com</w:t>
      </w:r>
    </w:hyperlink>
    <w:r w:rsidR="00AD4486">
      <w:rPr>
        <w:rFonts w:ascii="Arial" w:hAnsi="Arial" w:cs="Arial"/>
        <w:iCs/>
        <w:sz w:val="18"/>
        <w:szCs w:val="18"/>
      </w:rPr>
      <w:t xml:space="preserve">. </w:t>
    </w:r>
  </w:p>
  <w:p w14:paraId="7322CC20" w14:textId="77777777" w:rsidR="00AD4486" w:rsidRDefault="00AD4486" w:rsidP="00A21D33">
    <w:pPr>
      <w:pStyle w:val="Footer"/>
      <w:tabs>
        <w:tab w:val="clear" w:pos="4680"/>
        <w:tab w:val="clear" w:pos="9360"/>
        <w:tab w:val="left" w:pos="947"/>
        <w:tab w:val="left" w:pos="3840"/>
      </w:tabs>
      <w:spacing w:before="120"/>
    </w:pPr>
    <w:r>
      <w:tab/>
    </w:r>
  </w:p>
  <w:p w14:paraId="18FDE582" w14:textId="77777777" w:rsidR="00AD4486" w:rsidRDefault="00AD4486" w:rsidP="00AF611B">
    <w:pPr>
      <w:pStyle w:val="Footer"/>
      <w:tabs>
        <w:tab w:val="clear" w:pos="4680"/>
        <w:tab w:val="clear" w:pos="9360"/>
        <w:tab w:val="left" w:pos="947"/>
        <w:tab w:val="left" w:pos="3840"/>
      </w:tabs>
      <w:spacing w:before="12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5708B" w14:textId="77777777" w:rsidR="007B1EEF" w:rsidRDefault="007B1EEF" w:rsidP="00492602">
      <w:r>
        <w:separator/>
      </w:r>
    </w:p>
  </w:footnote>
  <w:footnote w:type="continuationSeparator" w:id="0">
    <w:p w14:paraId="0610A0EC" w14:textId="77777777" w:rsidR="007B1EEF" w:rsidRDefault="007B1EEF" w:rsidP="00492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877A4"/>
    <w:multiLevelType w:val="hybridMultilevel"/>
    <w:tmpl w:val="B2CEFEE6"/>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2A0988"/>
    <w:multiLevelType w:val="hybridMultilevel"/>
    <w:tmpl w:val="930C9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025F0A"/>
    <w:multiLevelType w:val="hybridMultilevel"/>
    <w:tmpl w:val="8BE8B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362900">
    <w:abstractNumId w:val="6"/>
  </w:num>
  <w:num w:numId="2" w16cid:durableId="177275884">
    <w:abstractNumId w:val="8"/>
  </w:num>
  <w:num w:numId="3" w16cid:durableId="1256865367">
    <w:abstractNumId w:val="11"/>
  </w:num>
  <w:num w:numId="4" w16cid:durableId="1261255442">
    <w:abstractNumId w:val="3"/>
  </w:num>
  <w:num w:numId="5" w16cid:durableId="2115860523">
    <w:abstractNumId w:val="5"/>
  </w:num>
  <w:num w:numId="6" w16cid:durableId="519122462">
    <w:abstractNumId w:val="7"/>
  </w:num>
  <w:num w:numId="7" w16cid:durableId="30572276">
    <w:abstractNumId w:val="12"/>
  </w:num>
  <w:num w:numId="8" w16cid:durableId="360130868">
    <w:abstractNumId w:val="2"/>
  </w:num>
  <w:num w:numId="9" w16cid:durableId="1460032301">
    <w:abstractNumId w:val="0"/>
  </w:num>
  <w:num w:numId="10" w16cid:durableId="1754087416">
    <w:abstractNumId w:val="4"/>
  </w:num>
  <w:num w:numId="11" w16cid:durableId="573467208">
    <w:abstractNumId w:val="9"/>
  </w:num>
  <w:num w:numId="12" w16cid:durableId="552739578">
    <w:abstractNumId w:val="1"/>
  </w:num>
  <w:num w:numId="13" w16cid:durableId="265770662">
    <w:abstractNumId w:val="13"/>
  </w:num>
  <w:num w:numId="14" w16cid:durableId="568728343">
    <w:abstractNumId w:val="10"/>
  </w:num>
  <w:num w:numId="15" w16cid:durableId="1046919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2F24"/>
    <w:rsid w:val="0005108C"/>
    <w:rsid w:val="00054839"/>
    <w:rsid w:val="00065861"/>
    <w:rsid w:val="00074014"/>
    <w:rsid w:val="00081E8E"/>
    <w:rsid w:val="000B340B"/>
    <w:rsid w:val="000D1502"/>
    <w:rsid w:val="000D221A"/>
    <w:rsid w:val="000F0631"/>
    <w:rsid w:val="00137D3D"/>
    <w:rsid w:val="00140D08"/>
    <w:rsid w:val="00147437"/>
    <w:rsid w:val="00156804"/>
    <w:rsid w:val="00157A49"/>
    <w:rsid w:val="00170017"/>
    <w:rsid w:val="001721D8"/>
    <w:rsid w:val="00183133"/>
    <w:rsid w:val="0018357E"/>
    <w:rsid w:val="001864A9"/>
    <w:rsid w:val="001C1481"/>
    <w:rsid w:val="001C17CD"/>
    <w:rsid w:val="001E0E7A"/>
    <w:rsid w:val="001F701D"/>
    <w:rsid w:val="002509E9"/>
    <w:rsid w:val="0027289D"/>
    <w:rsid w:val="00276F3A"/>
    <w:rsid w:val="00286CBE"/>
    <w:rsid w:val="002C3773"/>
    <w:rsid w:val="002C54C4"/>
    <w:rsid w:val="002C690F"/>
    <w:rsid w:val="002C7C67"/>
    <w:rsid w:val="002D390F"/>
    <w:rsid w:val="002D738C"/>
    <w:rsid w:val="003152DA"/>
    <w:rsid w:val="0033053B"/>
    <w:rsid w:val="00346D3C"/>
    <w:rsid w:val="00360067"/>
    <w:rsid w:val="0036343A"/>
    <w:rsid w:val="0037373E"/>
    <w:rsid w:val="00381A1E"/>
    <w:rsid w:val="00382054"/>
    <w:rsid w:val="003B3B03"/>
    <w:rsid w:val="003B6839"/>
    <w:rsid w:val="003E18CC"/>
    <w:rsid w:val="00400BE4"/>
    <w:rsid w:val="00410B13"/>
    <w:rsid w:val="00417EB4"/>
    <w:rsid w:val="0042538A"/>
    <w:rsid w:val="00426F18"/>
    <w:rsid w:val="0043707B"/>
    <w:rsid w:val="004417DC"/>
    <w:rsid w:val="00447A5F"/>
    <w:rsid w:val="004664D3"/>
    <w:rsid w:val="004924F1"/>
    <w:rsid w:val="00492602"/>
    <w:rsid w:val="004A3BAA"/>
    <w:rsid w:val="004A7395"/>
    <w:rsid w:val="004C1322"/>
    <w:rsid w:val="004C4924"/>
    <w:rsid w:val="004E3D20"/>
    <w:rsid w:val="004F5612"/>
    <w:rsid w:val="00516394"/>
    <w:rsid w:val="005265DC"/>
    <w:rsid w:val="005314A6"/>
    <w:rsid w:val="005502E1"/>
    <w:rsid w:val="00553850"/>
    <w:rsid w:val="0056481B"/>
    <w:rsid w:val="00571898"/>
    <w:rsid w:val="00574F07"/>
    <w:rsid w:val="005816F4"/>
    <w:rsid w:val="00581E50"/>
    <w:rsid w:val="005842A0"/>
    <w:rsid w:val="005958DD"/>
    <w:rsid w:val="005A4A25"/>
    <w:rsid w:val="005A57BA"/>
    <w:rsid w:val="00612916"/>
    <w:rsid w:val="00623469"/>
    <w:rsid w:val="006305E2"/>
    <w:rsid w:val="00637A67"/>
    <w:rsid w:val="006421B9"/>
    <w:rsid w:val="00650095"/>
    <w:rsid w:val="00651CA7"/>
    <w:rsid w:val="00652261"/>
    <w:rsid w:val="00666BCC"/>
    <w:rsid w:val="00674418"/>
    <w:rsid w:val="00674428"/>
    <w:rsid w:val="00686C26"/>
    <w:rsid w:val="00690023"/>
    <w:rsid w:val="00692301"/>
    <w:rsid w:val="006931EA"/>
    <w:rsid w:val="0069772F"/>
    <w:rsid w:val="006D3B5F"/>
    <w:rsid w:val="006E0C20"/>
    <w:rsid w:val="006E22A3"/>
    <w:rsid w:val="006F35F9"/>
    <w:rsid w:val="0071247F"/>
    <w:rsid w:val="007319D7"/>
    <w:rsid w:val="00731FAF"/>
    <w:rsid w:val="007326EC"/>
    <w:rsid w:val="007426BF"/>
    <w:rsid w:val="00760FDF"/>
    <w:rsid w:val="00770E52"/>
    <w:rsid w:val="007757E7"/>
    <w:rsid w:val="007A41F5"/>
    <w:rsid w:val="007B1EEF"/>
    <w:rsid w:val="007B7425"/>
    <w:rsid w:val="007C290F"/>
    <w:rsid w:val="007C6D14"/>
    <w:rsid w:val="007F5417"/>
    <w:rsid w:val="00812480"/>
    <w:rsid w:val="008174EA"/>
    <w:rsid w:val="00821937"/>
    <w:rsid w:val="008403CA"/>
    <w:rsid w:val="0085395A"/>
    <w:rsid w:val="00853F8E"/>
    <w:rsid w:val="00861844"/>
    <w:rsid w:val="00872E7F"/>
    <w:rsid w:val="00880FA9"/>
    <w:rsid w:val="00884DF4"/>
    <w:rsid w:val="008930F1"/>
    <w:rsid w:val="00893F45"/>
    <w:rsid w:val="008978FF"/>
    <w:rsid w:val="008B348F"/>
    <w:rsid w:val="008C5414"/>
    <w:rsid w:val="008E62B4"/>
    <w:rsid w:val="008F0130"/>
    <w:rsid w:val="008F2307"/>
    <w:rsid w:val="008F2E4C"/>
    <w:rsid w:val="00906EEC"/>
    <w:rsid w:val="009166DF"/>
    <w:rsid w:val="009204C7"/>
    <w:rsid w:val="00922030"/>
    <w:rsid w:val="00941258"/>
    <w:rsid w:val="00942245"/>
    <w:rsid w:val="00956812"/>
    <w:rsid w:val="009725E5"/>
    <w:rsid w:val="009759A0"/>
    <w:rsid w:val="00981567"/>
    <w:rsid w:val="009C3981"/>
    <w:rsid w:val="009D4391"/>
    <w:rsid w:val="009D6AAA"/>
    <w:rsid w:val="009F0440"/>
    <w:rsid w:val="00A005EE"/>
    <w:rsid w:val="00A01DE3"/>
    <w:rsid w:val="00A11371"/>
    <w:rsid w:val="00A120E1"/>
    <w:rsid w:val="00A21D33"/>
    <w:rsid w:val="00A262A2"/>
    <w:rsid w:val="00A330FD"/>
    <w:rsid w:val="00A343A9"/>
    <w:rsid w:val="00A405B4"/>
    <w:rsid w:val="00A5239C"/>
    <w:rsid w:val="00A62A02"/>
    <w:rsid w:val="00A650DC"/>
    <w:rsid w:val="00A84255"/>
    <w:rsid w:val="00A87E7D"/>
    <w:rsid w:val="00A91725"/>
    <w:rsid w:val="00AC1AC7"/>
    <w:rsid w:val="00AD18B8"/>
    <w:rsid w:val="00AD2116"/>
    <w:rsid w:val="00AD4486"/>
    <w:rsid w:val="00AD4750"/>
    <w:rsid w:val="00AD7369"/>
    <w:rsid w:val="00AE21FC"/>
    <w:rsid w:val="00AF19BA"/>
    <w:rsid w:val="00AF3D5A"/>
    <w:rsid w:val="00AF611B"/>
    <w:rsid w:val="00B01BAA"/>
    <w:rsid w:val="00B07BD7"/>
    <w:rsid w:val="00B26778"/>
    <w:rsid w:val="00B3099B"/>
    <w:rsid w:val="00B54AB5"/>
    <w:rsid w:val="00B92C96"/>
    <w:rsid w:val="00BA68F0"/>
    <w:rsid w:val="00BD08CA"/>
    <w:rsid w:val="00C0512A"/>
    <w:rsid w:val="00C13F67"/>
    <w:rsid w:val="00C31421"/>
    <w:rsid w:val="00C33753"/>
    <w:rsid w:val="00C35B94"/>
    <w:rsid w:val="00C671DE"/>
    <w:rsid w:val="00C82FA4"/>
    <w:rsid w:val="00CA0669"/>
    <w:rsid w:val="00CA1B1B"/>
    <w:rsid w:val="00CB0030"/>
    <w:rsid w:val="00CB7178"/>
    <w:rsid w:val="00CC3C2D"/>
    <w:rsid w:val="00CC57AC"/>
    <w:rsid w:val="00CC776C"/>
    <w:rsid w:val="00CE1E17"/>
    <w:rsid w:val="00CE6D07"/>
    <w:rsid w:val="00CF0389"/>
    <w:rsid w:val="00D2695E"/>
    <w:rsid w:val="00D4030C"/>
    <w:rsid w:val="00D60CC0"/>
    <w:rsid w:val="00D63E59"/>
    <w:rsid w:val="00D66A89"/>
    <w:rsid w:val="00D81121"/>
    <w:rsid w:val="00D93833"/>
    <w:rsid w:val="00DB2624"/>
    <w:rsid w:val="00DD6EC3"/>
    <w:rsid w:val="00E24139"/>
    <w:rsid w:val="00E35484"/>
    <w:rsid w:val="00E60ABB"/>
    <w:rsid w:val="00E67713"/>
    <w:rsid w:val="00E92E47"/>
    <w:rsid w:val="00E9576D"/>
    <w:rsid w:val="00EA38DA"/>
    <w:rsid w:val="00EC08AC"/>
    <w:rsid w:val="00EC2856"/>
    <w:rsid w:val="00EC6FA6"/>
    <w:rsid w:val="00EF5A5B"/>
    <w:rsid w:val="00EF7C8A"/>
    <w:rsid w:val="00F03AE8"/>
    <w:rsid w:val="00F053E2"/>
    <w:rsid w:val="00F05873"/>
    <w:rsid w:val="00F25E7F"/>
    <w:rsid w:val="00F76D69"/>
    <w:rsid w:val="00F85F2A"/>
    <w:rsid w:val="00F906CF"/>
    <w:rsid w:val="00F9387A"/>
    <w:rsid w:val="00FA5147"/>
    <w:rsid w:val="00FB0C11"/>
    <w:rsid w:val="00FB3847"/>
    <w:rsid w:val="00FB39E3"/>
    <w:rsid w:val="00FC2D5C"/>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15:docId w15:val="{21A708A8-E248-4F1F-BCD8-A9D0B482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C6FA6"/>
    <w:pPr>
      <w:keepNext/>
      <w:jc w:val="center"/>
      <w:outlineLvl w:val="0"/>
    </w:pPr>
    <w:rPr>
      <w:rFonts w:ascii="Tahoma" w:hAnsi="Tahoma" w:cs="Tahom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styleId="FollowedHyperlink">
    <w:name w:val="FollowedHyperlink"/>
    <w:basedOn w:val="DefaultParagraphFont"/>
    <w:semiHidden/>
    <w:unhideWhenUsed/>
    <w:rsid w:val="00EC6FA6"/>
    <w:rPr>
      <w:color w:val="800080" w:themeColor="followedHyperlink"/>
      <w:u w:val="single"/>
    </w:rPr>
  </w:style>
  <w:style w:type="character" w:customStyle="1" w:styleId="Heading1Char">
    <w:name w:val="Heading 1 Char"/>
    <w:basedOn w:val="DefaultParagraphFont"/>
    <w:link w:val="Heading1"/>
    <w:rsid w:val="00EC6FA6"/>
    <w:rPr>
      <w:rFonts w:ascii="Tahoma" w:hAnsi="Tahoma" w:cs="Tahoma"/>
      <w:b/>
      <w:bCs/>
      <w:sz w:val="32"/>
      <w:szCs w:val="24"/>
    </w:rPr>
  </w:style>
  <w:style w:type="paragraph" w:styleId="ListParagraph">
    <w:name w:val="List Paragraph"/>
    <w:basedOn w:val="Normal"/>
    <w:uiPriority w:val="34"/>
    <w:qFormat/>
    <w:rsid w:val="00EC6FA6"/>
    <w:pPr>
      <w:ind w:left="720"/>
    </w:pPr>
  </w:style>
  <w:style w:type="paragraph" w:styleId="Revision">
    <w:name w:val="Revision"/>
    <w:hidden/>
    <w:uiPriority w:val="99"/>
    <w:semiHidden/>
    <w:rsid w:val="00F05873"/>
    <w:rPr>
      <w:sz w:val="24"/>
      <w:szCs w:val="24"/>
    </w:rPr>
  </w:style>
  <w:style w:type="character" w:styleId="CommentReference">
    <w:name w:val="annotation reference"/>
    <w:basedOn w:val="DefaultParagraphFont"/>
    <w:semiHidden/>
    <w:unhideWhenUsed/>
    <w:rsid w:val="00F05873"/>
    <w:rPr>
      <w:sz w:val="16"/>
      <w:szCs w:val="16"/>
    </w:rPr>
  </w:style>
  <w:style w:type="paragraph" w:styleId="CommentText">
    <w:name w:val="annotation text"/>
    <w:basedOn w:val="Normal"/>
    <w:link w:val="CommentTextChar"/>
    <w:unhideWhenUsed/>
    <w:rsid w:val="00F05873"/>
    <w:rPr>
      <w:sz w:val="20"/>
      <w:szCs w:val="20"/>
    </w:rPr>
  </w:style>
  <w:style w:type="character" w:customStyle="1" w:styleId="CommentTextChar">
    <w:name w:val="Comment Text Char"/>
    <w:basedOn w:val="DefaultParagraphFont"/>
    <w:link w:val="CommentText"/>
    <w:rsid w:val="00F05873"/>
  </w:style>
  <w:style w:type="paragraph" w:styleId="CommentSubject">
    <w:name w:val="annotation subject"/>
    <w:basedOn w:val="CommentText"/>
    <w:next w:val="CommentText"/>
    <w:link w:val="CommentSubjectChar"/>
    <w:semiHidden/>
    <w:unhideWhenUsed/>
    <w:rsid w:val="00F05873"/>
    <w:rPr>
      <w:b/>
      <w:bCs/>
    </w:rPr>
  </w:style>
  <w:style w:type="character" w:customStyle="1" w:styleId="CommentSubjectChar">
    <w:name w:val="Comment Subject Char"/>
    <w:basedOn w:val="CommentTextChar"/>
    <w:link w:val="CommentSubject"/>
    <w:semiHidden/>
    <w:rsid w:val="00F05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harmacy-facts-206-july-26-2023-0/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pharmacy-facts-201-may-15-2023-0/download" TargetMode="External"/><Relationship Id="rId5" Type="http://schemas.openxmlformats.org/officeDocument/2006/relationships/webSettings" Target="webSettings.xml"/><Relationship Id="rId15" Type="http://schemas.openxmlformats.org/officeDocument/2006/relationships/hyperlink" Target="https://aspr.hhs.gov/covid-19/test/Pages/default.aspx" TargetMode="External"/><Relationship Id="rId10" Type="http://schemas.openxmlformats.org/officeDocument/2006/relationships/hyperlink" Target="https://www.mass.gov/doc/pharmacy-facts-177-january-14-2022-0/download" TargetMode="External"/><Relationship Id="rId4" Type="http://schemas.openxmlformats.org/officeDocument/2006/relationships/settings" Target="settings.xml"/><Relationship Id="rId9" Type="http://schemas.openxmlformats.org/officeDocument/2006/relationships/hyperlink" Target="https://www.mass.gov/doc/all-provider-bulletin-395-coverage-and-reimbursement-policy-for-mpox-and-covid-19-vaccinations-0/downloa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605</Words>
  <Characters>4022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Joseph (EHS)</dc:creator>
  <cp:lastModifiedBy>Luca, Joseph (EHS)</cp:lastModifiedBy>
  <cp:revision>2</cp:revision>
  <cp:lastPrinted>2024-10-01T13:33:00Z</cp:lastPrinted>
  <dcterms:created xsi:type="dcterms:W3CDTF">2024-10-09T15:07:00Z</dcterms:created>
  <dcterms:modified xsi:type="dcterms:W3CDTF">2024-10-09T15:07:00Z</dcterms:modified>
</cp:coreProperties>
</file>