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DBD5" w14:textId="524EC22A" w:rsidR="008F2307" w:rsidRPr="0071247F" w:rsidRDefault="008F2307" w:rsidP="008F2307">
      <w:pPr>
        <w:pStyle w:val="Noparagraphstyle"/>
        <w:rPr>
          <w:rFonts w:ascii="Arial Narrow" w:hAnsi="Arial Narrow"/>
          <w:b/>
          <w:color w:val="000000" w:themeColor="text1"/>
          <w:sz w:val="20"/>
          <w:szCs w:val="20"/>
        </w:rPr>
      </w:pPr>
      <w:r>
        <w:rPr>
          <w:rFonts w:ascii="Arial Narrow" w:hAnsi="Arial Narrow"/>
          <w:b/>
          <w:sz w:val="20"/>
          <w:szCs w:val="20"/>
        </w:rPr>
        <w:t xml:space="preserve">Number </w:t>
      </w:r>
      <w:r w:rsidR="0071247F" w:rsidRPr="0071247F">
        <w:rPr>
          <w:rFonts w:ascii="Arial Narrow" w:hAnsi="Arial Narrow"/>
          <w:b/>
          <w:color w:val="000000" w:themeColor="text1"/>
          <w:sz w:val="20"/>
          <w:szCs w:val="20"/>
        </w:rPr>
        <w:t>23</w:t>
      </w:r>
      <w:r w:rsidR="00F42F98">
        <w:rPr>
          <w:rFonts w:ascii="Arial Narrow" w:hAnsi="Arial Narrow"/>
          <w:b/>
          <w:color w:val="000000" w:themeColor="text1"/>
          <w:sz w:val="20"/>
          <w:szCs w:val="20"/>
        </w:rPr>
        <w:t>4</w:t>
      </w:r>
      <w:r w:rsidR="0071247F" w:rsidRPr="0071247F">
        <w:rPr>
          <w:rFonts w:ascii="Arial Narrow" w:hAnsi="Arial Narrow"/>
          <w:b/>
          <w:color w:val="000000" w:themeColor="text1"/>
          <w:sz w:val="20"/>
          <w:szCs w:val="20"/>
        </w:rPr>
        <w:t xml:space="preserve">, </w:t>
      </w:r>
      <w:r w:rsidR="00F42F98">
        <w:rPr>
          <w:rFonts w:ascii="Arial Narrow" w:hAnsi="Arial Narrow"/>
          <w:b/>
          <w:color w:val="000000" w:themeColor="text1"/>
          <w:sz w:val="20"/>
          <w:szCs w:val="20"/>
        </w:rPr>
        <w:t>November 4</w:t>
      </w:r>
      <w:r w:rsidR="00346D3C">
        <w:rPr>
          <w:rFonts w:ascii="Arial Narrow" w:hAnsi="Arial Narrow"/>
          <w:b/>
          <w:color w:val="000000" w:themeColor="text1"/>
          <w:sz w:val="20"/>
          <w:szCs w:val="20"/>
        </w:rPr>
        <w:t>, 2024</w:t>
      </w:r>
    </w:p>
    <w:p w14:paraId="42B1A8A3" w14:textId="3A0CBF89" w:rsidR="00B26778" w:rsidRDefault="00135CA9" w:rsidP="00B26778">
      <w:r>
        <w:rPr>
          <w:noProof/>
        </w:rPr>
        <w:drawing>
          <wp:inline distT="0" distB="0" distL="0" distR="0" wp14:anchorId="347D2493" wp14:editId="4FE0BE2C">
            <wp:extent cx="6816090" cy="1908175"/>
            <wp:effectExtent l="0" t="0" r="3810" b="0"/>
            <wp:docPr id="2146432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6090" cy="1908175"/>
                    </a:xfrm>
                    <a:prstGeom prst="rect">
                      <a:avLst/>
                    </a:prstGeom>
                    <a:noFill/>
                  </pic:spPr>
                </pic:pic>
              </a:graphicData>
            </a:graphic>
          </wp:inline>
        </w:drawing>
      </w:r>
    </w:p>
    <w:p w14:paraId="05B60FB8" w14:textId="181411DB" w:rsidR="00EC6FA6" w:rsidRPr="00382D94" w:rsidRDefault="00DD5970" w:rsidP="00511FC1">
      <w:pPr>
        <w:spacing w:before="120" w:after="120"/>
        <w:rPr>
          <w:bCs/>
          <w:sz w:val="16"/>
        </w:rPr>
      </w:pPr>
      <w:r>
        <w:rPr>
          <w:rFonts w:ascii="Arial Black" w:hAnsi="Arial Black" w:cs="Arial"/>
          <w:bCs/>
        </w:rPr>
        <w:t>Third Party Liability Billing and Use of Other Coverage Codes Reminder</w:t>
      </w:r>
    </w:p>
    <w:p w14:paraId="3D7AE42A" w14:textId="77777777" w:rsidR="00BD1619" w:rsidRPr="00A82F98" w:rsidRDefault="00BD1619" w:rsidP="00BD1619">
      <w:pPr>
        <w:autoSpaceDE w:val="0"/>
        <w:autoSpaceDN w:val="0"/>
        <w:adjustRightInd w:val="0"/>
        <w:rPr>
          <w:rFonts w:ascii="Arial" w:hAnsi="Arial" w:cs="Arial"/>
        </w:rPr>
      </w:pPr>
      <w:r w:rsidRPr="00A82F98">
        <w:rPr>
          <w:rFonts w:ascii="Arial" w:hAnsi="Arial" w:cs="Arial"/>
        </w:rPr>
        <w:t xml:space="preserve">MassHealth regulations at 130 CMR 450.316 require pharmacies to identify and obtain payment from available third-party payers before submitting a claim to MassHealth. Claims must be submitted in accordance with each payer’s billing and authorization requirements to obtain appropriate reimbursement. If a primary payer requires prior authorization for coverage of a drug, a pharmacy is responsible for ensuring the prescriber has sought prior authorization for coverage from the other payer before billing MassHealth directly with an Other Coverage Code value of “03.” </w:t>
      </w:r>
    </w:p>
    <w:p w14:paraId="2E8FECA9" w14:textId="77777777" w:rsidR="00BD1619" w:rsidRPr="00A82F98" w:rsidRDefault="00BD1619" w:rsidP="00BD1619">
      <w:pPr>
        <w:autoSpaceDE w:val="0"/>
        <w:autoSpaceDN w:val="0"/>
        <w:adjustRightInd w:val="0"/>
        <w:rPr>
          <w:rFonts w:ascii="Arial" w:hAnsi="Arial" w:cs="Arial"/>
        </w:rPr>
      </w:pPr>
    </w:p>
    <w:p w14:paraId="6276DB38" w14:textId="77777777" w:rsidR="00BD1619" w:rsidRPr="00A82F98" w:rsidRDefault="00BD1619" w:rsidP="00BD1619">
      <w:pPr>
        <w:autoSpaceDE w:val="0"/>
        <w:autoSpaceDN w:val="0"/>
        <w:adjustRightInd w:val="0"/>
        <w:rPr>
          <w:rFonts w:ascii="Arial" w:hAnsi="Arial" w:cs="Arial"/>
        </w:rPr>
      </w:pPr>
      <w:r w:rsidRPr="00A82F98">
        <w:rPr>
          <w:rFonts w:ascii="Arial" w:hAnsi="Arial" w:cs="Arial"/>
        </w:rPr>
        <w:t xml:space="preserve">MassHealth reminds pharmacies that Other Coverage Code value of “04” must be used only when the other payer has paid $0 because 100% of the allowed amount was applied to the patient responsibility (i.e., deductible). If a pharmacy is not within the primary payer’s network, pharmacies should make diligent efforts to transfer the member’s prescription to an in-network pharmacy so that MassHealth may remain the payer of last resort. </w:t>
      </w:r>
    </w:p>
    <w:p w14:paraId="04C4ECA8" w14:textId="77777777" w:rsidR="00BD1619" w:rsidRPr="00A82F98" w:rsidRDefault="00BD1619" w:rsidP="00BD1619">
      <w:pPr>
        <w:autoSpaceDE w:val="0"/>
        <w:autoSpaceDN w:val="0"/>
        <w:adjustRightInd w:val="0"/>
        <w:rPr>
          <w:rFonts w:ascii="Arial" w:hAnsi="Arial" w:cs="Arial"/>
        </w:rPr>
      </w:pPr>
    </w:p>
    <w:p w14:paraId="11B79F6F" w14:textId="77777777" w:rsidR="00BD1619" w:rsidRPr="00A82F98" w:rsidRDefault="00BD1619" w:rsidP="00BD1619">
      <w:pPr>
        <w:autoSpaceDE w:val="0"/>
        <w:autoSpaceDN w:val="0"/>
        <w:adjustRightInd w:val="0"/>
        <w:rPr>
          <w:rFonts w:ascii="Arial" w:hAnsi="Arial" w:cs="Arial"/>
        </w:rPr>
      </w:pPr>
      <w:r w:rsidRPr="00A82F98">
        <w:rPr>
          <w:rFonts w:ascii="Arial" w:hAnsi="Arial" w:cs="Arial"/>
        </w:rPr>
        <w:t xml:space="preserve">Use of Other Coverage Code values “03” and “04” will be monitored and validated by MassHealth. Claims with inappropriate use of Other Coverage Code values of “03” and “04” may be subject to audit and recovery. </w:t>
      </w:r>
    </w:p>
    <w:p w14:paraId="4C6C13DB" w14:textId="77777777" w:rsidR="00BD1619" w:rsidRPr="00A82F98" w:rsidRDefault="00BD1619" w:rsidP="00BD1619">
      <w:pPr>
        <w:autoSpaceDE w:val="0"/>
        <w:autoSpaceDN w:val="0"/>
        <w:adjustRightInd w:val="0"/>
        <w:rPr>
          <w:rFonts w:ascii="Arial" w:hAnsi="Arial" w:cs="Arial"/>
        </w:rPr>
      </w:pPr>
    </w:p>
    <w:p w14:paraId="7C367C19" w14:textId="1650864D" w:rsidR="00346D3C" w:rsidRPr="00A82F98" w:rsidRDefault="00BD1619" w:rsidP="00BD1619">
      <w:pPr>
        <w:autoSpaceDE w:val="0"/>
        <w:autoSpaceDN w:val="0"/>
        <w:adjustRightInd w:val="0"/>
        <w:rPr>
          <w:rFonts w:ascii="Arial" w:hAnsi="Arial" w:cs="Arial"/>
        </w:rPr>
      </w:pPr>
      <w:r w:rsidRPr="00A82F98">
        <w:rPr>
          <w:rFonts w:ascii="Arial" w:hAnsi="Arial" w:cs="Arial"/>
        </w:rPr>
        <w:t xml:space="preserve">For detailed information, please see Section 4.0 Third-Party Liability (TPL) Billing of the </w:t>
      </w:r>
      <w:hyperlink r:id="rId9" w:history="1">
        <w:r w:rsidRPr="00A82F98">
          <w:rPr>
            <w:rStyle w:val="Hyperlink"/>
            <w:rFonts w:ascii="Arial" w:hAnsi="Arial" w:cs="Arial"/>
          </w:rPr>
          <w:t>Pharmacy Online Processing System (POPS) Billing Guide</w:t>
        </w:r>
      </w:hyperlink>
      <w:r w:rsidRPr="00A82F98">
        <w:rPr>
          <w:rFonts w:ascii="Arial" w:hAnsi="Arial" w:cs="Arial"/>
        </w:rPr>
        <w:t>.</w:t>
      </w:r>
    </w:p>
    <w:p w14:paraId="5A9CAAC5" w14:textId="77777777" w:rsidR="00BD1619" w:rsidRDefault="00BD1619" w:rsidP="00BD1619">
      <w:pPr>
        <w:autoSpaceDE w:val="0"/>
        <w:autoSpaceDN w:val="0"/>
        <w:adjustRightInd w:val="0"/>
        <w:rPr>
          <w:bCs/>
        </w:rPr>
      </w:pPr>
    </w:p>
    <w:p w14:paraId="3DBE6BC4" w14:textId="00A7678B" w:rsidR="00346D3C" w:rsidRPr="00346D3C" w:rsidRDefault="00BD14E9" w:rsidP="008174EA">
      <w:pPr>
        <w:pStyle w:val="Heading1"/>
        <w:spacing w:after="120"/>
        <w:jc w:val="left"/>
      </w:pPr>
      <w:r>
        <w:rPr>
          <w:rFonts w:ascii="Arial Black" w:hAnsi="Arial Black" w:cs="Arial"/>
          <w:bCs w:val="0"/>
          <w:sz w:val="24"/>
        </w:rPr>
        <w:t>MHDL Update</w:t>
      </w:r>
    </w:p>
    <w:p w14:paraId="5C71A94E" w14:textId="735796E9" w:rsidR="00346D3C" w:rsidRPr="00A82F98" w:rsidRDefault="00BD14E9" w:rsidP="00B26778">
      <w:pPr>
        <w:rPr>
          <w:rFonts w:ascii="Arial" w:hAnsi="Arial" w:cs="Arial"/>
        </w:rPr>
      </w:pPr>
      <w:r w:rsidRPr="00A82F98">
        <w:rPr>
          <w:rFonts w:ascii="Arial" w:hAnsi="Arial" w:cs="Arial"/>
        </w:rPr>
        <w:t>Below are certain updates to the MassHealth Drug List (MHDL). See the MHDL for a complete listing of updates.</w:t>
      </w:r>
    </w:p>
    <w:p w14:paraId="64C17240" w14:textId="77777777" w:rsidR="00CF0389" w:rsidRPr="00553850" w:rsidRDefault="00CF0389" w:rsidP="00B26778">
      <w:pPr>
        <w:pStyle w:val="Default"/>
        <w:ind w:left="-86"/>
        <w:rPr>
          <w:rFonts w:ascii="Times New Roman" w:hAnsi="Times New Roman" w:cs="Times New Roman"/>
        </w:rPr>
      </w:pPr>
    </w:p>
    <w:p w14:paraId="548C0FEC" w14:textId="77777777" w:rsidR="00B65FB4" w:rsidRDefault="00B65FB4" w:rsidP="00B65FB4">
      <w:pPr>
        <w:pStyle w:val="Default"/>
        <w:rPr>
          <w:rFonts w:ascii="Times New Roman" w:eastAsia="Arial" w:hAnsi="Times New Roman" w:cs="Times New Roman"/>
          <w:bCs/>
          <w:color w:val="auto"/>
        </w:rPr>
      </w:pPr>
    </w:p>
    <w:p w14:paraId="4FCC4310" w14:textId="77777777" w:rsidR="00B65FB4" w:rsidRDefault="00B65FB4" w:rsidP="00B65FB4">
      <w:pPr>
        <w:pStyle w:val="Default"/>
        <w:rPr>
          <w:rFonts w:ascii="Times New Roman" w:eastAsia="Arial" w:hAnsi="Times New Roman" w:cs="Times New Roman"/>
          <w:bCs/>
          <w:color w:val="auto"/>
        </w:rPr>
        <w:sectPr w:rsidR="00B65FB4" w:rsidSect="00CF0389">
          <w:footerReference w:type="default" r:id="rId10"/>
          <w:footerReference w:type="first" r:id="rId11"/>
          <w:pgSz w:w="12240" w:h="15840" w:code="1"/>
          <w:pgMar w:top="360" w:right="907" w:bottom="1080" w:left="907" w:header="720" w:footer="576" w:gutter="0"/>
          <w:cols w:sep="1" w:space="720"/>
          <w:docGrid w:linePitch="360"/>
        </w:sectPr>
      </w:pPr>
    </w:p>
    <w:p w14:paraId="2EFDC178" w14:textId="3FEE5BB9" w:rsidR="00B65FB4" w:rsidRDefault="0071247F" w:rsidP="00CF6ED3">
      <w:pPr>
        <w:pStyle w:val="Default"/>
        <w:pBdr>
          <w:bottom w:val="single" w:sz="18" w:space="1" w:color="auto"/>
        </w:pBdr>
        <w:tabs>
          <w:tab w:val="right" w:pos="10440"/>
        </w:tabs>
        <w:spacing w:after="240"/>
        <w:rPr>
          <w:sz w:val="18"/>
          <w:szCs w:val="18"/>
        </w:rPr>
      </w:pPr>
      <w:r w:rsidRPr="00AD18B8">
        <w:rPr>
          <w:sz w:val="18"/>
          <w:szCs w:val="18"/>
        </w:rPr>
        <w:lastRenderedPageBreak/>
        <w:t>P</w:t>
      </w:r>
      <w:r>
        <w:rPr>
          <w:sz w:val="18"/>
          <w:szCs w:val="18"/>
        </w:rPr>
        <w:t>harmacy Facts 23</w:t>
      </w:r>
      <w:r w:rsidR="00AA15FC">
        <w:rPr>
          <w:sz w:val="18"/>
          <w:szCs w:val="18"/>
        </w:rPr>
        <w:t>4</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sidR="00B65FB4">
        <w:rPr>
          <w:noProof/>
          <w:color w:val="auto"/>
          <w:sz w:val="18"/>
          <w:szCs w:val="18"/>
        </w:rPr>
        <w:t>2</w:t>
      </w:r>
      <w:r w:rsidRPr="00EC1948">
        <w:rPr>
          <w:noProof/>
          <w:color w:val="auto"/>
          <w:sz w:val="18"/>
          <w:szCs w:val="18"/>
        </w:rPr>
        <w:fldChar w:fldCharType="end"/>
      </w:r>
      <w:r w:rsidRPr="00EC1948">
        <w:rPr>
          <w:noProof/>
          <w:color w:val="auto"/>
          <w:sz w:val="18"/>
          <w:szCs w:val="18"/>
        </w:rPr>
        <w:t xml:space="preserve"> of </w:t>
      </w:r>
      <w:r w:rsidR="00AA15FC">
        <w:rPr>
          <w:noProof/>
          <w:color w:val="auto"/>
          <w:sz w:val="18"/>
          <w:szCs w:val="18"/>
        </w:rPr>
        <w:t>5</w:t>
      </w:r>
    </w:p>
    <w:p w14:paraId="10EA92B2" w14:textId="77777777" w:rsidR="00612D59" w:rsidRPr="004924F1" w:rsidRDefault="00612D59" w:rsidP="00612D59">
      <w:pPr>
        <w:pStyle w:val="Default"/>
        <w:spacing w:after="120"/>
        <w:rPr>
          <w:rFonts w:ascii="Arial" w:hAnsi="Arial" w:cs="Arial"/>
          <w:b/>
          <w:color w:val="auto"/>
          <w:sz w:val="28"/>
          <w:szCs w:val="28"/>
        </w:rPr>
      </w:pPr>
      <w:r>
        <w:rPr>
          <w:rFonts w:cs="Arial"/>
          <w:b/>
          <w:color w:val="auto"/>
        </w:rPr>
        <w:t>Additions</w:t>
      </w:r>
    </w:p>
    <w:p w14:paraId="120A83EB" w14:textId="77777777" w:rsidR="00612D59" w:rsidRPr="00A82F98" w:rsidRDefault="00612D59" w:rsidP="00612D59">
      <w:pPr>
        <w:pStyle w:val="Default"/>
        <w:numPr>
          <w:ilvl w:val="0"/>
          <w:numId w:val="16"/>
        </w:numPr>
        <w:rPr>
          <w:rFonts w:ascii="Arial" w:eastAsia="Arial" w:hAnsi="Arial" w:cs="Arial"/>
          <w:bCs/>
          <w:color w:val="auto"/>
        </w:rPr>
      </w:pPr>
      <w:r w:rsidRPr="00A82F98">
        <w:rPr>
          <w:rFonts w:ascii="Arial" w:eastAsia="Arial" w:hAnsi="Arial" w:cs="Arial"/>
          <w:bCs/>
          <w:color w:val="auto"/>
        </w:rPr>
        <w:t xml:space="preserve">Effective November 12, 2024, the following newly marketed drugs will be added to the MassHealth Drug List. </w:t>
      </w:r>
    </w:p>
    <w:p w14:paraId="38738C43" w14:textId="77777777" w:rsidR="00612D59" w:rsidRPr="00A82F98" w:rsidRDefault="00612D59" w:rsidP="00612D59">
      <w:pPr>
        <w:pStyle w:val="Default"/>
        <w:numPr>
          <w:ilvl w:val="0"/>
          <w:numId w:val="17"/>
        </w:numPr>
        <w:rPr>
          <w:rFonts w:ascii="Arial" w:eastAsia="Arial" w:hAnsi="Arial" w:cs="Arial"/>
          <w:bCs/>
          <w:color w:val="auto"/>
        </w:rPr>
      </w:pPr>
      <w:r w:rsidRPr="00A82F98">
        <w:rPr>
          <w:rFonts w:ascii="Arial" w:eastAsia="Arial" w:hAnsi="Arial" w:cs="Arial"/>
          <w:bCs/>
          <w:color w:val="auto"/>
        </w:rPr>
        <w:t xml:space="preserve">baclofen 15 mg tablet – </w:t>
      </w:r>
      <w:r w:rsidRPr="00A82F98">
        <w:rPr>
          <w:rFonts w:ascii="Arial" w:eastAsia="Arial" w:hAnsi="Arial" w:cs="Arial"/>
          <w:b/>
          <w:color w:val="auto"/>
        </w:rPr>
        <w:t>PA</w:t>
      </w:r>
      <w:r w:rsidRPr="00A82F98">
        <w:rPr>
          <w:rFonts w:ascii="Arial" w:eastAsia="Arial" w:hAnsi="Arial" w:cs="Arial"/>
          <w:bCs/>
          <w:color w:val="auto"/>
        </w:rPr>
        <w:t xml:space="preserve"> </w:t>
      </w:r>
    </w:p>
    <w:p w14:paraId="43D8C187" w14:textId="77777777" w:rsidR="00612D59" w:rsidRPr="00A82F98" w:rsidRDefault="00612D59" w:rsidP="00612D59">
      <w:pPr>
        <w:pStyle w:val="Default"/>
        <w:numPr>
          <w:ilvl w:val="0"/>
          <w:numId w:val="17"/>
        </w:numPr>
        <w:rPr>
          <w:rFonts w:ascii="Arial" w:eastAsia="Arial" w:hAnsi="Arial" w:cs="Arial"/>
          <w:bCs/>
          <w:color w:val="auto"/>
        </w:rPr>
      </w:pPr>
      <w:proofErr w:type="spellStart"/>
      <w:r w:rsidRPr="00A82F98">
        <w:rPr>
          <w:rFonts w:ascii="Arial" w:eastAsia="Arial" w:hAnsi="Arial" w:cs="Arial"/>
          <w:bCs/>
          <w:color w:val="auto"/>
        </w:rPr>
        <w:t>Beqvez</w:t>
      </w:r>
      <w:proofErr w:type="spellEnd"/>
      <w:r w:rsidRPr="00A82F98">
        <w:rPr>
          <w:rFonts w:ascii="Arial" w:eastAsia="Arial" w:hAnsi="Arial" w:cs="Arial"/>
          <w:bCs/>
          <w:color w:val="auto"/>
        </w:rPr>
        <w:t xml:space="preserve"> (</w:t>
      </w:r>
      <w:proofErr w:type="spellStart"/>
      <w:r w:rsidRPr="00A82F98">
        <w:rPr>
          <w:rFonts w:ascii="Arial" w:eastAsia="Arial" w:hAnsi="Arial" w:cs="Arial"/>
          <w:bCs/>
          <w:color w:val="auto"/>
        </w:rPr>
        <w:t>fidanacogene</w:t>
      </w:r>
      <w:proofErr w:type="spellEnd"/>
      <w:r w:rsidRPr="00A82F98">
        <w:rPr>
          <w:rFonts w:ascii="Arial" w:eastAsia="Arial" w:hAnsi="Arial" w:cs="Arial"/>
          <w:bCs/>
          <w:color w:val="auto"/>
        </w:rPr>
        <w:t xml:space="preserve"> </w:t>
      </w:r>
      <w:proofErr w:type="spellStart"/>
      <w:r w:rsidRPr="00A82F98">
        <w:rPr>
          <w:rFonts w:ascii="Arial" w:eastAsia="Arial" w:hAnsi="Arial" w:cs="Arial"/>
          <w:bCs/>
          <w:color w:val="auto"/>
        </w:rPr>
        <w:t>elaparvovec-dzkt</w:t>
      </w:r>
      <w:proofErr w:type="spellEnd"/>
      <w:r w:rsidRPr="00A82F98">
        <w:rPr>
          <w:rFonts w:ascii="Arial" w:eastAsia="Arial" w:hAnsi="Arial" w:cs="Arial"/>
          <w:bCs/>
          <w:color w:val="auto"/>
        </w:rPr>
        <w:t xml:space="preserve">) – </w:t>
      </w:r>
      <w:r w:rsidRPr="00A82F98">
        <w:rPr>
          <w:rFonts w:ascii="Arial" w:eastAsia="Arial" w:hAnsi="Arial" w:cs="Arial"/>
          <w:b/>
          <w:color w:val="auto"/>
        </w:rPr>
        <w:t>PA</w:t>
      </w:r>
      <w:r w:rsidRPr="00A82F98">
        <w:rPr>
          <w:rFonts w:ascii="Arial" w:eastAsia="Arial" w:hAnsi="Arial" w:cs="Arial"/>
          <w:bCs/>
          <w:color w:val="auto"/>
        </w:rPr>
        <w:t>; CO, MB</w:t>
      </w:r>
    </w:p>
    <w:p w14:paraId="6D85340D" w14:textId="77777777" w:rsidR="00612D59" w:rsidRPr="00A82F98" w:rsidRDefault="00612D59" w:rsidP="00612D59">
      <w:pPr>
        <w:pStyle w:val="Default"/>
        <w:numPr>
          <w:ilvl w:val="0"/>
          <w:numId w:val="17"/>
        </w:numPr>
        <w:rPr>
          <w:rFonts w:ascii="Arial" w:eastAsia="Arial" w:hAnsi="Arial" w:cs="Arial"/>
          <w:bCs/>
          <w:color w:val="auto"/>
        </w:rPr>
      </w:pPr>
      <w:r w:rsidRPr="00A82F98">
        <w:rPr>
          <w:rFonts w:ascii="Arial" w:eastAsia="Arial" w:hAnsi="Arial" w:cs="Arial"/>
          <w:bCs/>
          <w:color w:val="auto"/>
        </w:rPr>
        <w:t>Focinvez (</w:t>
      </w:r>
      <w:proofErr w:type="spellStart"/>
      <w:r w:rsidRPr="00A82F98">
        <w:rPr>
          <w:rFonts w:ascii="Arial" w:eastAsia="Arial" w:hAnsi="Arial" w:cs="Arial"/>
          <w:bCs/>
          <w:color w:val="auto"/>
        </w:rPr>
        <w:t>fosaprepitant</w:t>
      </w:r>
      <w:proofErr w:type="spellEnd"/>
      <w:r w:rsidRPr="00A82F98">
        <w:rPr>
          <w:rFonts w:ascii="Arial" w:eastAsia="Arial" w:hAnsi="Arial" w:cs="Arial"/>
          <w:bCs/>
          <w:color w:val="auto"/>
        </w:rPr>
        <w:t xml:space="preserve"> injection) – </w:t>
      </w:r>
      <w:r w:rsidRPr="00A82F98">
        <w:rPr>
          <w:rFonts w:ascii="Arial" w:eastAsia="Arial" w:hAnsi="Arial" w:cs="Arial"/>
          <w:b/>
          <w:color w:val="auto"/>
        </w:rPr>
        <w:t>PA</w:t>
      </w:r>
      <w:r w:rsidRPr="00A82F98">
        <w:rPr>
          <w:rFonts w:ascii="Arial" w:eastAsia="Arial" w:hAnsi="Arial" w:cs="Arial"/>
          <w:bCs/>
          <w:color w:val="auto"/>
        </w:rPr>
        <w:t xml:space="preserve"> </w:t>
      </w:r>
    </w:p>
    <w:p w14:paraId="2A2AD906" w14:textId="77777777" w:rsidR="00612D59" w:rsidRPr="00A82F98" w:rsidRDefault="00612D59" w:rsidP="00612D59">
      <w:pPr>
        <w:pStyle w:val="Default"/>
        <w:numPr>
          <w:ilvl w:val="0"/>
          <w:numId w:val="17"/>
        </w:numPr>
        <w:rPr>
          <w:rFonts w:ascii="Arial" w:eastAsia="Arial" w:hAnsi="Arial" w:cs="Arial"/>
          <w:bCs/>
          <w:color w:val="auto"/>
        </w:rPr>
      </w:pPr>
      <w:proofErr w:type="spellStart"/>
      <w:r w:rsidRPr="00A82F98">
        <w:rPr>
          <w:rFonts w:ascii="Arial" w:eastAsia="Arial" w:hAnsi="Arial" w:cs="Arial"/>
          <w:bCs/>
          <w:color w:val="auto"/>
        </w:rPr>
        <w:t>Idose</w:t>
      </w:r>
      <w:proofErr w:type="spellEnd"/>
      <w:r w:rsidRPr="00A82F98">
        <w:rPr>
          <w:rFonts w:ascii="Arial" w:eastAsia="Arial" w:hAnsi="Arial" w:cs="Arial"/>
          <w:bCs/>
          <w:color w:val="auto"/>
        </w:rPr>
        <w:t xml:space="preserve"> TR (</w:t>
      </w:r>
      <w:proofErr w:type="spellStart"/>
      <w:r w:rsidRPr="00A82F98">
        <w:rPr>
          <w:rFonts w:ascii="Arial" w:eastAsia="Arial" w:hAnsi="Arial" w:cs="Arial"/>
          <w:bCs/>
          <w:color w:val="auto"/>
        </w:rPr>
        <w:t>travoprost</w:t>
      </w:r>
      <w:proofErr w:type="spellEnd"/>
      <w:r w:rsidRPr="00A82F98">
        <w:rPr>
          <w:rFonts w:ascii="Arial" w:eastAsia="Arial" w:hAnsi="Arial" w:cs="Arial"/>
          <w:bCs/>
          <w:color w:val="auto"/>
        </w:rPr>
        <w:t xml:space="preserve"> intracameral implant) – </w:t>
      </w:r>
      <w:r w:rsidRPr="00A82F98">
        <w:rPr>
          <w:rFonts w:ascii="Arial" w:eastAsia="Arial" w:hAnsi="Arial" w:cs="Arial"/>
          <w:b/>
          <w:color w:val="auto"/>
        </w:rPr>
        <w:t>PA</w:t>
      </w:r>
      <w:r w:rsidRPr="00A82F98">
        <w:rPr>
          <w:rFonts w:ascii="Arial" w:eastAsia="Arial" w:hAnsi="Arial" w:cs="Arial"/>
          <w:bCs/>
          <w:color w:val="auto"/>
        </w:rPr>
        <w:t>; MB</w:t>
      </w:r>
    </w:p>
    <w:p w14:paraId="12D72302" w14:textId="59BB4B54" w:rsidR="008F02DD" w:rsidRPr="00A82F98" w:rsidRDefault="008F02DD" w:rsidP="00CF6ED3">
      <w:pPr>
        <w:pStyle w:val="ListParagraph"/>
        <w:numPr>
          <w:ilvl w:val="0"/>
          <w:numId w:val="18"/>
        </w:numPr>
        <w:rPr>
          <w:rFonts w:ascii="Arial" w:hAnsi="Arial" w:cs="Arial"/>
        </w:rPr>
      </w:pPr>
      <w:proofErr w:type="spellStart"/>
      <w:r w:rsidRPr="00A82F98">
        <w:rPr>
          <w:rFonts w:ascii="Arial" w:hAnsi="Arial" w:cs="Arial"/>
        </w:rPr>
        <w:t>Imdelltra</w:t>
      </w:r>
      <w:proofErr w:type="spellEnd"/>
      <w:r w:rsidRPr="00A82F98">
        <w:rPr>
          <w:rFonts w:ascii="Arial" w:hAnsi="Arial" w:cs="Arial"/>
        </w:rPr>
        <w:t xml:space="preserve"> (</w:t>
      </w:r>
      <w:proofErr w:type="spellStart"/>
      <w:r w:rsidRPr="00A82F98">
        <w:rPr>
          <w:rFonts w:ascii="Arial" w:hAnsi="Arial" w:cs="Arial"/>
        </w:rPr>
        <w:t>tarlatamab-dlle</w:t>
      </w:r>
      <w:proofErr w:type="spellEnd"/>
      <w:r w:rsidRPr="00A82F98">
        <w:rPr>
          <w:rFonts w:ascii="Arial" w:hAnsi="Arial" w:cs="Arial"/>
        </w:rPr>
        <w:t xml:space="preserve">) – </w:t>
      </w:r>
      <w:r w:rsidRPr="00A82F98">
        <w:rPr>
          <w:rFonts w:ascii="Arial" w:hAnsi="Arial" w:cs="Arial"/>
          <w:b/>
          <w:bCs/>
        </w:rPr>
        <w:t>PA</w:t>
      </w:r>
      <w:r w:rsidRPr="00A82F98">
        <w:rPr>
          <w:rFonts w:ascii="Arial" w:hAnsi="Arial" w:cs="Arial"/>
        </w:rPr>
        <w:t xml:space="preserve">; MB </w:t>
      </w:r>
    </w:p>
    <w:p w14:paraId="6266C25D" w14:textId="034A2765" w:rsidR="008F02DD" w:rsidRPr="00A82F98" w:rsidRDefault="008F02DD" w:rsidP="00CF6ED3">
      <w:pPr>
        <w:pStyle w:val="ListParagraph"/>
        <w:numPr>
          <w:ilvl w:val="0"/>
          <w:numId w:val="18"/>
        </w:numPr>
        <w:rPr>
          <w:rFonts w:ascii="Arial" w:hAnsi="Arial" w:cs="Arial"/>
        </w:rPr>
      </w:pPr>
      <w:proofErr w:type="spellStart"/>
      <w:r w:rsidRPr="00A82F98">
        <w:rPr>
          <w:rFonts w:ascii="Arial" w:hAnsi="Arial" w:cs="Arial"/>
        </w:rPr>
        <w:t>Myhibbin</w:t>
      </w:r>
      <w:proofErr w:type="spellEnd"/>
      <w:r w:rsidRPr="00A82F98">
        <w:rPr>
          <w:rFonts w:ascii="Arial" w:hAnsi="Arial" w:cs="Arial"/>
        </w:rPr>
        <w:t xml:space="preserve"> (mycophenolate mofetil suspension) – </w:t>
      </w:r>
      <w:r w:rsidRPr="00A82F98">
        <w:rPr>
          <w:rFonts w:ascii="Arial" w:hAnsi="Arial" w:cs="Arial"/>
          <w:b/>
          <w:bCs/>
        </w:rPr>
        <w:t>PA</w:t>
      </w:r>
      <w:r w:rsidRPr="00A82F98">
        <w:rPr>
          <w:rFonts w:ascii="Arial" w:hAnsi="Arial" w:cs="Arial"/>
        </w:rPr>
        <w:t xml:space="preserve"> </w:t>
      </w:r>
    </w:p>
    <w:p w14:paraId="1B3B644C" w14:textId="0322BE5C" w:rsidR="008F02DD" w:rsidRPr="00A82F98" w:rsidRDefault="008F02DD" w:rsidP="00CF6ED3">
      <w:pPr>
        <w:pStyle w:val="ListParagraph"/>
        <w:numPr>
          <w:ilvl w:val="0"/>
          <w:numId w:val="18"/>
        </w:numPr>
        <w:rPr>
          <w:rFonts w:ascii="Arial" w:hAnsi="Arial" w:cs="Arial"/>
        </w:rPr>
      </w:pPr>
      <w:r w:rsidRPr="00A82F98">
        <w:rPr>
          <w:rFonts w:ascii="Arial" w:hAnsi="Arial" w:cs="Arial"/>
        </w:rPr>
        <w:t xml:space="preserve">ondansetron 16 mg orally disintegrating tablet – </w:t>
      </w:r>
      <w:r w:rsidRPr="00A82F98">
        <w:rPr>
          <w:rFonts w:ascii="Arial" w:hAnsi="Arial" w:cs="Arial"/>
          <w:b/>
          <w:bCs/>
        </w:rPr>
        <w:t>PA</w:t>
      </w:r>
      <w:r w:rsidRPr="00A82F98">
        <w:rPr>
          <w:rFonts w:ascii="Arial" w:hAnsi="Arial" w:cs="Arial"/>
        </w:rPr>
        <w:t>; A90</w:t>
      </w:r>
    </w:p>
    <w:p w14:paraId="50836A69" w14:textId="40A104C8" w:rsidR="008F02DD" w:rsidRPr="00A82F98" w:rsidRDefault="008F02DD" w:rsidP="00CF6ED3">
      <w:pPr>
        <w:pStyle w:val="ListParagraph"/>
        <w:numPr>
          <w:ilvl w:val="0"/>
          <w:numId w:val="18"/>
        </w:numPr>
        <w:rPr>
          <w:rFonts w:ascii="Arial" w:hAnsi="Arial" w:cs="Arial"/>
        </w:rPr>
      </w:pPr>
      <w:proofErr w:type="spellStart"/>
      <w:r w:rsidRPr="00A82F98">
        <w:rPr>
          <w:rFonts w:ascii="Arial" w:hAnsi="Arial" w:cs="Arial"/>
        </w:rPr>
        <w:t>Rivfloza</w:t>
      </w:r>
      <w:proofErr w:type="spellEnd"/>
      <w:r w:rsidRPr="00A82F98">
        <w:rPr>
          <w:rFonts w:ascii="Arial" w:hAnsi="Arial" w:cs="Arial"/>
        </w:rPr>
        <w:t xml:space="preserve"> (</w:t>
      </w:r>
      <w:proofErr w:type="spellStart"/>
      <w:r w:rsidRPr="00A82F98">
        <w:rPr>
          <w:rFonts w:ascii="Arial" w:hAnsi="Arial" w:cs="Arial"/>
        </w:rPr>
        <w:t>nedosiran</w:t>
      </w:r>
      <w:proofErr w:type="spellEnd"/>
      <w:r w:rsidRPr="00A82F98">
        <w:rPr>
          <w:rFonts w:ascii="Arial" w:hAnsi="Arial" w:cs="Arial"/>
        </w:rPr>
        <w:t xml:space="preserve">) – </w:t>
      </w:r>
      <w:r w:rsidRPr="00A82F98">
        <w:rPr>
          <w:rFonts w:ascii="Arial" w:hAnsi="Arial" w:cs="Arial"/>
          <w:b/>
          <w:bCs/>
        </w:rPr>
        <w:t>PA</w:t>
      </w:r>
      <w:r w:rsidRPr="00A82F98">
        <w:rPr>
          <w:rFonts w:ascii="Arial" w:hAnsi="Arial" w:cs="Arial"/>
        </w:rPr>
        <w:t xml:space="preserve"> </w:t>
      </w:r>
    </w:p>
    <w:p w14:paraId="5C961DD4" w14:textId="6E852FF4" w:rsidR="008F02DD" w:rsidRPr="00A82F98" w:rsidRDefault="008F02DD" w:rsidP="00CF6ED3">
      <w:pPr>
        <w:pStyle w:val="ListParagraph"/>
        <w:numPr>
          <w:ilvl w:val="0"/>
          <w:numId w:val="18"/>
        </w:numPr>
        <w:rPr>
          <w:rFonts w:ascii="Arial" w:hAnsi="Arial" w:cs="Arial"/>
        </w:rPr>
      </w:pPr>
      <w:r w:rsidRPr="00A82F98">
        <w:rPr>
          <w:rFonts w:ascii="Arial" w:hAnsi="Arial" w:cs="Arial"/>
        </w:rPr>
        <w:t xml:space="preserve">tramadol 25 mg – </w:t>
      </w:r>
      <w:r w:rsidRPr="00A82F98">
        <w:rPr>
          <w:rFonts w:ascii="Arial" w:hAnsi="Arial" w:cs="Arial"/>
          <w:b/>
          <w:bCs/>
        </w:rPr>
        <w:t>PA</w:t>
      </w:r>
      <w:r w:rsidRPr="00A82F98">
        <w:rPr>
          <w:rFonts w:ascii="Arial" w:hAnsi="Arial" w:cs="Arial"/>
        </w:rPr>
        <w:t xml:space="preserve"> </w:t>
      </w:r>
    </w:p>
    <w:p w14:paraId="22A63BDA" w14:textId="77777777" w:rsidR="00CF6ED3" w:rsidRPr="00A82F98" w:rsidRDefault="00CF6ED3" w:rsidP="008F02DD">
      <w:pPr>
        <w:rPr>
          <w:rFonts w:ascii="Arial" w:hAnsi="Arial" w:cs="Arial"/>
        </w:rPr>
      </w:pPr>
    </w:p>
    <w:p w14:paraId="06032623" w14:textId="0AF4094A" w:rsidR="008F02DD" w:rsidRPr="00A82F98" w:rsidRDefault="008F02DD" w:rsidP="00CF6ED3">
      <w:pPr>
        <w:pStyle w:val="ListParagraph"/>
        <w:numPr>
          <w:ilvl w:val="0"/>
          <w:numId w:val="16"/>
        </w:numPr>
        <w:rPr>
          <w:rFonts w:ascii="Arial" w:hAnsi="Arial" w:cs="Arial"/>
        </w:rPr>
      </w:pPr>
      <w:r w:rsidRPr="00A82F98">
        <w:rPr>
          <w:rFonts w:ascii="Arial" w:hAnsi="Arial" w:cs="Arial"/>
        </w:rPr>
        <w:t xml:space="preserve">Effective September 18, 2024, the following oral contraceptive agent will be added to the MassHealth Drug List on November 12, 2024. </w:t>
      </w:r>
    </w:p>
    <w:p w14:paraId="41DAB135" w14:textId="5D56FD78" w:rsidR="008F02DD" w:rsidRPr="00A82F98" w:rsidRDefault="008F02DD" w:rsidP="00CF6ED3">
      <w:pPr>
        <w:pStyle w:val="ListParagraph"/>
        <w:numPr>
          <w:ilvl w:val="0"/>
          <w:numId w:val="19"/>
        </w:numPr>
        <w:rPr>
          <w:rFonts w:ascii="Arial" w:hAnsi="Arial" w:cs="Arial"/>
        </w:rPr>
      </w:pPr>
      <w:proofErr w:type="spellStart"/>
      <w:r w:rsidRPr="00A82F98">
        <w:rPr>
          <w:rFonts w:ascii="Arial" w:hAnsi="Arial" w:cs="Arial"/>
        </w:rPr>
        <w:t>Femlyv</w:t>
      </w:r>
      <w:proofErr w:type="spellEnd"/>
      <w:r w:rsidRPr="00A82F98">
        <w:rPr>
          <w:rFonts w:ascii="Arial" w:hAnsi="Arial" w:cs="Arial"/>
        </w:rPr>
        <w:t xml:space="preserve"> ODT (ethinyl estradiol/norethindrone orally disintegrating tablet)</w:t>
      </w:r>
    </w:p>
    <w:p w14:paraId="7DCD0356" w14:textId="77777777" w:rsidR="008F02DD" w:rsidRDefault="008F02DD" w:rsidP="008F02DD"/>
    <w:p w14:paraId="3D05E637" w14:textId="77777777" w:rsidR="008F02DD" w:rsidRPr="00CF6ED3" w:rsidRDefault="008F02DD" w:rsidP="00CF6ED3">
      <w:pPr>
        <w:pStyle w:val="Default"/>
        <w:spacing w:after="120"/>
        <w:rPr>
          <w:rFonts w:cs="Arial"/>
          <w:b/>
          <w:color w:val="auto"/>
        </w:rPr>
      </w:pPr>
      <w:r w:rsidRPr="00CF6ED3">
        <w:rPr>
          <w:rFonts w:cs="Arial"/>
          <w:b/>
          <w:color w:val="auto"/>
        </w:rPr>
        <w:t>New FDA “A”-Rated Generics</w:t>
      </w:r>
    </w:p>
    <w:p w14:paraId="265D9C15" w14:textId="77777777" w:rsidR="008F02DD" w:rsidRPr="00A82F98" w:rsidRDefault="008F02DD" w:rsidP="008F02DD">
      <w:pPr>
        <w:rPr>
          <w:rFonts w:ascii="Arial" w:hAnsi="Arial" w:cs="Arial"/>
        </w:rPr>
      </w:pPr>
      <w:r w:rsidRPr="00A82F98">
        <w:rPr>
          <w:rFonts w:ascii="Arial" w:hAnsi="Arial" w:cs="Arial"/>
        </w:rPr>
        <w:t xml:space="preserve">Effective November 12, 2024, the following FDA “A”-rated generic drug will be added to the MassHealth Drug List. The brand name is listed with a # symbol to indicate that PA is required for the brand. </w:t>
      </w:r>
    </w:p>
    <w:p w14:paraId="0378491A" w14:textId="77777777" w:rsidR="00CF6ED3" w:rsidRPr="00A82F98" w:rsidRDefault="00CF6ED3" w:rsidP="008F02DD">
      <w:pPr>
        <w:rPr>
          <w:rFonts w:ascii="Arial" w:hAnsi="Arial" w:cs="Arial"/>
        </w:rPr>
      </w:pPr>
    </w:p>
    <w:p w14:paraId="70398BC5" w14:textId="0FD0BC21" w:rsidR="008F02DD" w:rsidRPr="00A82F98" w:rsidRDefault="008F02DD" w:rsidP="008F7EB0">
      <w:pPr>
        <w:ind w:firstLine="720"/>
        <w:rPr>
          <w:rFonts w:ascii="Arial" w:hAnsi="Arial" w:cs="Arial"/>
          <w:b/>
          <w:bCs/>
        </w:rPr>
      </w:pPr>
      <w:r w:rsidRPr="00A82F98">
        <w:rPr>
          <w:rFonts w:ascii="Arial" w:hAnsi="Arial" w:cs="Arial"/>
          <w:b/>
          <w:bCs/>
          <w:u w:val="single"/>
        </w:rPr>
        <w:t>New FDA “A”-Rated Generic Drug</w:t>
      </w:r>
      <w:r w:rsidRPr="00A82F98">
        <w:rPr>
          <w:rFonts w:ascii="Arial" w:hAnsi="Arial" w:cs="Arial"/>
          <w:b/>
          <w:bCs/>
        </w:rPr>
        <w:tab/>
      </w:r>
      <w:r w:rsidR="00CF6ED3" w:rsidRPr="00A82F98">
        <w:rPr>
          <w:rFonts w:ascii="Arial" w:hAnsi="Arial" w:cs="Arial"/>
          <w:b/>
          <w:bCs/>
        </w:rPr>
        <w:tab/>
      </w:r>
      <w:r w:rsidR="00CF6ED3" w:rsidRPr="00A82F98">
        <w:rPr>
          <w:rFonts w:ascii="Arial" w:hAnsi="Arial" w:cs="Arial"/>
          <w:b/>
          <w:bCs/>
        </w:rPr>
        <w:tab/>
      </w:r>
      <w:r w:rsidR="00CF6ED3" w:rsidRPr="00A82F98">
        <w:rPr>
          <w:rFonts w:ascii="Arial" w:hAnsi="Arial" w:cs="Arial"/>
          <w:b/>
          <w:bCs/>
        </w:rPr>
        <w:tab/>
      </w:r>
      <w:r w:rsidRPr="00A82F98">
        <w:rPr>
          <w:rFonts w:ascii="Arial" w:hAnsi="Arial" w:cs="Arial"/>
          <w:b/>
          <w:bCs/>
          <w:u w:val="single"/>
        </w:rPr>
        <w:t>Generic Equivalent of</w:t>
      </w:r>
    </w:p>
    <w:p w14:paraId="6AB402F8" w14:textId="102E809C" w:rsidR="008F02DD" w:rsidRPr="00A82F98" w:rsidRDefault="008F02DD" w:rsidP="00D1145D">
      <w:pPr>
        <w:ind w:firstLine="720"/>
        <w:rPr>
          <w:rFonts w:ascii="Arial" w:hAnsi="Arial" w:cs="Arial"/>
        </w:rPr>
      </w:pPr>
      <w:r w:rsidRPr="00A82F98">
        <w:rPr>
          <w:rFonts w:ascii="Arial" w:hAnsi="Arial" w:cs="Arial"/>
        </w:rPr>
        <w:t>octreotide injectable suspension</w:t>
      </w:r>
      <w:r w:rsidRPr="00A82F98">
        <w:rPr>
          <w:rFonts w:ascii="Arial" w:hAnsi="Arial" w:cs="Arial"/>
        </w:rPr>
        <w:tab/>
      </w:r>
      <w:r w:rsidR="00D1145D" w:rsidRPr="00A82F98">
        <w:rPr>
          <w:rFonts w:ascii="Arial" w:hAnsi="Arial" w:cs="Arial"/>
        </w:rPr>
        <w:tab/>
      </w:r>
      <w:r w:rsidR="00D1145D" w:rsidRPr="00A82F98">
        <w:rPr>
          <w:rFonts w:ascii="Arial" w:hAnsi="Arial" w:cs="Arial"/>
        </w:rPr>
        <w:tab/>
      </w:r>
      <w:r w:rsidR="00D1145D" w:rsidRPr="00A82F98">
        <w:rPr>
          <w:rFonts w:ascii="Arial" w:hAnsi="Arial" w:cs="Arial"/>
        </w:rPr>
        <w:tab/>
      </w:r>
      <w:r w:rsidR="00D1145D" w:rsidRPr="00A82F98">
        <w:rPr>
          <w:rFonts w:ascii="Arial" w:hAnsi="Arial" w:cs="Arial"/>
        </w:rPr>
        <w:tab/>
      </w:r>
      <w:proofErr w:type="spellStart"/>
      <w:r w:rsidRPr="00A82F98">
        <w:rPr>
          <w:rFonts w:ascii="Arial" w:hAnsi="Arial" w:cs="Arial"/>
        </w:rPr>
        <w:t>Sandostatin</w:t>
      </w:r>
      <w:proofErr w:type="spellEnd"/>
      <w:r w:rsidRPr="00A82F98">
        <w:rPr>
          <w:rFonts w:ascii="Arial" w:hAnsi="Arial" w:cs="Arial"/>
        </w:rPr>
        <w:t xml:space="preserve"> LAR #</w:t>
      </w:r>
    </w:p>
    <w:p w14:paraId="16E2CE6B" w14:textId="77777777" w:rsidR="008F02DD" w:rsidRDefault="008F02DD" w:rsidP="008F02DD"/>
    <w:p w14:paraId="1615AF0C" w14:textId="77777777" w:rsidR="008F02DD" w:rsidRPr="00D1145D" w:rsidRDefault="008F02DD" w:rsidP="00D1145D">
      <w:pPr>
        <w:pStyle w:val="Default"/>
        <w:spacing w:after="120"/>
        <w:rPr>
          <w:rFonts w:cs="Arial"/>
          <w:b/>
          <w:color w:val="auto"/>
        </w:rPr>
      </w:pPr>
      <w:r w:rsidRPr="00D1145D">
        <w:rPr>
          <w:rFonts w:cs="Arial"/>
          <w:b/>
          <w:color w:val="auto"/>
        </w:rPr>
        <w:t>Change in Prior Authorization Status</w:t>
      </w:r>
    </w:p>
    <w:p w14:paraId="028F95E1" w14:textId="0E86B554" w:rsidR="008F02DD" w:rsidRPr="007642D4" w:rsidRDefault="008F02DD" w:rsidP="00D1145D">
      <w:pPr>
        <w:pStyle w:val="ListParagraph"/>
        <w:numPr>
          <w:ilvl w:val="0"/>
          <w:numId w:val="20"/>
        </w:numPr>
        <w:rPr>
          <w:rFonts w:ascii="Arial" w:hAnsi="Arial" w:cs="Arial"/>
        </w:rPr>
      </w:pPr>
      <w:r w:rsidRPr="007642D4">
        <w:rPr>
          <w:rFonts w:ascii="Arial" w:hAnsi="Arial" w:cs="Arial"/>
        </w:rPr>
        <w:t xml:space="preserve">Effective November 12, 2024, the following opioid agent will require PA. </w:t>
      </w:r>
    </w:p>
    <w:p w14:paraId="59759CFF" w14:textId="2EBD2CDF" w:rsidR="008F02DD" w:rsidRPr="007642D4" w:rsidRDefault="008F02DD" w:rsidP="00D1145D">
      <w:pPr>
        <w:pStyle w:val="ListParagraph"/>
        <w:numPr>
          <w:ilvl w:val="0"/>
          <w:numId w:val="19"/>
        </w:numPr>
        <w:rPr>
          <w:rFonts w:ascii="Arial" w:hAnsi="Arial" w:cs="Arial"/>
        </w:rPr>
      </w:pPr>
      <w:r w:rsidRPr="007642D4">
        <w:rPr>
          <w:rFonts w:ascii="Arial" w:hAnsi="Arial" w:cs="Arial"/>
        </w:rPr>
        <w:t xml:space="preserve">hydromorphone suppository – </w:t>
      </w:r>
      <w:r w:rsidRPr="00575224">
        <w:rPr>
          <w:rFonts w:ascii="Arial" w:hAnsi="Arial" w:cs="Arial"/>
          <w:b/>
          <w:bCs/>
        </w:rPr>
        <w:t>PA</w:t>
      </w:r>
    </w:p>
    <w:p w14:paraId="1014CEB0" w14:textId="7A52301D" w:rsidR="008F02DD" w:rsidRPr="007642D4" w:rsidRDefault="008F02DD" w:rsidP="00D1145D">
      <w:pPr>
        <w:pStyle w:val="ListParagraph"/>
        <w:numPr>
          <w:ilvl w:val="0"/>
          <w:numId w:val="20"/>
        </w:numPr>
        <w:rPr>
          <w:rFonts w:ascii="Arial" w:hAnsi="Arial" w:cs="Arial"/>
        </w:rPr>
      </w:pPr>
      <w:r w:rsidRPr="007642D4">
        <w:rPr>
          <w:rFonts w:ascii="Arial" w:hAnsi="Arial" w:cs="Arial"/>
        </w:rPr>
        <w:t xml:space="preserve">Effective November 12, 2024, the following opioid agents will no longer require PA within established dose limits. </w:t>
      </w:r>
    </w:p>
    <w:p w14:paraId="0949FD93" w14:textId="3044AA9D" w:rsidR="008F02DD" w:rsidRPr="00575224" w:rsidRDefault="008F02DD" w:rsidP="00D1145D">
      <w:pPr>
        <w:pStyle w:val="ListParagraph"/>
        <w:numPr>
          <w:ilvl w:val="0"/>
          <w:numId w:val="19"/>
        </w:numPr>
        <w:rPr>
          <w:rFonts w:ascii="Arial" w:hAnsi="Arial" w:cs="Arial"/>
          <w:b/>
          <w:bCs/>
        </w:rPr>
      </w:pPr>
      <w:r w:rsidRPr="007642D4">
        <w:rPr>
          <w:rFonts w:ascii="Arial" w:hAnsi="Arial" w:cs="Arial"/>
        </w:rPr>
        <w:t xml:space="preserve">hydrocodone/acetaminophen 300 mg – </w:t>
      </w:r>
      <w:r w:rsidRPr="00575224">
        <w:rPr>
          <w:rFonts w:ascii="Arial" w:hAnsi="Arial" w:cs="Arial"/>
          <w:b/>
          <w:bCs/>
        </w:rPr>
        <w:t>PA &gt; 120 mg/day hydrocodone and PA &gt; 4 g/day acetaminophen</w:t>
      </w:r>
    </w:p>
    <w:p w14:paraId="76919663" w14:textId="1468A6C0" w:rsidR="008F02DD" w:rsidRPr="007642D4" w:rsidRDefault="008F02DD" w:rsidP="00D1145D">
      <w:pPr>
        <w:pStyle w:val="ListParagraph"/>
        <w:numPr>
          <w:ilvl w:val="0"/>
          <w:numId w:val="20"/>
        </w:numPr>
        <w:rPr>
          <w:rFonts w:ascii="Arial" w:hAnsi="Arial" w:cs="Arial"/>
        </w:rPr>
      </w:pPr>
      <w:r w:rsidRPr="007642D4">
        <w:rPr>
          <w:rFonts w:ascii="Arial" w:hAnsi="Arial" w:cs="Arial"/>
        </w:rPr>
        <w:t xml:space="preserve">Effective November 12, 2024, the following opioid agents will no longer require PA within newly established dose limits. </w:t>
      </w:r>
    </w:p>
    <w:p w14:paraId="4A4357B0" w14:textId="0FDEEC65" w:rsidR="008F02DD" w:rsidRPr="007642D4" w:rsidRDefault="008F02DD" w:rsidP="00D1145D">
      <w:pPr>
        <w:pStyle w:val="ListParagraph"/>
        <w:numPr>
          <w:ilvl w:val="0"/>
          <w:numId w:val="19"/>
        </w:numPr>
        <w:rPr>
          <w:rFonts w:ascii="Arial" w:hAnsi="Arial" w:cs="Arial"/>
        </w:rPr>
      </w:pPr>
      <w:r w:rsidRPr="007642D4">
        <w:rPr>
          <w:rFonts w:ascii="Arial" w:hAnsi="Arial" w:cs="Arial"/>
        </w:rPr>
        <w:t>Nucynta (</w:t>
      </w:r>
      <w:proofErr w:type="spellStart"/>
      <w:r w:rsidRPr="007642D4">
        <w:rPr>
          <w:rFonts w:ascii="Arial" w:hAnsi="Arial" w:cs="Arial"/>
        </w:rPr>
        <w:t>tapentadol</w:t>
      </w:r>
      <w:proofErr w:type="spellEnd"/>
      <w:r w:rsidRPr="007642D4">
        <w:rPr>
          <w:rFonts w:ascii="Arial" w:hAnsi="Arial" w:cs="Arial"/>
        </w:rPr>
        <w:t xml:space="preserve">) – </w:t>
      </w:r>
      <w:r w:rsidRPr="00ED6FB0">
        <w:rPr>
          <w:rFonts w:ascii="Arial" w:hAnsi="Arial" w:cs="Arial"/>
          <w:b/>
          <w:bCs/>
        </w:rPr>
        <w:t>PA &gt; 300 mg/day</w:t>
      </w:r>
      <w:r w:rsidRPr="007642D4">
        <w:rPr>
          <w:rFonts w:ascii="Arial" w:hAnsi="Arial" w:cs="Arial"/>
        </w:rPr>
        <w:t>; BP</w:t>
      </w:r>
    </w:p>
    <w:p w14:paraId="1487E15E" w14:textId="3625B70D" w:rsidR="008F02DD" w:rsidRPr="007642D4" w:rsidRDefault="008F02DD" w:rsidP="00D1145D">
      <w:pPr>
        <w:pStyle w:val="ListParagraph"/>
        <w:numPr>
          <w:ilvl w:val="0"/>
          <w:numId w:val="19"/>
        </w:numPr>
        <w:rPr>
          <w:rFonts w:ascii="Arial" w:hAnsi="Arial" w:cs="Arial"/>
        </w:rPr>
      </w:pPr>
      <w:r w:rsidRPr="007642D4">
        <w:rPr>
          <w:rFonts w:ascii="Arial" w:hAnsi="Arial" w:cs="Arial"/>
        </w:rPr>
        <w:t>Nucynta ER (</w:t>
      </w:r>
      <w:proofErr w:type="spellStart"/>
      <w:r w:rsidRPr="007642D4">
        <w:rPr>
          <w:rFonts w:ascii="Arial" w:hAnsi="Arial" w:cs="Arial"/>
        </w:rPr>
        <w:t>tapentadol</w:t>
      </w:r>
      <w:proofErr w:type="spellEnd"/>
      <w:r w:rsidRPr="007642D4">
        <w:rPr>
          <w:rFonts w:ascii="Arial" w:hAnsi="Arial" w:cs="Arial"/>
        </w:rPr>
        <w:t xml:space="preserve"> extended-release) – </w:t>
      </w:r>
      <w:r w:rsidRPr="00ED6FB0">
        <w:rPr>
          <w:rFonts w:ascii="Arial" w:hAnsi="Arial" w:cs="Arial"/>
          <w:b/>
          <w:bCs/>
        </w:rPr>
        <w:t>PA &gt; 300 mg/</w:t>
      </w:r>
      <w:proofErr w:type="gramStart"/>
      <w:r w:rsidRPr="00ED6FB0">
        <w:rPr>
          <w:rFonts w:ascii="Arial" w:hAnsi="Arial" w:cs="Arial"/>
          <w:b/>
          <w:bCs/>
        </w:rPr>
        <w:t>day</w:t>
      </w:r>
      <w:r w:rsidRPr="007642D4">
        <w:rPr>
          <w:rFonts w:ascii="Arial" w:hAnsi="Arial" w:cs="Arial"/>
        </w:rPr>
        <w:t>;</w:t>
      </w:r>
      <w:proofErr w:type="gramEnd"/>
      <w:r w:rsidRPr="007642D4">
        <w:rPr>
          <w:rFonts w:ascii="Arial" w:hAnsi="Arial" w:cs="Arial"/>
        </w:rPr>
        <w:t xml:space="preserve"> BP</w:t>
      </w:r>
    </w:p>
    <w:p w14:paraId="3BDD923D" w14:textId="5046BC6A" w:rsidR="008F02DD" w:rsidRPr="007642D4" w:rsidRDefault="008F02DD" w:rsidP="00D1145D">
      <w:pPr>
        <w:pStyle w:val="ListParagraph"/>
        <w:numPr>
          <w:ilvl w:val="0"/>
          <w:numId w:val="20"/>
        </w:numPr>
        <w:rPr>
          <w:rFonts w:ascii="Arial" w:hAnsi="Arial" w:cs="Arial"/>
        </w:rPr>
      </w:pPr>
      <w:r w:rsidRPr="007642D4">
        <w:rPr>
          <w:rFonts w:ascii="Arial" w:hAnsi="Arial" w:cs="Arial"/>
        </w:rPr>
        <w:t xml:space="preserve">Effective November 12, 2024, the following opioid agent will no longer require PA within established dose and quantity limits. </w:t>
      </w:r>
    </w:p>
    <w:p w14:paraId="3E4005C0" w14:textId="70F824F1" w:rsidR="008F02DD" w:rsidRPr="000F3494" w:rsidRDefault="008F02DD" w:rsidP="00D1145D">
      <w:pPr>
        <w:pStyle w:val="ListParagraph"/>
        <w:numPr>
          <w:ilvl w:val="0"/>
          <w:numId w:val="21"/>
        </w:numPr>
        <w:rPr>
          <w:rFonts w:ascii="Arial" w:hAnsi="Arial" w:cs="Arial"/>
          <w:b/>
          <w:bCs/>
        </w:rPr>
      </w:pPr>
      <w:proofErr w:type="spellStart"/>
      <w:r w:rsidRPr="007642D4">
        <w:rPr>
          <w:rFonts w:ascii="Arial" w:hAnsi="Arial" w:cs="Arial"/>
        </w:rPr>
        <w:t>Xtampza</w:t>
      </w:r>
      <w:proofErr w:type="spellEnd"/>
      <w:r w:rsidRPr="007642D4">
        <w:rPr>
          <w:rFonts w:ascii="Arial" w:hAnsi="Arial" w:cs="Arial"/>
        </w:rPr>
        <w:t xml:space="preserve"> (oxycodone extended-release capsule) – </w:t>
      </w:r>
      <w:r w:rsidRPr="000F3494">
        <w:rPr>
          <w:rFonts w:ascii="Arial" w:hAnsi="Arial" w:cs="Arial"/>
          <w:b/>
          <w:bCs/>
        </w:rPr>
        <w:t>PA &gt; 72 mg/day and PA &gt; 2 units/day</w:t>
      </w:r>
    </w:p>
    <w:p w14:paraId="39297D8D" w14:textId="7A403AF2" w:rsidR="008F02DD" w:rsidRPr="007642D4" w:rsidRDefault="008F02DD" w:rsidP="00D1145D">
      <w:pPr>
        <w:pStyle w:val="ListParagraph"/>
        <w:numPr>
          <w:ilvl w:val="0"/>
          <w:numId w:val="20"/>
        </w:numPr>
        <w:rPr>
          <w:rFonts w:ascii="Arial" w:hAnsi="Arial" w:cs="Arial"/>
        </w:rPr>
      </w:pPr>
      <w:r w:rsidRPr="007642D4">
        <w:rPr>
          <w:rFonts w:ascii="Arial" w:hAnsi="Arial" w:cs="Arial"/>
        </w:rPr>
        <w:t xml:space="preserve">Effective November 12, 2024, the following opioid agent will no longer require PA within newly established dose and age limits. </w:t>
      </w:r>
    </w:p>
    <w:p w14:paraId="01571D22" w14:textId="77777777" w:rsidR="00612D59" w:rsidRDefault="008F02DD" w:rsidP="00D1145D">
      <w:pPr>
        <w:pStyle w:val="ListParagraph"/>
        <w:numPr>
          <w:ilvl w:val="0"/>
          <w:numId w:val="21"/>
        </w:numPr>
        <w:sectPr w:rsidR="00612D59" w:rsidSect="00AF611B">
          <w:footerReference w:type="default" r:id="rId12"/>
          <w:pgSz w:w="12240" w:h="15840" w:code="1"/>
          <w:pgMar w:top="360" w:right="907" w:bottom="1080" w:left="907" w:header="720" w:footer="576" w:gutter="0"/>
          <w:cols w:sep="1" w:space="720"/>
          <w:docGrid w:linePitch="360"/>
        </w:sectPr>
      </w:pPr>
      <w:r w:rsidRPr="007642D4">
        <w:rPr>
          <w:rFonts w:ascii="Arial" w:hAnsi="Arial" w:cs="Arial"/>
        </w:rPr>
        <w:t xml:space="preserve">Ultracet (tramadol/acetaminophen) – </w:t>
      </w:r>
      <w:r w:rsidRPr="004C2037">
        <w:rPr>
          <w:rFonts w:ascii="Arial" w:hAnsi="Arial" w:cs="Arial"/>
          <w:b/>
          <w:bCs/>
        </w:rPr>
        <w:t>PA &lt; 12 years and PA &gt; 400 mg/day tramadol and PA &gt; 4 g/day acetaminophen</w:t>
      </w:r>
    </w:p>
    <w:p w14:paraId="66AFAC1C" w14:textId="47B235FA" w:rsidR="00612D59" w:rsidRDefault="00612D59" w:rsidP="00612D59">
      <w:pPr>
        <w:pStyle w:val="Default"/>
        <w:pBdr>
          <w:bottom w:val="single" w:sz="18" w:space="1" w:color="auto"/>
        </w:pBdr>
        <w:tabs>
          <w:tab w:val="right" w:pos="10440"/>
        </w:tabs>
        <w:spacing w:after="240"/>
        <w:rPr>
          <w:sz w:val="18"/>
          <w:szCs w:val="18"/>
        </w:rPr>
      </w:pPr>
      <w:r w:rsidRPr="00AD18B8">
        <w:rPr>
          <w:sz w:val="18"/>
          <w:szCs w:val="18"/>
        </w:rPr>
        <w:lastRenderedPageBreak/>
        <w:t>P</w:t>
      </w:r>
      <w:r>
        <w:rPr>
          <w:sz w:val="18"/>
          <w:szCs w:val="18"/>
        </w:rPr>
        <w:t>harmacy Facts 23</w:t>
      </w:r>
      <w:r w:rsidR="00AA15FC">
        <w:rPr>
          <w:sz w:val="18"/>
          <w:szCs w:val="18"/>
        </w:rPr>
        <w:t>4</w:t>
      </w:r>
      <w:r>
        <w:rPr>
          <w:color w:val="FF0000"/>
          <w:sz w:val="18"/>
          <w:szCs w:val="18"/>
        </w:rPr>
        <w:tab/>
      </w:r>
      <w:r w:rsidRPr="00EC1948">
        <w:rPr>
          <w:color w:val="auto"/>
          <w:sz w:val="18"/>
          <w:szCs w:val="18"/>
        </w:rPr>
        <w:t xml:space="preserve">Page </w:t>
      </w:r>
      <w:r w:rsidR="00AA15FC">
        <w:rPr>
          <w:color w:val="auto"/>
          <w:sz w:val="18"/>
          <w:szCs w:val="18"/>
        </w:rPr>
        <w:t>3</w:t>
      </w:r>
      <w:r w:rsidRPr="00EC1948">
        <w:rPr>
          <w:noProof/>
          <w:color w:val="auto"/>
          <w:sz w:val="18"/>
          <w:szCs w:val="18"/>
        </w:rPr>
        <w:t xml:space="preserve"> of </w:t>
      </w:r>
      <w:r w:rsidR="00AA15FC">
        <w:rPr>
          <w:noProof/>
          <w:color w:val="auto"/>
          <w:sz w:val="18"/>
          <w:szCs w:val="18"/>
        </w:rPr>
        <w:t>5</w:t>
      </w:r>
    </w:p>
    <w:p w14:paraId="48BBFD84" w14:textId="2C72CA02" w:rsidR="008F02DD" w:rsidRPr="004C2037" w:rsidRDefault="008F02DD" w:rsidP="00D1145D">
      <w:pPr>
        <w:pStyle w:val="ListParagraph"/>
        <w:numPr>
          <w:ilvl w:val="0"/>
          <w:numId w:val="20"/>
        </w:numPr>
        <w:rPr>
          <w:rFonts w:ascii="Arial" w:hAnsi="Arial" w:cs="Arial"/>
        </w:rPr>
      </w:pPr>
      <w:r w:rsidRPr="004C2037">
        <w:rPr>
          <w:rFonts w:ascii="Arial" w:hAnsi="Arial" w:cs="Arial"/>
        </w:rPr>
        <w:t>Effective November 12, 2024, the following antidiabetic agents will require PA.</w:t>
      </w:r>
    </w:p>
    <w:p w14:paraId="6EF999A0" w14:textId="1F4025D7" w:rsidR="008F02DD" w:rsidRPr="004C2037" w:rsidRDefault="008F02DD" w:rsidP="00D1145D">
      <w:pPr>
        <w:pStyle w:val="ListParagraph"/>
        <w:numPr>
          <w:ilvl w:val="0"/>
          <w:numId w:val="21"/>
        </w:numPr>
        <w:rPr>
          <w:rFonts w:ascii="Arial" w:hAnsi="Arial" w:cs="Arial"/>
        </w:rPr>
      </w:pPr>
      <w:proofErr w:type="spellStart"/>
      <w:r w:rsidRPr="004C2037">
        <w:rPr>
          <w:rFonts w:ascii="Arial" w:hAnsi="Arial" w:cs="Arial"/>
        </w:rPr>
        <w:t>Invokamet</w:t>
      </w:r>
      <w:proofErr w:type="spellEnd"/>
      <w:r w:rsidRPr="004C2037">
        <w:rPr>
          <w:rFonts w:ascii="Arial" w:hAnsi="Arial" w:cs="Arial"/>
        </w:rPr>
        <w:t xml:space="preserve"> (canagliflozin/metformin) – </w:t>
      </w:r>
      <w:r w:rsidRPr="00AD3961">
        <w:rPr>
          <w:rFonts w:ascii="Arial" w:hAnsi="Arial" w:cs="Arial"/>
          <w:b/>
          <w:bCs/>
        </w:rPr>
        <w:t>PA</w:t>
      </w:r>
    </w:p>
    <w:p w14:paraId="788785CF" w14:textId="24F072B5" w:rsidR="008F02DD" w:rsidRPr="004C2037" w:rsidRDefault="008F02DD" w:rsidP="00D1145D">
      <w:pPr>
        <w:pStyle w:val="ListParagraph"/>
        <w:numPr>
          <w:ilvl w:val="0"/>
          <w:numId w:val="21"/>
        </w:numPr>
        <w:rPr>
          <w:rFonts w:ascii="Arial" w:hAnsi="Arial" w:cs="Arial"/>
        </w:rPr>
      </w:pPr>
      <w:proofErr w:type="spellStart"/>
      <w:r w:rsidRPr="004C2037">
        <w:rPr>
          <w:rFonts w:ascii="Arial" w:hAnsi="Arial" w:cs="Arial"/>
        </w:rPr>
        <w:t>Invokamet</w:t>
      </w:r>
      <w:proofErr w:type="spellEnd"/>
      <w:r w:rsidRPr="004C2037">
        <w:rPr>
          <w:rFonts w:ascii="Arial" w:hAnsi="Arial" w:cs="Arial"/>
        </w:rPr>
        <w:t xml:space="preserve"> XR (canagliflozin/metformin extended-release) – </w:t>
      </w:r>
      <w:r w:rsidRPr="00AD3961">
        <w:rPr>
          <w:rFonts w:ascii="Arial" w:hAnsi="Arial" w:cs="Arial"/>
          <w:b/>
          <w:bCs/>
        </w:rPr>
        <w:t>PA</w:t>
      </w:r>
    </w:p>
    <w:p w14:paraId="02254B9E" w14:textId="791720F5" w:rsidR="008F02DD" w:rsidRPr="004C2037" w:rsidRDefault="008F02DD" w:rsidP="00D1145D">
      <w:pPr>
        <w:pStyle w:val="ListParagraph"/>
        <w:numPr>
          <w:ilvl w:val="0"/>
          <w:numId w:val="21"/>
        </w:numPr>
        <w:rPr>
          <w:rFonts w:ascii="Arial" w:hAnsi="Arial" w:cs="Arial"/>
        </w:rPr>
      </w:pPr>
      <w:r w:rsidRPr="004C2037">
        <w:rPr>
          <w:rFonts w:ascii="Arial" w:hAnsi="Arial" w:cs="Arial"/>
        </w:rPr>
        <w:t xml:space="preserve">Invokana (canagliflozin) – </w:t>
      </w:r>
      <w:r w:rsidRPr="00AD3961">
        <w:rPr>
          <w:rFonts w:ascii="Arial" w:hAnsi="Arial" w:cs="Arial"/>
          <w:b/>
          <w:bCs/>
        </w:rPr>
        <w:t>PA</w:t>
      </w:r>
    </w:p>
    <w:p w14:paraId="6BD291C9" w14:textId="640D92E0" w:rsidR="008F02DD" w:rsidRPr="004C2037" w:rsidRDefault="008F02DD" w:rsidP="00D1145D">
      <w:pPr>
        <w:pStyle w:val="ListParagraph"/>
        <w:numPr>
          <w:ilvl w:val="0"/>
          <w:numId w:val="21"/>
        </w:numPr>
        <w:rPr>
          <w:rFonts w:ascii="Arial" w:hAnsi="Arial" w:cs="Arial"/>
        </w:rPr>
      </w:pPr>
      <w:proofErr w:type="spellStart"/>
      <w:r w:rsidRPr="004C2037">
        <w:rPr>
          <w:rFonts w:ascii="Arial" w:hAnsi="Arial" w:cs="Arial"/>
        </w:rPr>
        <w:t>Kombiglyze</w:t>
      </w:r>
      <w:proofErr w:type="spellEnd"/>
      <w:r w:rsidRPr="004C2037">
        <w:rPr>
          <w:rFonts w:ascii="Arial" w:hAnsi="Arial" w:cs="Arial"/>
        </w:rPr>
        <w:t xml:space="preserve"> XR (</w:t>
      </w:r>
      <w:proofErr w:type="spellStart"/>
      <w:r w:rsidRPr="004C2037">
        <w:rPr>
          <w:rFonts w:ascii="Arial" w:hAnsi="Arial" w:cs="Arial"/>
        </w:rPr>
        <w:t>saxagliptin</w:t>
      </w:r>
      <w:proofErr w:type="spellEnd"/>
      <w:r w:rsidRPr="004C2037">
        <w:rPr>
          <w:rFonts w:ascii="Arial" w:hAnsi="Arial" w:cs="Arial"/>
        </w:rPr>
        <w:t xml:space="preserve">/metformin) – </w:t>
      </w:r>
      <w:r w:rsidRPr="00AD3961">
        <w:rPr>
          <w:rFonts w:ascii="Arial" w:hAnsi="Arial" w:cs="Arial"/>
          <w:b/>
          <w:bCs/>
        </w:rPr>
        <w:t>PA</w:t>
      </w:r>
      <w:r w:rsidRPr="004C2037">
        <w:rPr>
          <w:rFonts w:ascii="Arial" w:hAnsi="Arial" w:cs="Arial"/>
        </w:rPr>
        <w:t>; M90</w:t>
      </w:r>
    </w:p>
    <w:p w14:paraId="082FBE5E" w14:textId="65A0B2F6" w:rsidR="008F02DD" w:rsidRPr="004C2037" w:rsidRDefault="008F02DD" w:rsidP="00D1145D">
      <w:pPr>
        <w:pStyle w:val="ListParagraph"/>
        <w:numPr>
          <w:ilvl w:val="0"/>
          <w:numId w:val="21"/>
        </w:numPr>
        <w:rPr>
          <w:rFonts w:ascii="Arial" w:hAnsi="Arial" w:cs="Arial"/>
        </w:rPr>
      </w:pPr>
      <w:proofErr w:type="spellStart"/>
      <w:r w:rsidRPr="004C2037">
        <w:rPr>
          <w:rFonts w:ascii="Arial" w:hAnsi="Arial" w:cs="Arial"/>
        </w:rPr>
        <w:t>Onglyza</w:t>
      </w:r>
      <w:proofErr w:type="spellEnd"/>
      <w:r w:rsidRPr="004C2037">
        <w:rPr>
          <w:rFonts w:ascii="Arial" w:hAnsi="Arial" w:cs="Arial"/>
        </w:rPr>
        <w:t xml:space="preserve"> (</w:t>
      </w:r>
      <w:proofErr w:type="spellStart"/>
      <w:r w:rsidRPr="004C2037">
        <w:rPr>
          <w:rFonts w:ascii="Arial" w:hAnsi="Arial" w:cs="Arial"/>
        </w:rPr>
        <w:t>saxagliptin</w:t>
      </w:r>
      <w:proofErr w:type="spellEnd"/>
      <w:r w:rsidRPr="004C2037">
        <w:rPr>
          <w:rFonts w:ascii="Arial" w:hAnsi="Arial" w:cs="Arial"/>
        </w:rPr>
        <w:t xml:space="preserve">) – </w:t>
      </w:r>
      <w:r w:rsidRPr="00AD3961">
        <w:rPr>
          <w:rFonts w:ascii="Arial" w:hAnsi="Arial" w:cs="Arial"/>
          <w:b/>
          <w:bCs/>
        </w:rPr>
        <w:t>PA</w:t>
      </w:r>
      <w:r w:rsidRPr="004C2037">
        <w:rPr>
          <w:rFonts w:ascii="Arial" w:hAnsi="Arial" w:cs="Arial"/>
        </w:rPr>
        <w:t>; M90</w:t>
      </w:r>
    </w:p>
    <w:p w14:paraId="2AA6C762" w14:textId="4B7412C2" w:rsidR="008F02DD" w:rsidRPr="004C2037" w:rsidRDefault="008F02DD" w:rsidP="00D1145D">
      <w:pPr>
        <w:pStyle w:val="ListParagraph"/>
        <w:numPr>
          <w:ilvl w:val="0"/>
          <w:numId w:val="20"/>
        </w:numPr>
        <w:rPr>
          <w:rFonts w:ascii="Arial" w:hAnsi="Arial" w:cs="Arial"/>
        </w:rPr>
      </w:pPr>
      <w:r w:rsidRPr="004C2037">
        <w:rPr>
          <w:rFonts w:ascii="Arial" w:hAnsi="Arial" w:cs="Arial"/>
        </w:rPr>
        <w:t>Effective November 12, 2024, the following ophthalmic antibiotic agent will no longer require PA.</w:t>
      </w:r>
    </w:p>
    <w:p w14:paraId="5B3BCD05" w14:textId="076214DC" w:rsidR="008F02DD" w:rsidRPr="004C2037" w:rsidRDefault="008F02DD" w:rsidP="00D1145D">
      <w:pPr>
        <w:pStyle w:val="ListParagraph"/>
        <w:numPr>
          <w:ilvl w:val="0"/>
          <w:numId w:val="22"/>
        </w:numPr>
        <w:rPr>
          <w:rFonts w:ascii="Arial" w:hAnsi="Arial" w:cs="Arial"/>
        </w:rPr>
      </w:pPr>
      <w:proofErr w:type="spellStart"/>
      <w:r w:rsidRPr="004C2037">
        <w:rPr>
          <w:rFonts w:ascii="Arial" w:hAnsi="Arial" w:cs="Arial"/>
        </w:rPr>
        <w:t>Azasite</w:t>
      </w:r>
      <w:proofErr w:type="spellEnd"/>
      <w:r w:rsidRPr="004C2037">
        <w:rPr>
          <w:rFonts w:ascii="Arial" w:hAnsi="Arial" w:cs="Arial"/>
        </w:rPr>
        <w:t xml:space="preserve"> (azithromycin ophthalmic solution); BP</w:t>
      </w:r>
    </w:p>
    <w:p w14:paraId="20353187" w14:textId="40711C0F" w:rsidR="008F02DD" w:rsidRPr="004C2037" w:rsidRDefault="008F02DD" w:rsidP="00612D59">
      <w:pPr>
        <w:pStyle w:val="ListParagraph"/>
        <w:numPr>
          <w:ilvl w:val="0"/>
          <w:numId w:val="20"/>
        </w:numPr>
        <w:rPr>
          <w:rFonts w:ascii="Arial" w:hAnsi="Arial" w:cs="Arial"/>
        </w:rPr>
      </w:pPr>
      <w:r w:rsidRPr="004C2037">
        <w:rPr>
          <w:rFonts w:ascii="Arial" w:hAnsi="Arial" w:cs="Arial"/>
        </w:rPr>
        <w:t>Effective November 12, 2024, the following oral antifungal agent will no longer require PA.</w:t>
      </w:r>
    </w:p>
    <w:p w14:paraId="33B9D36C" w14:textId="643C7DD1" w:rsidR="008F02DD" w:rsidRPr="004C2037" w:rsidRDefault="008F02DD" w:rsidP="00612D59">
      <w:pPr>
        <w:pStyle w:val="ListParagraph"/>
        <w:numPr>
          <w:ilvl w:val="0"/>
          <w:numId w:val="22"/>
        </w:numPr>
        <w:rPr>
          <w:rFonts w:ascii="Arial" w:hAnsi="Arial" w:cs="Arial"/>
        </w:rPr>
      </w:pPr>
      <w:proofErr w:type="spellStart"/>
      <w:r w:rsidRPr="004C2037">
        <w:rPr>
          <w:rFonts w:ascii="Arial" w:hAnsi="Arial" w:cs="Arial"/>
        </w:rPr>
        <w:t>Vfend</w:t>
      </w:r>
      <w:proofErr w:type="spellEnd"/>
      <w:r w:rsidRPr="004C2037">
        <w:rPr>
          <w:rFonts w:ascii="Arial" w:hAnsi="Arial" w:cs="Arial"/>
        </w:rPr>
        <w:t xml:space="preserve"> (voriconazole 50 mg tablet); A90</w:t>
      </w:r>
    </w:p>
    <w:p w14:paraId="7AF0A5BB" w14:textId="4B9C92A0" w:rsidR="008F02DD" w:rsidRPr="004C2037" w:rsidRDefault="008F02DD" w:rsidP="00612D59">
      <w:pPr>
        <w:pStyle w:val="ListParagraph"/>
        <w:numPr>
          <w:ilvl w:val="0"/>
          <w:numId w:val="20"/>
        </w:numPr>
        <w:rPr>
          <w:rFonts w:ascii="Arial" w:hAnsi="Arial" w:cs="Arial"/>
        </w:rPr>
      </w:pPr>
      <w:r w:rsidRPr="004C2037">
        <w:rPr>
          <w:rFonts w:ascii="Arial" w:hAnsi="Arial" w:cs="Arial"/>
        </w:rPr>
        <w:t xml:space="preserve">Effective November 12, 2024, the following antihistamine agent will require PA. </w:t>
      </w:r>
    </w:p>
    <w:p w14:paraId="7D12EC6B" w14:textId="38919585" w:rsidR="008F02DD" w:rsidRPr="004C2037" w:rsidRDefault="008F02DD" w:rsidP="00612D59">
      <w:pPr>
        <w:pStyle w:val="ListParagraph"/>
        <w:numPr>
          <w:ilvl w:val="0"/>
          <w:numId w:val="22"/>
        </w:numPr>
        <w:rPr>
          <w:rFonts w:ascii="Arial" w:hAnsi="Arial" w:cs="Arial"/>
        </w:rPr>
      </w:pPr>
      <w:r w:rsidRPr="004C2037">
        <w:rPr>
          <w:rFonts w:ascii="Arial" w:hAnsi="Arial" w:cs="Arial"/>
        </w:rPr>
        <w:t xml:space="preserve">carbinoxamine 4 mg/5 mL solution – </w:t>
      </w:r>
      <w:r w:rsidRPr="00AD3961">
        <w:rPr>
          <w:rFonts w:ascii="Arial" w:hAnsi="Arial" w:cs="Arial"/>
          <w:b/>
          <w:bCs/>
        </w:rPr>
        <w:t>PA</w:t>
      </w:r>
      <w:r w:rsidRPr="004C2037">
        <w:rPr>
          <w:rFonts w:ascii="Arial" w:hAnsi="Arial" w:cs="Arial"/>
        </w:rPr>
        <w:t>; A90</w:t>
      </w:r>
    </w:p>
    <w:p w14:paraId="5A04BDE1" w14:textId="27DEF339" w:rsidR="008F02DD" w:rsidRPr="004C2037" w:rsidRDefault="008F02DD" w:rsidP="00612D59">
      <w:pPr>
        <w:pStyle w:val="ListParagraph"/>
        <w:numPr>
          <w:ilvl w:val="0"/>
          <w:numId w:val="20"/>
        </w:numPr>
        <w:rPr>
          <w:rFonts w:ascii="Arial" w:hAnsi="Arial" w:cs="Arial"/>
        </w:rPr>
      </w:pPr>
      <w:r w:rsidRPr="004C2037">
        <w:rPr>
          <w:rFonts w:ascii="Arial" w:hAnsi="Arial" w:cs="Arial"/>
        </w:rPr>
        <w:t xml:space="preserve">Effective November 12, 2024, the following glaucoma agent will no longer require PA. </w:t>
      </w:r>
    </w:p>
    <w:p w14:paraId="02F54812" w14:textId="2BD42189" w:rsidR="008F02DD" w:rsidRPr="004C2037" w:rsidRDefault="008F02DD" w:rsidP="00612D59">
      <w:pPr>
        <w:pStyle w:val="ListParagraph"/>
        <w:numPr>
          <w:ilvl w:val="0"/>
          <w:numId w:val="22"/>
        </w:numPr>
        <w:rPr>
          <w:rFonts w:ascii="Arial" w:hAnsi="Arial" w:cs="Arial"/>
        </w:rPr>
      </w:pPr>
      <w:proofErr w:type="spellStart"/>
      <w:r w:rsidRPr="004C2037">
        <w:rPr>
          <w:rFonts w:ascii="Arial" w:hAnsi="Arial" w:cs="Arial"/>
        </w:rPr>
        <w:t>Combigan</w:t>
      </w:r>
      <w:proofErr w:type="spellEnd"/>
      <w:r w:rsidRPr="004C2037">
        <w:rPr>
          <w:rFonts w:ascii="Arial" w:hAnsi="Arial" w:cs="Arial"/>
        </w:rPr>
        <w:t xml:space="preserve"> (brimonidine/timolol, ophthalmic); BP, M90</w:t>
      </w:r>
    </w:p>
    <w:p w14:paraId="16DA7A29" w14:textId="46C89984" w:rsidR="008F02DD" w:rsidRPr="004C2037" w:rsidRDefault="008F02DD" w:rsidP="00612D59">
      <w:pPr>
        <w:pStyle w:val="ListParagraph"/>
        <w:numPr>
          <w:ilvl w:val="0"/>
          <w:numId w:val="20"/>
        </w:numPr>
        <w:rPr>
          <w:rFonts w:ascii="Arial" w:hAnsi="Arial" w:cs="Arial"/>
        </w:rPr>
      </w:pPr>
      <w:r w:rsidRPr="004C2037">
        <w:rPr>
          <w:rFonts w:ascii="Arial" w:hAnsi="Arial" w:cs="Arial"/>
        </w:rPr>
        <w:t xml:space="preserve">Effective November 12, 2024, the following inhaled respiratory agent will no longer require PA. </w:t>
      </w:r>
    </w:p>
    <w:p w14:paraId="568D4366" w14:textId="24A977D5" w:rsidR="008F02DD" w:rsidRPr="004C2037" w:rsidRDefault="008F02DD" w:rsidP="00612D59">
      <w:pPr>
        <w:pStyle w:val="ListParagraph"/>
        <w:numPr>
          <w:ilvl w:val="0"/>
          <w:numId w:val="22"/>
        </w:numPr>
        <w:rPr>
          <w:rFonts w:ascii="Arial" w:hAnsi="Arial" w:cs="Arial"/>
        </w:rPr>
      </w:pPr>
      <w:r w:rsidRPr="004C2037">
        <w:rPr>
          <w:rFonts w:ascii="Arial" w:hAnsi="Arial" w:cs="Arial"/>
        </w:rPr>
        <w:t xml:space="preserve">Asmanex </w:t>
      </w:r>
      <w:proofErr w:type="spellStart"/>
      <w:r w:rsidRPr="004C2037">
        <w:rPr>
          <w:rFonts w:ascii="Arial" w:hAnsi="Arial" w:cs="Arial"/>
        </w:rPr>
        <w:t>Twisthaler</w:t>
      </w:r>
      <w:proofErr w:type="spellEnd"/>
      <w:r w:rsidRPr="004C2037">
        <w:rPr>
          <w:rFonts w:ascii="Arial" w:hAnsi="Arial" w:cs="Arial"/>
        </w:rPr>
        <w:t xml:space="preserve"> (mometasone inhalation powder)</w:t>
      </w:r>
    </w:p>
    <w:p w14:paraId="045F7BFF" w14:textId="31AE4310" w:rsidR="008F02DD" w:rsidRPr="004C2037" w:rsidRDefault="008F02DD" w:rsidP="00612D59">
      <w:pPr>
        <w:pStyle w:val="ListParagraph"/>
        <w:numPr>
          <w:ilvl w:val="0"/>
          <w:numId w:val="20"/>
        </w:numPr>
        <w:rPr>
          <w:rFonts w:ascii="Arial" w:hAnsi="Arial" w:cs="Arial"/>
        </w:rPr>
      </w:pPr>
      <w:r w:rsidRPr="004C2037">
        <w:rPr>
          <w:rFonts w:ascii="Arial" w:hAnsi="Arial" w:cs="Arial"/>
        </w:rPr>
        <w:t>Effective November 12, 2024, the following antibiotic agent will require PA.</w:t>
      </w:r>
    </w:p>
    <w:p w14:paraId="5E24943E" w14:textId="32AC02AF" w:rsidR="008F02DD" w:rsidRPr="004C2037" w:rsidRDefault="008F02DD" w:rsidP="00612D59">
      <w:pPr>
        <w:pStyle w:val="ListParagraph"/>
        <w:numPr>
          <w:ilvl w:val="0"/>
          <w:numId w:val="22"/>
        </w:numPr>
        <w:rPr>
          <w:rFonts w:ascii="Arial" w:hAnsi="Arial" w:cs="Arial"/>
        </w:rPr>
      </w:pPr>
      <w:proofErr w:type="spellStart"/>
      <w:r w:rsidRPr="004C2037">
        <w:rPr>
          <w:rFonts w:ascii="Arial" w:hAnsi="Arial" w:cs="Arial"/>
        </w:rPr>
        <w:t>Kitabis</w:t>
      </w:r>
      <w:proofErr w:type="spellEnd"/>
      <w:r w:rsidRPr="004C2037">
        <w:rPr>
          <w:rFonts w:ascii="Arial" w:hAnsi="Arial" w:cs="Arial"/>
        </w:rPr>
        <w:t xml:space="preserve"> Pak (tobramycin inhalation solution) – </w:t>
      </w:r>
      <w:r w:rsidRPr="00AD3961">
        <w:rPr>
          <w:rFonts w:ascii="Arial" w:hAnsi="Arial" w:cs="Arial"/>
          <w:b/>
          <w:bCs/>
        </w:rPr>
        <w:t>PA</w:t>
      </w:r>
      <w:r w:rsidRPr="004C2037">
        <w:rPr>
          <w:rFonts w:ascii="Arial" w:hAnsi="Arial" w:cs="Arial"/>
        </w:rPr>
        <w:t>; BP, A90</w:t>
      </w:r>
    </w:p>
    <w:p w14:paraId="3C57E79D" w14:textId="3D0C6D03" w:rsidR="008F02DD" w:rsidRPr="004C2037" w:rsidRDefault="008F02DD" w:rsidP="00612D59">
      <w:pPr>
        <w:pStyle w:val="ListParagraph"/>
        <w:numPr>
          <w:ilvl w:val="0"/>
          <w:numId w:val="20"/>
        </w:numPr>
        <w:rPr>
          <w:rFonts w:ascii="Arial" w:hAnsi="Arial" w:cs="Arial"/>
        </w:rPr>
      </w:pPr>
      <w:r w:rsidRPr="004C2037">
        <w:rPr>
          <w:rFonts w:ascii="Arial" w:hAnsi="Arial" w:cs="Arial"/>
        </w:rPr>
        <w:t>Effective November 12, 2024, the following urinary dysfunction agent will no longer require PA.</w:t>
      </w:r>
    </w:p>
    <w:p w14:paraId="135D4AC1" w14:textId="0BCF83CD" w:rsidR="008F02DD" w:rsidRPr="004C2037" w:rsidRDefault="008F02DD" w:rsidP="00612D59">
      <w:pPr>
        <w:pStyle w:val="ListParagraph"/>
        <w:numPr>
          <w:ilvl w:val="0"/>
          <w:numId w:val="22"/>
        </w:numPr>
        <w:rPr>
          <w:rFonts w:ascii="Arial" w:hAnsi="Arial" w:cs="Arial"/>
        </w:rPr>
      </w:pPr>
      <w:r w:rsidRPr="004C2037">
        <w:rPr>
          <w:rFonts w:ascii="Arial" w:hAnsi="Arial" w:cs="Arial"/>
        </w:rPr>
        <w:t>oxybutynin solution; A90</w:t>
      </w:r>
    </w:p>
    <w:p w14:paraId="7D0983FC" w14:textId="59A26D16" w:rsidR="008F02DD" w:rsidRPr="004C2037" w:rsidRDefault="008F02DD" w:rsidP="00612D59">
      <w:pPr>
        <w:pStyle w:val="ListParagraph"/>
        <w:numPr>
          <w:ilvl w:val="0"/>
          <w:numId w:val="20"/>
        </w:numPr>
        <w:rPr>
          <w:rFonts w:ascii="Arial" w:hAnsi="Arial" w:cs="Arial"/>
        </w:rPr>
      </w:pPr>
      <w:r w:rsidRPr="004C2037">
        <w:rPr>
          <w:rFonts w:ascii="Arial" w:hAnsi="Arial" w:cs="Arial"/>
        </w:rPr>
        <w:t xml:space="preserve">Effective November 12, 2024, the following intranasal corticosteroid agent will no longer require PA within established quantity limits. </w:t>
      </w:r>
    </w:p>
    <w:p w14:paraId="71194B63" w14:textId="580C42F5" w:rsidR="008F02DD" w:rsidRPr="004C2037" w:rsidRDefault="008F02DD" w:rsidP="00612D59">
      <w:pPr>
        <w:pStyle w:val="ListParagraph"/>
        <w:numPr>
          <w:ilvl w:val="0"/>
          <w:numId w:val="22"/>
        </w:numPr>
        <w:rPr>
          <w:rFonts w:ascii="Arial" w:hAnsi="Arial" w:cs="Arial"/>
        </w:rPr>
      </w:pPr>
      <w:proofErr w:type="spellStart"/>
      <w:r w:rsidRPr="004C2037">
        <w:rPr>
          <w:rFonts w:ascii="Arial" w:hAnsi="Arial" w:cs="Arial"/>
        </w:rPr>
        <w:t>Zetonna</w:t>
      </w:r>
      <w:proofErr w:type="spellEnd"/>
      <w:r w:rsidRPr="004C2037">
        <w:rPr>
          <w:rFonts w:ascii="Arial" w:hAnsi="Arial" w:cs="Arial"/>
        </w:rPr>
        <w:t xml:space="preserve"> (</w:t>
      </w:r>
      <w:proofErr w:type="spellStart"/>
      <w:r w:rsidRPr="004C2037">
        <w:rPr>
          <w:rFonts w:ascii="Arial" w:hAnsi="Arial" w:cs="Arial"/>
        </w:rPr>
        <w:t>ciclesonide</w:t>
      </w:r>
      <w:proofErr w:type="spellEnd"/>
      <w:r w:rsidRPr="004C2037">
        <w:rPr>
          <w:rFonts w:ascii="Arial" w:hAnsi="Arial" w:cs="Arial"/>
        </w:rPr>
        <w:t xml:space="preserve"> 37 mcg nasal aerosol) – </w:t>
      </w:r>
      <w:r w:rsidRPr="00780E8E">
        <w:rPr>
          <w:rFonts w:ascii="Arial" w:hAnsi="Arial" w:cs="Arial"/>
          <w:b/>
          <w:bCs/>
        </w:rPr>
        <w:t>PA &gt; 1 inhaler/30 days</w:t>
      </w:r>
    </w:p>
    <w:p w14:paraId="726E0415" w14:textId="65C27803" w:rsidR="008F02DD" w:rsidRPr="004C2037" w:rsidRDefault="008F02DD" w:rsidP="00612D59">
      <w:pPr>
        <w:pStyle w:val="ListParagraph"/>
        <w:numPr>
          <w:ilvl w:val="0"/>
          <w:numId w:val="20"/>
        </w:numPr>
        <w:rPr>
          <w:rFonts w:ascii="Arial" w:hAnsi="Arial" w:cs="Arial"/>
        </w:rPr>
      </w:pPr>
      <w:r w:rsidRPr="004C2037">
        <w:rPr>
          <w:rFonts w:ascii="Arial" w:hAnsi="Arial" w:cs="Arial"/>
        </w:rPr>
        <w:t>Effective November 12, 2024, the following lipid lowering agent will require PA.</w:t>
      </w:r>
    </w:p>
    <w:p w14:paraId="019F81DC" w14:textId="16DCCA72" w:rsidR="008F02DD" w:rsidRPr="004C2037" w:rsidRDefault="008F02DD" w:rsidP="00612D59">
      <w:pPr>
        <w:pStyle w:val="ListParagraph"/>
        <w:numPr>
          <w:ilvl w:val="0"/>
          <w:numId w:val="22"/>
        </w:numPr>
        <w:rPr>
          <w:rFonts w:ascii="Arial" w:hAnsi="Arial" w:cs="Arial"/>
        </w:rPr>
      </w:pPr>
      <w:r w:rsidRPr="004C2037">
        <w:rPr>
          <w:rFonts w:ascii="Arial" w:hAnsi="Arial" w:cs="Arial"/>
        </w:rPr>
        <w:t xml:space="preserve">fenofibrate 90 mg capsule – </w:t>
      </w:r>
      <w:r w:rsidRPr="00780E8E">
        <w:rPr>
          <w:rFonts w:ascii="Arial" w:hAnsi="Arial" w:cs="Arial"/>
          <w:b/>
          <w:bCs/>
        </w:rPr>
        <w:t>PA</w:t>
      </w:r>
      <w:r w:rsidRPr="004C2037">
        <w:rPr>
          <w:rFonts w:ascii="Arial" w:hAnsi="Arial" w:cs="Arial"/>
        </w:rPr>
        <w:t>; M90</w:t>
      </w:r>
    </w:p>
    <w:p w14:paraId="5F457B82" w14:textId="6AFF4892" w:rsidR="008F02DD" w:rsidRPr="004C2037" w:rsidRDefault="008F02DD" w:rsidP="00612D59">
      <w:pPr>
        <w:pStyle w:val="ListParagraph"/>
        <w:numPr>
          <w:ilvl w:val="0"/>
          <w:numId w:val="20"/>
        </w:numPr>
        <w:rPr>
          <w:rFonts w:ascii="Arial" w:hAnsi="Arial" w:cs="Arial"/>
        </w:rPr>
      </w:pPr>
      <w:r w:rsidRPr="004C2037">
        <w:rPr>
          <w:rFonts w:ascii="Arial" w:hAnsi="Arial" w:cs="Arial"/>
        </w:rPr>
        <w:t>Effective November 12, 2024, the following antiemetic agent will no longer require PA within newly established age limits.</w:t>
      </w:r>
    </w:p>
    <w:p w14:paraId="07A018FA" w14:textId="17D191F9" w:rsidR="008F02DD" w:rsidRPr="004C2037" w:rsidRDefault="008F02DD" w:rsidP="00612D59">
      <w:pPr>
        <w:pStyle w:val="ListParagraph"/>
        <w:numPr>
          <w:ilvl w:val="0"/>
          <w:numId w:val="22"/>
        </w:numPr>
        <w:rPr>
          <w:rFonts w:ascii="Arial" w:hAnsi="Arial" w:cs="Arial"/>
        </w:rPr>
      </w:pPr>
      <w:r w:rsidRPr="004C2037">
        <w:rPr>
          <w:rFonts w:ascii="Arial" w:hAnsi="Arial" w:cs="Arial"/>
        </w:rPr>
        <w:t xml:space="preserve">ondansetron oral solution – </w:t>
      </w:r>
      <w:r w:rsidRPr="00FE7597">
        <w:rPr>
          <w:rFonts w:ascii="Arial" w:hAnsi="Arial" w:cs="Arial"/>
          <w:b/>
          <w:bCs/>
        </w:rPr>
        <w:t>PA ≥ 13 years</w:t>
      </w:r>
      <w:r w:rsidRPr="004C2037">
        <w:rPr>
          <w:rFonts w:ascii="Arial" w:hAnsi="Arial" w:cs="Arial"/>
        </w:rPr>
        <w:t>; A90</w:t>
      </w:r>
    </w:p>
    <w:p w14:paraId="23EAD93B" w14:textId="04F8C35A" w:rsidR="008F02DD" w:rsidRPr="004C2037" w:rsidRDefault="008F02DD" w:rsidP="00612D59">
      <w:pPr>
        <w:pStyle w:val="ListParagraph"/>
        <w:numPr>
          <w:ilvl w:val="0"/>
          <w:numId w:val="20"/>
        </w:numPr>
        <w:rPr>
          <w:rFonts w:ascii="Arial" w:hAnsi="Arial" w:cs="Arial"/>
        </w:rPr>
      </w:pPr>
      <w:r w:rsidRPr="004C2037">
        <w:rPr>
          <w:rFonts w:ascii="Arial" w:hAnsi="Arial" w:cs="Arial"/>
        </w:rPr>
        <w:t>Effective November 12, 2024, the following scabicide agent will require PA.</w:t>
      </w:r>
    </w:p>
    <w:p w14:paraId="039C7EEF" w14:textId="2EB1DEBD" w:rsidR="008F02DD" w:rsidRPr="004C2037" w:rsidRDefault="008F02DD" w:rsidP="00612D59">
      <w:pPr>
        <w:pStyle w:val="ListParagraph"/>
        <w:numPr>
          <w:ilvl w:val="0"/>
          <w:numId w:val="22"/>
        </w:numPr>
        <w:rPr>
          <w:rFonts w:ascii="Arial" w:hAnsi="Arial" w:cs="Arial"/>
        </w:rPr>
      </w:pPr>
      <w:r w:rsidRPr="004C2037">
        <w:rPr>
          <w:rFonts w:ascii="Arial" w:hAnsi="Arial" w:cs="Arial"/>
        </w:rPr>
        <w:t xml:space="preserve">Eurax (crotamiton cream) – </w:t>
      </w:r>
      <w:r w:rsidRPr="00FE7597">
        <w:rPr>
          <w:rFonts w:ascii="Arial" w:hAnsi="Arial" w:cs="Arial"/>
          <w:b/>
          <w:bCs/>
        </w:rPr>
        <w:t>PA</w:t>
      </w:r>
      <w:r w:rsidRPr="004C2037">
        <w:rPr>
          <w:rFonts w:ascii="Arial" w:hAnsi="Arial" w:cs="Arial"/>
        </w:rPr>
        <w:t xml:space="preserve"> </w:t>
      </w:r>
    </w:p>
    <w:p w14:paraId="25BE49C7" w14:textId="65B6958A" w:rsidR="008F02DD" w:rsidRPr="004C2037" w:rsidRDefault="008F02DD" w:rsidP="00612D59">
      <w:pPr>
        <w:pStyle w:val="ListParagraph"/>
        <w:numPr>
          <w:ilvl w:val="0"/>
          <w:numId w:val="20"/>
        </w:numPr>
        <w:rPr>
          <w:rFonts w:ascii="Arial" w:hAnsi="Arial" w:cs="Arial"/>
        </w:rPr>
      </w:pPr>
      <w:r w:rsidRPr="004C2037">
        <w:rPr>
          <w:rFonts w:ascii="Arial" w:hAnsi="Arial" w:cs="Arial"/>
        </w:rPr>
        <w:t>Effective November 12, 2024, the following gastrointestinal agents will require PA.</w:t>
      </w:r>
    </w:p>
    <w:p w14:paraId="10211E8E" w14:textId="62012489" w:rsidR="008F02DD" w:rsidRPr="004C2037" w:rsidRDefault="008F02DD" w:rsidP="000D5926">
      <w:pPr>
        <w:pStyle w:val="ListParagraph"/>
        <w:numPr>
          <w:ilvl w:val="0"/>
          <w:numId w:val="22"/>
        </w:numPr>
        <w:rPr>
          <w:rFonts w:ascii="Arial" w:hAnsi="Arial" w:cs="Arial"/>
        </w:rPr>
      </w:pPr>
      <w:r w:rsidRPr="004C2037">
        <w:rPr>
          <w:rFonts w:ascii="Arial" w:hAnsi="Arial" w:cs="Arial"/>
        </w:rPr>
        <w:t xml:space="preserve">cimetidine solution – </w:t>
      </w:r>
      <w:r w:rsidRPr="00FE7597">
        <w:rPr>
          <w:rFonts w:ascii="Arial" w:hAnsi="Arial" w:cs="Arial"/>
          <w:b/>
          <w:bCs/>
        </w:rPr>
        <w:t>PA</w:t>
      </w:r>
      <w:r w:rsidRPr="004C2037">
        <w:rPr>
          <w:rFonts w:ascii="Arial" w:hAnsi="Arial" w:cs="Arial"/>
        </w:rPr>
        <w:t>; A90</w:t>
      </w:r>
    </w:p>
    <w:p w14:paraId="619DD718" w14:textId="59F5E317" w:rsidR="008F02DD" w:rsidRPr="004C2037" w:rsidRDefault="008F02DD" w:rsidP="000D5926">
      <w:pPr>
        <w:pStyle w:val="ListParagraph"/>
        <w:numPr>
          <w:ilvl w:val="0"/>
          <w:numId w:val="22"/>
        </w:numPr>
        <w:rPr>
          <w:rFonts w:ascii="Arial" w:hAnsi="Arial" w:cs="Arial"/>
        </w:rPr>
      </w:pPr>
      <w:r w:rsidRPr="004C2037">
        <w:rPr>
          <w:rFonts w:ascii="Arial" w:hAnsi="Arial" w:cs="Arial"/>
        </w:rPr>
        <w:t>Dexilant (</w:t>
      </w:r>
      <w:proofErr w:type="spellStart"/>
      <w:r w:rsidRPr="004C2037">
        <w:rPr>
          <w:rFonts w:ascii="Arial" w:hAnsi="Arial" w:cs="Arial"/>
        </w:rPr>
        <w:t>dexlansoprazole</w:t>
      </w:r>
      <w:proofErr w:type="spellEnd"/>
      <w:r w:rsidRPr="004C2037">
        <w:rPr>
          <w:rFonts w:ascii="Arial" w:hAnsi="Arial" w:cs="Arial"/>
        </w:rPr>
        <w:t xml:space="preserve">) – </w:t>
      </w:r>
      <w:r w:rsidRPr="00FE7597">
        <w:rPr>
          <w:rFonts w:ascii="Arial" w:hAnsi="Arial" w:cs="Arial"/>
          <w:b/>
          <w:bCs/>
        </w:rPr>
        <w:t>PA</w:t>
      </w:r>
      <w:r w:rsidRPr="004C2037">
        <w:rPr>
          <w:rFonts w:ascii="Arial" w:hAnsi="Arial" w:cs="Arial"/>
        </w:rPr>
        <w:t>; BP, M90</w:t>
      </w:r>
    </w:p>
    <w:p w14:paraId="7F51A5AE" w14:textId="6518EDE0" w:rsidR="008F02DD" w:rsidRPr="004C2037" w:rsidRDefault="008F02DD" w:rsidP="000D5926">
      <w:pPr>
        <w:pStyle w:val="ListParagraph"/>
        <w:numPr>
          <w:ilvl w:val="0"/>
          <w:numId w:val="22"/>
        </w:numPr>
        <w:rPr>
          <w:rFonts w:ascii="Arial" w:hAnsi="Arial" w:cs="Arial"/>
        </w:rPr>
      </w:pPr>
      <w:r w:rsidRPr="004C2037">
        <w:rPr>
          <w:rFonts w:ascii="Arial" w:hAnsi="Arial" w:cs="Arial"/>
        </w:rPr>
        <w:t xml:space="preserve">metoclopramide vial – </w:t>
      </w:r>
      <w:r w:rsidRPr="00FE7597">
        <w:rPr>
          <w:rFonts w:ascii="Arial" w:hAnsi="Arial" w:cs="Arial"/>
          <w:b/>
          <w:bCs/>
        </w:rPr>
        <w:t>PA</w:t>
      </w:r>
    </w:p>
    <w:p w14:paraId="7A4E0EFA" w14:textId="7AD792B5" w:rsidR="008F02DD" w:rsidRPr="004C2037" w:rsidRDefault="008F02DD" w:rsidP="000D5926">
      <w:pPr>
        <w:pStyle w:val="ListParagraph"/>
        <w:numPr>
          <w:ilvl w:val="0"/>
          <w:numId w:val="22"/>
        </w:numPr>
        <w:rPr>
          <w:rFonts w:ascii="Arial" w:hAnsi="Arial" w:cs="Arial"/>
        </w:rPr>
      </w:pPr>
      <w:r w:rsidRPr="004C2037">
        <w:rPr>
          <w:rFonts w:ascii="Arial" w:hAnsi="Arial" w:cs="Arial"/>
        </w:rPr>
        <w:t xml:space="preserve">Nexium (esomeprazole magnesium 10 mg, 20 mg, 40 mg suspension) – </w:t>
      </w:r>
      <w:r w:rsidRPr="00FE7597">
        <w:rPr>
          <w:rFonts w:ascii="Arial" w:hAnsi="Arial" w:cs="Arial"/>
          <w:b/>
          <w:bCs/>
        </w:rPr>
        <w:t>PA</w:t>
      </w:r>
      <w:r w:rsidRPr="004C2037">
        <w:rPr>
          <w:rFonts w:ascii="Arial" w:hAnsi="Arial" w:cs="Arial"/>
        </w:rPr>
        <w:t>; BP, M90</w:t>
      </w:r>
    </w:p>
    <w:p w14:paraId="1FA175F2" w14:textId="5C853E21" w:rsidR="008F02DD" w:rsidRPr="004C2037" w:rsidRDefault="008F02DD" w:rsidP="000D5926">
      <w:pPr>
        <w:pStyle w:val="ListParagraph"/>
        <w:numPr>
          <w:ilvl w:val="0"/>
          <w:numId w:val="20"/>
        </w:numPr>
        <w:rPr>
          <w:rFonts w:ascii="Arial" w:hAnsi="Arial" w:cs="Arial"/>
        </w:rPr>
      </w:pPr>
      <w:r w:rsidRPr="004C2037">
        <w:rPr>
          <w:rFonts w:ascii="Arial" w:hAnsi="Arial" w:cs="Arial"/>
        </w:rPr>
        <w:t>Effective November 12, 2024, the following gastrointestinal agents will no longer require PA.</w:t>
      </w:r>
    </w:p>
    <w:p w14:paraId="103698C3" w14:textId="600DBBAC" w:rsidR="008F02DD" w:rsidRPr="004C2037" w:rsidRDefault="008F02DD" w:rsidP="000D5926">
      <w:pPr>
        <w:pStyle w:val="ListParagraph"/>
        <w:numPr>
          <w:ilvl w:val="0"/>
          <w:numId w:val="23"/>
        </w:numPr>
        <w:rPr>
          <w:rFonts w:ascii="Arial" w:hAnsi="Arial" w:cs="Arial"/>
        </w:rPr>
      </w:pPr>
      <w:proofErr w:type="spellStart"/>
      <w:r w:rsidRPr="004C2037">
        <w:rPr>
          <w:rFonts w:ascii="Arial" w:hAnsi="Arial" w:cs="Arial"/>
        </w:rPr>
        <w:t>Prevacid</w:t>
      </w:r>
      <w:proofErr w:type="spellEnd"/>
      <w:r w:rsidRPr="004C2037">
        <w:rPr>
          <w:rFonts w:ascii="Arial" w:hAnsi="Arial" w:cs="Arial"/>
        </w:rPr>
        <w:t xml:space="preserve"> </w:t>
      </w:r>
      <w:proofErr w:type="spellStart"/>
      <w:r w:rsidRPr="004C2037">
        <w:rPr>
          <w:rFonts w:ascii="Arial" w:hAnsi="Arial" w:cs="Arial"/>
        </w:rPr>
        <w:t>Solutab</w:t>
      </w:r>
      <w:proofErr w:type="spellEnd"/>
      <w:r w:rsidRPr="004C2037">
        <w:rPr>
          <w:rFonts w:ascii="Arial" w:hAnsi="Arial" w:cs="Arial"/>
        </w:rPr>
        <w:t xml:space="preserve"> (lansoprazole orally disintegrating tablet); BP, M90</w:t>
      </w:r>
    </w:p>
    <w:p w14:paraId="198F2E22" w14:textId="34494ADD" w:rsidR="008F02DD" w:rsidRPr="004C2037" w:rsidRDefault="008F02DD" w:rsidP="000D5926">
      <w:pPr>
        <w:pStyle w:val="ListParagraph"/>
        <w:numPr>
          <w:ilvl w:val="0"/>
          <w:numId w:val="23"/>
        </w:numPr>
        <w:rPr>
          <w:rFonts w:ascii="Arial" w:hAnsi="Arial" w:cs="Arial"/>
        </w:rPr>
      </w:pPr>
      <w:r w:rsidRPr="004C2037">
        <w:rPr>
          <w:rFonts w:ascii="Arial" w:hAnsi="Arial" w:cs="Arial"/>
        </w:rPr>
        <w:t>Protonix (pantoprazole 40 mg suspension); BP, M90</w:t>
      </w:r>
    </w:p>
    <w:p w14:paraId="24E99828" w14:textId="6373FF14" w:rsidR="008F02DD" w:rsidRPr="004C2037" w:rsidRDefault="008F02DD" w:rsidP="000D5926">
      <w:pPr>
        <w:pStyle w:val="ListParagraph"/>
        <w:numPr>
          <w:ilvl w:val="0"/>
          <w:numId w:val="23"/>
        </w:numPr>
        <w:rPr>
          <w:rFonts w:ascii="Arial" w:hAnsi="Arial" w:cs="Arial"/>
        </w:rPr>
      </w:pPr>
      <w:proofErr w:type="spellStart"/>
      <w:r w:rsidRPr="004C2037">
        <w:rPr>
          <w:rFonts w:ascii="Arial" w:hAnsi="Arial" w:cs="Arial"/>
        </w:rPr>
        <w:t>Zegerid</w:t>
      </w:r>
      <w:proofErr w:type="spellEnd"/>
      <w:r w:rsidRPr="004C2037">
        <w:rPr>
          <w:rFonts w:ascii="Arial" w:hAnsi="Arial" w:cs="Arial"/>
        </w:rPr>
        <w:t xml:space="preserve"> (omeprazole / sodium bicarbonate powder for oral suspension); BP, M90</w:t>
      </w:r>
    </w:p>
    <w:p w14:paraId="6ECED5F5" w14:textId="77777777" w:rsidR="000D5926" w:rsidRPr="004C2037" w:rsidRDefault="008F02DD" w:rsidP="008F02DD">
      <w:pPr>
        <w:pStyle w:val="ListParagraph"/>
        <w:numPr>
          <w:ilvl w:val="0"/>
          <w:numId w:val="20"/>
        </w:numPr>
        <w:rPr>
          <w:rFonts w:ascii="Arial" w:hAnsi="Arial" w:cs="Arial"/>
        </w:rPr>
      </w:pPr>
      <w:r w:rsidRPr="004C2037">
        <w:rPr>
          <w:rFonts w:ascii="Arial" w:hAnsi="Arial" w:cs="Arial"/>
        </w:rPr>
        <w:t>Effective November 12, 2024, the following insulin agent will require PA.</w:t>
      </w:r>
    </w:p>
    <w:p w14:paraId="152843BF" w14:textId="3F63B2CA" w:rsidR="008F02DD" w:rsidRPr="004C2037" w:rsidRDefault="008F02DD" w:rsidP="000D5926">
      <w:pPr>
        <w:pStyle w:val="ListParagraph"/>
        <w:numPr>
          <w:ilvl w:val="0"/>
          <w:numId w:val="25"/>
        </w:numPr>
        <w:rPr>
          <w:rFonts w:ascii="Arial" w:hAnsi="Arial" w:cs="Arial"/>
        </w:rPr>
      </w:pPr>
      <w:proofErr w:type="spellStart"/>
      <w:r w:rsidRPr="004C2037">
        <w:rPr>
          <w:rFonts w:ascii="Arial" w:hAnsi="Arial" w:cs="Arial"/>
        </w:rPr>
        <w:t>Apidra</w:t>
      </w:r>
      <w:proofErr w:type="spellEnd"/>
      <w:r w:rsidRPr="004C2037">
        <w:rPr>
          <w:rFonts w:ascii="Arial" w:hAnsi="Arial" w:cs="Arial"/>
        </w:rPr>
        <w:t xml:space="preserve"> (insulin </w:t>
      </w:r>
      <w:proofErr w:type="spellStart"/>
      <w:r w:rsidRPr="004C2037">
        <w:rPr>
          <w:rFonts w:ascii="Arial" w:hAnsi="Arial" w:cs="Arial"/>
        </w:rPr>
        <w:t>glulisine</w:t>
      </w:r>
      <w:proofErr w:type="spellEnd"/>
      <w:r w:rsidRPr="004C2037">
        <w:rPr>
          <w:rFonts w:ascii="Arial" w:hAnsi="Arial" w:cs="Arial"/>
        </w:rPr>
        <w:t xml:space="preserve">) – </w:t>
      </w:r>
      <w:r w:rsidRPr="00FE7597">
        <w:rPr>
          <w:rFonts w:ascii="Arial" w:hAnsi="Arial" w:cs="Arial"/>
          <w:b/>
          <w:bCs/>
        </w:rPr>
        <w:t>PA</w:t>
      </w:r>
    </w:p>
    <w:p w14:paraId="50EEAE1F" w14:textId="77777777" w:rsidR="00E53858" w:rsidRDefault="00E53858" w:rsidP="008F02DD">
      <w:pPr>
        <w:sectPr w:rsidR="00E53858" w:rsidSect="00AF611B">
          <w:pgSz w:w="12240" w:h="15840" w:code="1"/>
          <w:pgMar w:top="360" w:right="907" w:bottom="1080" w:left="907" w:header="720" w:footer="576" w:gutter="0"/>
          <w:cols w:sep="1" w:space="720"/>
          <w:docGrid w:linePitch="360"/>
        </w:sectPr>
      </w:pPr>
    </w:p>
    <w:p w14:paraId="1C817F5D" w14:textId="74A4FEBC" w:rsidR="00E53858" w:rsidRDefault="00E53858" w:rsidP="00E53858">
      <w:pPr>
        <w:pStyle w:val="Default"/>
        <w:pBdr>
          <w:bottom w:val="single" w:sz="18" w:space="1" w:color="auto"/>
        </w:pBdr>
        <w:tabs>
          <w:tab w:val="right" w:pos="10440"/>
        </w:tabs>
        <w:spacing w:after="240"/>
        <w:rPr>
          <w:sz w:val="18"/>
          <w:szCs w:val="18"/>
        </w:rPr>
      </w:pPr>
      <w:r w:rsidRPr="00AD18B8">
        <w:rPr>
          <w:sz w:val="18"/>
          <w:szCs w:val="18"/>
        </w:rPr>
        <w:lastRenderedPageBreak/>
        <w:t>P</w:t>
      </w:r>
      <w:r>
        <w:rPr>
          <w:sz w:val="18"/>
          <w:szCs w:val="18"/>
        </w:rPr>
        <w:t>harmacy Facts 23</w:t>
      </w:r>
      <w:r w:rsidR="00AA15FC">
        <w:rPr>
          <w:sz w:val="18"/>
          <w:szCs w:val="18"/>
        </w:rPr>
        <w:t>4</w:t>
      </w:r>
      <w:r>
        <w:rPr>
          <w:color w:val="FF0000"/>
          <w:sz w:val="18"/>
          <w:szCs w:val="18"/>
        </w:rPr>
        <w:tab/>
      </w:r>
      <w:r w:rsidRPr="00EC1948">
        <w:rPr>
          <w:color w:val="auto"/>
          <w:sz w:val="18"/>
          <w:szCs w:val="18"/>
        </w:rPr>
        <w:t xml:space="preserve">Page </w:t>
      </w:r>
      <w:r w:rsidR="00AA15FC">
        <w:rPr>
          <w:color w:val="auto"/>
          <w:sz w:val="18"/>
          <w:szCs w:val="18"/>
        </w:rPr>
        <w:t>4</w:t>
      </w:r>
      <w:r w:rsidRPr="00EC1948">
        <w:rPr>
          <w:noProof/>
          <w:color w:val="auto"/>
          <w:sz w:val="18"/>
          <w:szCs w:val="18"/>
        </w:rPr>
        <w:t xml:space="preserve"> of </w:t>
      </w:r>
      <w:r w:rsidR="00AA15FC">
        <w:rPr>
          <w:noProof/>
          <w:color w:val="auto"/>
          <w:sz w:val="18"/>
          <w:szCs w:val="18"/>
        </w:rPr>
        <w:t>5</w:t>
      </w:r>
    </w:p>
    <w:p w14:paraId="71EE4CBC" w14:textId="77777777" w:rsidR="008F02DD" w:rsidRPr="00E53858" w:rsidRDefault="008F02DD" w:rsidP="00E53858">
      <w:pPr>
        <w:pStyle w:val="Default"/>
        <w:spacing w:after="120"/>
        <w:rPr>
          <w:rFonts w:cs="Arial"/>
          <w:b/>
          <w:color w:val="auto"/>
        </w:rPr>
      </w:pPr>
      <w:r w:rsidRPr="00E53858">
        <w:rPr>
          <w:rFonts w:cs="Arial"/>
          <w:b/>
          <w:color w:val="auto"/>
        </w:rPr>
        <w:t>Change in Coverage Status</w:t>
      </w:r>
    </w:p>
    <w:p w14:paraId="5E02B863" w14:textId="77777777" w:rsidR="008F02DD" w:rsidRPr="00FE7597" w:rsidRDefault="008F02DD" w:rsidP="008F02DD">
      <w:pPr>
        <w:rPr>
          <w:rFonts w:ascii="Arial" w:hAnsi="Arial" w:cs="Arial"/>
        </w:rPr>
      </w:pPr>
      <w:r w:rsidRPr="00FE7597">
        <w:rPr>
          <w:rFonts w:ascii="Arial" w:hAnsi="Arial" w:cs="Arial"/>
        </w:rPr>
        <w:t>Effective November 12, 2024, the following agents will be available through medical billing only and will no longer be available through pharmacy billing.</w:t>
      </w:r>
    </w:p>
    <w:p w14:paraId="2968A3FB" w14:textId="6010DD46" w:rsidR="008F02DD" w:rsidRPr="00FE7597" w:rsidRDefault="008F02DD" w:rsidP="00E53858">
      <w:pPr>
        <w:pStyle w:val="ListParagraph"/>
        <w:numPr>
          <w:ilvl w:val="0"/>
          <w:numId w:val="25"/>
        </w:numPr>
        <w:rPr>
          <w:rFonts w:ascii="Arial" w:hAnsi="Arial" w:cs="Arial"/>
        </w:rPr>
      </w:pPr>
      <w:proofErr w:type="spellStart"/>
      <w:r w:rsidRPr="00FE7597">
        <w:rPr>
          <w:rFonts w:ascii="Arial" w:hAnsi="Arial" w:cs="Arial"/>
        </w:rPr>
        <w:t>Cellcept</w:t>
      </w:r>
      <w:proofErr w:type="spellEnd"/>
      <w:r w:rsidRPr="00FE7597">
        <w:rPr>
          <w:rFonts w:ascii="Arial" w:hAnsi="Arial" w:cs="Arial"/>
        </w:rPr>
        <w:t xml:space="preserve"> (mycophenolate mofetil injection); MB </w:t>
      </w:r>
    </w:p>
    <w:p w14:paraId="2E678AE2" w14:textId="77777777" w:rsidR="008F02DD" w:rsidRDefault="008F02DD" w:rsidP="008F02DD"/>
    <w:p w14:paraId="3E309EDD" w14:textId="449A89B3" w:rsidR="008F02DD" w:rsidRPr="00797646" w:rsidRDefault="008F02DD" w:rsidP="00797646">
      <w:pPr>
        <w:pStyle w:val="Default"/>
        <w:spacing w:after="120"/>
        <w:rPr>
          <w:rFonts w:cs="Arial"/>
          <w:b/>
          <w:color w:val="auto"/>
        </w:rPr>
      </w:pPr>
      <w:r w:rsidRPr="00E53858">
        <w:rPr>
          <w:rFonts w:cs="Arial"/>
          <w:b/>
          <w:color w:val="auto"/>
        </w:rPr>
        <w:t>Updated MassHealth Brand Name Preferred Over Generic Drug List</w:t>
      </w:r>
    </w:p>
    <w:p w14:paraId="6A4B629E" w14:textId="77777777" w:rsidR="008F02DD" w:rsidRPr="00FE7597" w:rsidRDefault="008F02DD" w:rsidP="008F02DD">
      <w:pPr>
        <w:rPr>
          <w:rFonts w:ascii="Arial" w:hAnsi="Arial" w:cs="Arial"/>
        </w:rPr>
      </w:pPr>
      <w:r w:rsidRPr="00FE7597">
        <w:rPr>
          <w:rFonts w:ascii="Arial" w:hAnsi="Arial" w:cs="Arial"/>
        </w:rPr>
        <w:t>The MassHealth Brand Name Preferred Over Generic Drug List has been updated to reflect recent changes to the MassHealth Drug List.</w:t>
      </w:r>
    </w:p>
    <w:p w14:paraId="69133B89" w14:textId="78DADFB1" w:rsidR="008F02DD" w:rsidRPr="00FE7597" w:rsidRDefault="008F02DD" w:rsidP="00797646">
      <w:pPr>
        <w:pStyle w:val="ListParagraph"/>
        <w:numPr>
          <w:ilvl w:val="0"/>
          <w:numId w:val="26"/>
        </w:numPr>
        <w:rPr>
          <w:rFonts w:ascii="Arial" w:hAnsi="Arial" w:cs="Arial"/>
        </w:rPr>
      </w:pPr>
      <w:r w:rsidRPr="00FE7597">
        <w:rPr>
          <w:rFonts w:ascii="Arial" w:hAnsi="Arial" w:cs="Arial"/>
        </w:rPr>
        <w:t xml:space="preserve">Effective November 12, 2024, the following agents will be added to the MassHealth Brand Name Preferred Over Generic Drug List. </w:t>
      </w:r>
    </w:p>
    <w:p w14:paraId="21DFE571" w14:textId="79AD0080" w:rsidR="008F02DD" w:rsidRPr="00FE7597" w:rsidRDefault="008F02DD" w:rsidP="00797646">
      <w:pPr>
        <w:pStyle w:val="ListParagraph"/>
        <w:numPr>
          <w:ilvl w:val="0"/>
          <w:numId w:val="25"/>
        </w:numPr>
        <w:rPr>
          <w:rFonts w:ascii="Arial" w:hAnsi="Arial" w:cs="Arial"/>
        </w:rPr>
      </w:pPr>
      <w:proofErr w:type="spellStart"/>
      <w:r w:rsidRPr="00FE7597">
        <w:rPr>
          <w:rFonts w:ascii="Arial" w:hAnsi="Arial" w:cs="Arial"/>
        </w:rPr>
        <w:t>Combigan</w:t>
      </w:r>
      <w:proofErr w:type="spellEnd"/>
      <w:r w:rsidRPr="00FE7597">
        <w:rPr>
          <w:rFonts w:ascii="Arial" w:hAnsi="Arial" w:cs="Arial"/>
        </w:rPr>
        <w:t xml:space="preserve"> (brimonidine/timolol, ophthalmic); BP, M90</w:t>
      </w:r>
    </w:p>
    <w:p w14:paraId="2571DE65" w14:textId="7F2DF960" w:rsidR="008F02DD" w:rsidRPr="00FE7597" w:rsidRDefault="008F02DD" w:rsidP="00797646">
      <w:pPr>
        <w:pStyle w:val="ListParagraph"/>
        <w:numPr>
          <w:ilvl w:val="0"/>
          <w:numId w:val="25"/>
        </w:numPr>
        <w:rPr>
          <w:rFonts w:ascii="Arial" w:hAnsi="Arial" w:cs="Arial"/>
        </w:rPr>
      </w:pPr>
      <w:proofErr w:type="spellStart"/>
      <w:r w:rsidRPr="00FE7597">
        <w:rPr>
          <w:rFonts w:ascii="Arial" w:hAnsi="Arial" w:cs="Arial"/>
        </w:rPr>
        <w:t>Sporanox</w:t>
      </w:r>
      <w:proofErr w:type="spellEnd"/>
      <w:r w:rsidRPr="00FE7597">
        <w:rPr>
          <w:rFonts w:ascii="Arial" w:hAnsi="Arial" w:cs="Arial"/>
        </w:rPr>
        <w:t xml:space="preserve"> (itraconazole 100 mg capsule, solution); BP, A90</w:t>
      </w:r>
    </w:p>
    <w:p w14:paraId="1C6D80F7" w14:textId="70DBA17E" w:rsidR="008F02DD" w:rsidRPr="00FE7597" w:rsidRDefault="008F02DD" w:rsidP="00797646">
      <w:pPr>
        <w:pStyle w:val="ListParagraph"/>
        <w:numPr>
          <w:ilvl w:val="0"/>
          <w:numId w:val="25"/>
        </w:numPr>
        <w:rPr>
          <w:rFonts w:ascii="Arial" w:hAnsi="Arial" w:cs="Arial"/>
        </w:rPr>
      </w:pPr>
      <w:proofErr w:type="spellStart"/>
      <w:r w:rsidRPr="00FE7597">
        <w:rPr>
          <w:rFonts w:ascii="Arial" w:hAnsi="Arial" w:cs="Arial"/>
        </w:rPr>
        <w:t>Zegerid</w:t>
      </w:r>
      <w:proofErr w:type="spellEnd"/>
      <w:r w:rsidRPr="00FE7597">
        <w:rPr>
          <w:rFonts w:ascii="Arial" w:hAnsi="Arial" w:cs="Arial"/>
        </w:rPr>
        <w:t xml:space="preserve"> (omeprazole/sodium bicarbonate capsule); BP, M90</w:t>
      </w:r>
    </w:p>
    <w:p w14:paraId="2FF94704" w14:textId="10E127DB" w:rsidR="008F02DD" w:rsidRPr="00FE7597" w:rsidRDefault="008F02DD" w:rsidP="00797646">
      <w:pPr>
        <w:pStyle w:val="ListParagraph"/>
        <w:numPr>
          <w:ilvl w:val="0"/>
          <w:numId w:val="25"/>
        </w:numPr>
        <w:rPr>
          <w:rFonts w:ascii="Arial" w:hAnsi="Arial" w:cs="Arial"/>
        </w:rPr>
      </w:pPr>
      <w:proofErr w:type="spellStart"/>
      <w:r w:rsidRPr="00FE7597">
        <w:rPr>
          <w:rFonts w:ascii="Arial" w:hAnsi="Arial" w:cs="Arial"/>
        </w:rPr>
        <w:t>Zegerid</w:t>
      </w:r>
      <w:proofErr w:type="spellEnd"/>
      <w:r w:rsidRPr="00FE7597">
        <w:rPr>
          <w:rFonts w:ascii="Arial" w:hAnsi="Arial" w:cs="Arial"/>
        </w:rPr>
        <w:t xml:space="preserve"> (omeprazole/sodium bicarbonate powder for oral suspension); BP, M90</w:t>
      </w:r>
    </w:p>
    <w:p w14:paraId="092642A4" w14:textId="0F95CFF0" w:rsidR="008F02DD" w:rsidRPr="00FE7597" w:rsidRDefault="008F02DD" w:rsidP="00797646">
      <w:pPr>
        <w:pStyle w:val="ListParagraph"/>
        <w:numPr>
          <w:ilvl w:val="0"/>
          <w:numId w:val="25"/>
        </w:numPr>
        <w:rPr>
          <w:rFonts w:ascii="Arial" w:hAnsi="Arial" w:cs="Arial"/>
        </w:rPr>
      </w:pPr>
      <w:proofErr w:type="spellStart"/>
      <w:r w:rsidRPr="00FE7597">
        <w:rPr>
          <w:rFonts w:ascii="Arial" w:hAnsi="Arial" w:cs="Arial"/>
        </w:rPr>
        <w:t>Zortress</w:t>
      </w:r>
      <w:proofErr w:type="spellEnd"/>
      <w:r w:rsidRPr="00FE7597">
        <w:rPr>
          <w:rFonts w:ascii="Arial" w:hAnsi="Arial" w:cs="Arial"/>
        </w:rPr>
        <w:t xml:space="preserve"> (</w:t>
      </w:r>
      <w:proofErr w:type="spellStart"/>
      <w:r w:rsidRPr="00FE7597">
        <w:rPr>
          <w:rFonts w:ascii="Arial" w:hAnsi="Arial" w:cs="Arial"/>
        </w:rPr>
        <w:t>everolimus</w:t>
      </w:r>
      <w:proofErr w:type="spellEnd"/>
      <w:r w:rsidRPr="00FE7597">
        <w:rPr>
          <w:rFonts w:ascii="Arial" w:hAnsi="Arial" w:cs="Arial"/>
        </w:rPr>
        <w:t xml:space="preserve"> 0.25 mg, 0.5 mg, 0.75 mg, 1 mg); BP, A90</w:t>
      </w:r>
    </w:p>
    <w:p w14:paraId="1BD74D6B" w14:textId="347FE988" w:rsidR="008F02DD" w:rsidRPr="00FE7597" w:rsidRDefault="008F02DD" w:rsidP="000342A2">
      <w:pPr>
        <w:pStyle w:val="ListParagraph"/>
        <w:numPr>
          <w:ilvl w:val="0"/>
          <w:numId w:val="26"/>
        </w:numPr>
        <w:rPr>
          <w:rFonts w:ascii="Arial" w:hAnsi="Arial" w:cs="Arial"/>
        </w:rPr>
      </w:pPr>
      <w:r w:rsidRPr="00FE7597">
        <w:rPr>
          <w:rFonts w:ascii="Arial" w:hAnsi="Arial" w:cs="Arial"/>
        </w:rPr>
        <w:t xml:space="preserve">Effective November 12, 2024, the following agents will be removed from the MassHealth Brand Name Preferred Over Generic Drug List. </w:t>
      </w:r>
    </w:p>
    <w:p w14:paraId="2DC1D26C" w14:textId="21795750" w:rsidR="008F02DD" w:rsidRPr="00FE7597" w:rsidRDefault="008F02DD" w:rsidP="000342A2">
      <w:pPr>
        <w:pStyle w:val="ListParagraph"/>
        <w:numPr>
          <w:ilvl w:val="0"/>
          <w:numId w:val="27"/>
        </w:numPr>
        <w:rPr>
          <w:rFonts w:ascii="Arial" w:hAnsi="Arial" w:cs="Arial"/>
        </w:rPr>
      </w:pPr>
      <w:r w:rsidRPr="00FE7597">
        <w:rPr>
          <w:rFonts w:ascii="Arial" w:hAnsi="Arial" w:cs="Arial"/>
        </w:rPr>
        <w:t xml:space="preserve">Daraprim (pyrimethamine) – </w:t>
      </w:r>
      <w:r w:rsidRPr="00CE0F2E">
        <w:rPr>
          <w:rFonts w:ascii="Arial" w:hAnsi="Arial" w:cs="Arial"/>
          <w:b/>
          <w:bCs/>
        </w:rPr>
        <w:t>PA</w:t>
      </w:r>
      <w:r w:rsidRPr="00FE7597">
        <w:rPr>
          <w:rFonts w:ascii="Arial" w:hAnsi="Arial" w:cs="Arial"/>
        </w:rPr>
        <w:t>; A90</w:t>
      </w:r>
    </w:p>
    <w:p w14:paraId="7FB236D2" w14:textId="67C7701E" w:rsidR="008F02DD" w:rsidRPr="00FE7597" w:rsidRDefault="008F02DD" w:rsidP="000342A2">
      <w:pPr>
        <w:pStyle w:val="ListParagraph"/>
        <w:numPr>
          <w:ilvl w:val="0"/>
          <w:numId w:val="27"/>
        </w:numPr>
        <w:rPr>
          <w:rFonts w:ascii="Arial" w:hAnsi="Arial" w:cs="Arial"/>
        </w:rPr>
      </w:pPr>
      <w:r w:rsidRPr="00FE7597">
        <w:rPr>
          <w:rFonts w:ascii="Arial" w:hAnsi="Arial" w:cs="Arial"/>
        </w:rPr>
        <w:t xml:space="preserve">Eurax (crotamiton lotion) – </w:t>
      </w:r>
      <w:r w:rsidRPr="00CE0F2E">
        <w:rPr>
          <w:rFonts w:ascii="Arial" w:hAnsi="Arial" w:cs="Arial"/>
          <w:b/>
          <w:bCs/>
        </w:rPr>
        <w:t>PA</w:t>
      </w:r>
      <w:r w:rsidRPr="00FE7597">
        <w:rPr>
          <w:rFonts w:ascii="Arial" w:hAnsi="Arial" w:cs="Arial"/>
        </w:rPr>
        <w:t xml:space="preserve"> </w:t>
      </w:r>
    </w:p>
    <w:p w14:paraId="72EE2254" w14:textId="4E009E7E" w:rsidR="008F02DD" w:rsidRPr="00FE7597" w:rsidRDefault="008F02DD" w:rsidP="000342A2">
      <w:pPr>
        <w:pStyle w:val="ListParagraph"/>
        <w:numPr>
          <w:ilvl w:val="0"/>
          <w:numId w:val="27"/>
        </w:numPr>
        <w:rPr>
          <w:rFonts w:ascii="Arial" w:hAnsi="Arial" w:cs="Arial"/>
        </w:rPr>
      </w:pPr>
      <w:proofErr w:type="spellStart"/>
      <w:r w:rsidRPr="00FE7597">
        <w:rPr>
          <w:rFonts w:ascii="Arial" w:hAnsi="Arial" w:cs="Arial"/>
        </w:rPr>
        <w:t>Lialda</w:t>
      </w:r>
      <w:proofErr w:type="spellEnd"/>
      <w:r w:rsidRPr="00FE7597">
        <w:rPr>
          <w:rFonts w:ascii="Arial" w:hAnsi="Arial" w:cs="Arial"/>
        </w:rPr>
        <w:t xml:space="preserve"> (mesalamine 1.2 gram delayed-release tablet); #, A90</w:t>
      </w:r>
    </w:p>
    <w:p w14:paraId="34A7DD16" w14:textId="436694FD" w:rsidR="008F02DD" w:rsidRPr="00FE7597" w:rsidRDefault="008F02DD" w:rsidP="000342A2">
      <w:pPr>
        <w:pStyle w:val="ListParagraph"/>
        <w:numPr>
          <w:ilvl w:val="0"/>
          <w:numId w:val="27"/>
        </w:numPr>
        <w:rPr>
          <w:rFonts w:ascii="Arial" w:hAnsi="Arial" w:cs="Arial"/>
        </w:rPr>
      </w:pPr>
      <w:proofErr w:type="spellStart"/>
      <w:r w:rsidRPr="00FE7597">
        <w:rPr>
          <w:rFonts w:ascii="Arial" w:hAnsi="Arial" w:cs="Arial"/>
        </w:rPr>
        <w:t>Solodyn</w:t>
      </w:r>
      <w:proofErr w:type="spellEnd"/>
      <w:r w:rsidRPr="00FE7597">
        <w:rPr>
          <w:rFonts w:ascii="Arial" w:hAnsi="Arial" w:cs="Arial"/>
        </w:rPr>
        <w:t xml:space="preserve"> (minocycline </w:t>
      </w:r>
      <w:proofErr w:type="gramStart"/>
      <w:r w:rsidRPr="00FE7597">
        <w:rPr>
          <w:rFonts w:ascii="Arial" w:hAnsi="Arial" w:cs="Arial"/>
        </w:rPr>
        <w:t>extended-release</w:t>
      </w:r>
      <w:proofErr w:type="gramEnd"/>
      <w:r w:rsidRPr="00FE7597">
        <w:rPr>
          <w:rFonts w:ascii="Arial" w:hAnsi="Arial" w:cs="Arial"/>
        </w:rPr>
        <w:t xml:space="preserve"> 55 mg, 65 mg, 80 mg, 105 mg, 115 mg tablet); #, A90 </w:t>
      </w:r>
    </w:p>
    <w:p w14:paraId="26D9767A" w14:textId="1743CEF8" w:rsidR="008F02DD" w:rsidRPr="00FE7597" w:rsidRDefault="008F02DD" w:rsidP="000342A2">
      <w:pPr>
        <w:pStyle w:val="ListParagraph"/>
        <w:numPr>
          <w:ilvl w:val="0"/>
          <w:numId w:val="27"/>
        </w:numPr>
        <w:rPr>
          <w:rFonts w:ascii="Arial" w:hAnsi="Arial" w:cs="Arial"/>
        </w:rPr>
      </w:pPr>
      <w:proofErr w:type="spellStart"/>
      <w:r w:rsidRPr="00FE7597">
        <w:rPr>
          <w:rFonts w:ascii="Arial" w:hAnsi="Arial" w:cs="Arial"/>
        </w:rPr>
        <w:t>Timoptic</w:t>
      </w:r>
      <w:proofErr w:type="spellEnd"/>
      <w:r w:rsidRPr="00FE7597">
        <w:rPr>
          <w:rFonts w:ascii="Arial" w:hAnsi="Arial" w:cs="Arial"/>
        </w:rPr>
        <w:t xml:space="preserve"> </w:t>
      </w:r>
      <w:proofErr w:type="spellStart"/>
      <w:r w:rsidRPr="00FE7597">
        <w:rPr>
          <w:rFonts w:ascii="Arial" w:hAnsi="Arial" w:cs="Arial"/>
        </w:rPr>
        <w:t>Ocudose</w:t>
      </w:r>
      <w:proofErr w:type="spellEnd"/>
      <w:r w:rsidRPr="00FE7597">
        <w:rPr>
          <w:rFonts w:ascii="Arial" w:hAnsi="Arial" w:cs="Arial"/>
        </w:rPr>
        <w:t xml:space="preserve"> (timolol 0.25% ophthalmic unit dose solution) – </w:t>
      </w:r>
      <w:r w:rsidRPr="00CE0F2E">
        <w:rPr>
          <w:rFonts w:ascii="Arial" w:hAnsi="Arial" w:cs="Arial"/>
          <w:b/>
          <w:bCs/>
        </w:rPr>
        <w:t>PA</w:t>
      </w:r>
      <w:r w:rsidRPr="00FE7597">
        <w:rPr>
          <w:rFonts w:ascii="Arial" w:hAnsi="Arial" w:cs="Arial"/>
        </w:rPr>
        <w:t>; M90</w:t>
      </w:r>
    </w:p>
    <w:p w14:paraId="7FA2E5DB" w14:textId="77777777" w:rsidR="008F02DD" w:rsidRDefault="008F02DD" w:rsidP="008F02DD"/>
    <w:p w14:paraId="275903F6" w14:textId="77777777" w:rsidR="008F02DD" w:rsidRPr="000342A2" w:rsidRDefault="008F02DD" w:rsidP="000342A2">
      <w:pPr>
        <w:pStyle w:val="Default"/>
        <w:spacing w:after="120"/>
        <w:rPr>
          <w:rFonts w:cs="Arial"/>
          <w:b/>
          <w:color w:val="auto"/>
        </w:rPr>
      </w:pPr>
      <w:r w:rsidRPr="000342A2">
        <w:rPr>
          <w:rFonts w:cs="Arial"/>
          <w:b/>
          <w:color w:val="auto"/>
        </w:rPr>
        <w:t>Updated MassHealth Over-the-Counter Drug List</w:t>
      </w:r>
    </w:p>
    <w:p w14:paraId="1CF9C285" w14:textId="77777777" w:rsidR="008F02DD" w:rsidRPr="00CE0F2E" w:rsidRDefault="008F02DD" w:rsidP="008F02DD">
      <w:pPr>
        <w:rPr>
          <w:rFonts w:ascii="Arial" w:hAnsi="Arial" w:cs="Arial"/>
        </w:rPr>
      </w:pPr>
      <w:r w:rsidRPr="00CE0F2E">
        <w:rPr>
          <w:rFonts w:ascii="Arial" w:hAnsi="Arial" w:cs="Arial"/>
        </w:rPr>
        <w:t>The MassHealth Over-the-Counter Drug List has been updated to reflect recent changes to the MassHealth Drug List.</w:t>
      </w:r>
    </w:p>
    <w:p w14:paraId="3EBCDD86" w14:textId="77777777" w:rsidR="000342A2" w:rsidRPr="00CE0F2E" w:rsidRDefault="000342A2" w:rsidP="008F02DD">
      <w:pPr>
        <w:rPr>
          <w:rFonts w:ascii="Arial" w:hAnsi="Arial" w:cs="Arial"/>
        </w:rPr>
      </w:pPr>
    </w:p>
    <w:p w14:paraId="34A82D1A" w14:textId="77777777" w:rsidR="008F02DD" w:rsidRPr="00CE0F2E" w:rsidRDefault="008F02DD" w:rsidP="008F02DD">
      <w:pPr>
        <w:rPr>
          <w:rFonts w:ascii="Arial" w:hAnsi="Arial" w:cs="Arial"/>
        </w:rPr>
      </w:pPr>
      <w:r w:rsidRPr="00CE0F2E">
        <w:rPr>
          <w:rFonts w:ascii="Arial" w:hAnsi="Arial" w:cs="Arial"/>
        </w:rPr>
        <w:t xml:space="preserve">Effective September 30, 2024, the following topical anesthetic agent was added to the MassHealth Over-the-Counter Drug List on November 12, 2024. </w:t>
      </w:r>
    </w:p>
    <w:p w14:paraId="32D70E8B" w14:textId="6AB03F96" w:rsidR="008F02DD" w:rsidRPr="00CE0F2E" w:rsidRDefault="008F02DD" w:rsidP="000342A2">
      <w:pPr>
        <w:pStyle w:val="ListParagraph"/>
        <w:numPr>
          <w:ilvl w:val="0"/>
          <w:numId w:val="28"/>
        </w:numPr>
        <w:rPr>
          <w:rFonts w:ascii="Arial" w:hAnsi="Arial" w:cs="Arial"/>
        </w:rPr>
      </w:pPr>
      <w:r w:rsidRPr="00CE0F2E">
        <w:rPr>
          <w:rFonts w:ascii="Arial" w:hAnsi="Arial" w:cs="Arial"/>
        </w:rPr>
        <w:t>diclofenac 1% gel; *</w:t>
      </w:r>
    </w:p>
    <w:p w14:paraId="7F55CB00" w14:textId="77777777" w:rsidR="008F02DD" w:rsidRDefault="008F02DD" w:rsidP="008F02DD"/>
    <w:p w14:paraId="1959BD68" w14:textId="77777777" w:rsidR="008F02DD" w:rsidRPr="000342A2" w:rsidRDefault="008F02DD" w:rsidP="000342A2">
      <w:pPr>
        <w:pStyle w:val="Default"/>
        <w:spacing w:after="120"/>
        <w:rPr>
          <w:rFonts w:cs="Arial"/>
          <w:b/>
          <w:color w:val="auto"/>
        </w:rPr>
      </w:pPr>
      <w:r w:rsidRPr="000342A2">
        <w:rPr>
          <w:rFonts w:cs="Arial"/>
          <w:b/>
          <w:color w:val="auto"/>
        </w:rPr>
        <w:t>Updated MassHealth 90-day Initiative</w:t>
      </w:r>
    </w:p>
    <w:p w14:paraId="22C402BE" w14:textId="77777777" w:rsidR="008F02DD" w:rsidRPr="00CE0F2E" w:rsidRDefault="008F02DD" w:rsidP="008F02DD">
      <w:pPr>
        <w:rPr>
          <w:rFonts w:ascii="Arial" w:hAnsi="Arial" w:cs="Arial"/>
        </w:rPr>
      </w:pPr>
      <w:r w:rsidRPr="00CE0F2E">
        <w:rPr>
          <w:rFonts w:ascii="Arial" w:hAnsi="Arial" w:cs="Arial"/>
        </w:rPr>
        <w:t>The MassHealth 90-day Initiative has been updated to reflect recent changes to the MassHealth Drug List.</w:t>
      </w:r>
    </w:p>
    <w:p w14:paraId="54AA0332" w14:textId="4489FDE3" w:rsidR="008F02DD" w:rsidRPr="00CE0F2E" w:rsidRDefault="008F02DD" w:rsidP="000342A2">
      <w:pPr>
        <w:pStyle w:val="ListParagraph"/>
        <w:numPr>
          <w:ilvl w:val="0"/>
          <w:numId w:val="29"/>
        </w:numPr>
        <w:rPr>
          <w:rFonts w:ascii="Arial" w:hAnsi="Arial" w:cs="Arial"/>
        </w:rPr>
      </w:pPr>
      <w:r w:rsidRPr="00CE0F2E">
        <w:rPr>
          <w:rFonts w:ascii="Arial" w:hAnsi="Arial" w:cs="Arial"/>
        </w:rPr>
        <w:t xml:space="preserve">Effective November 12, 2024, the following agents may be allowed or mandated to be dispensed in up to a 90-day supply, as indicated below. </w:t>
      </w:r>
    </w:p>
    <w:p w14:paraId="19497CA5" w14:textId="7E51A9C8" w:rsidR="008F02DD" w:rsidRPr="00CE0F2E" w:rsidRDefault="008F02DD" w:rsidP="00825747">
      <w:pPr>
        <w:pStyle w:val="ListParagraph"/>
        <w:numPr>
          <w:ilvl w:val="0"/>
          <w:numId w:val="27"/>
        </w:numPr>
        <w:rPr>
          <w:rFonts w:ascii="Arial" w:hAnsi="Arial" w:cs="Arial"/>
        </w:rPr>
      </w:pPr>
      <w:proofErr w:type="spellStart"/>
      <w:r w:rsidRPr="00CE0F2E">
        <w:rPr>
          <w:rFonts w:ascii="Arial" w:hAnsi="Arial" w:cs="Arial"/>
        </w:rPr>
        <w:t>Oxtellar</w:t>
      </w:r>
      <w:proofErr w:type="spellEnd"/>
      <w:r w:rsidRPr="00CE0F2E">
        <w:rPr>
          <w:rFonts w:ascii="Arial" w:hAnsi="Arial" w:cs="Arial"/>
        </w:rPr>
        <w:t xml:space="preserve"> XR (oxcarbazepine extended-release) – </w:t>
      </w:r>
      <w:r w:rsidRPr="00CE0F2E">
        <w:rPr>
          <w:rFonts w:ascii="Arial" w:hAnsi="Arial" w:cs="Arial"/>
          <w:b/>
          <w:bCs/>
        </w:rPr>
        <w:t>PA</w:t>
      </w:r>
      <w:r w:rsidRPr="00CE0F2E">
        <w:rPr>
          <w:rFonts w:ascii="Arial" w:hAnsi="Arial" w:cs="Arial"/>
        </w:rPr>
        <w:t xml:space="preserve">; BP, A90 </w:t>
      </w:r>
    </w:p>
    <w:p w14:paraId="333F7380" w14:textId="6AC443EC" w:rsidR="008F02DD" w:rsidRDefault="008F02DD" w:rsidP="00825747">
      <w:pPr>
        <w:pStyle w:val="ListParagraph"/>
        <w:numPr>
          <w:ilvl w:val="0"/>
          <w:numId w:val="27"/>
        </w:numPr>
        <w:rPr>
          <w:rFonts w:ascii="Arial" w:hAnsi="Arial" w:cs="Arial"/>
        </w:rPr>
      </w:pPr>
      <w:proofErr w:type="spellStart"/>
      <w:r w:rsidRPr="00CE0F2E">
        <w:rPr>
          <w:rFonts w:ascii="Arial" w:hAnsi="Arial" w:cs="Arial"/>
        </w:rPr>
        <w:t>Sprycel</w:t>
      </w:r>
      <w:proofErr w:type="spellEnd"/>
      <w:r w:rsidRPr="00CE0F2E">
        <w:rPr>
          <w:rFonts w:ascii="Arial" w:hAnsi="Arial" w:cs="Arial"/>
        </w:rPr>
        <w:t xml:space="preserve"> (</w:t>
      </w:r>
      <w:proofErr w:type="spellStart"/>
      <w:r w:rsidRPr="00CE0F2E">
        <w:rPr>
          <w:rFonts w:ascii="Arial" w:hAnsi="Arial" w:cs="Arial"/>
        </w:rPr>
        <w:t>dasatinib</w:t>
      </w:r>
      <w:proofErr w:type="spellEnd"/>
      <w:r w:rsidRPr="00CE0F2E">
        <w:rPr>
          <w:rFonts w:ascii="Arial" w:hAnsi="Arial" w:cs="Arial"/>
        </w:rPr>
        <w:t xml:space="preserve">); BP, A90 </w:t>
      </w:r>
    </w:p>
    <w:p w14:paraId="53926FDC" w14:textId="77777777" w:rsidR="00CE0F2E" w:rsidRPr="00CE0F2E" w:rsidRDefault="00CE0F2E" w:rsidP="00CE0F2E">
      <w:pPr>
        <w:pStyle w:val="ListParagraph"/>
        <w:ind w:left="1080"/>
        <w:rPr>
          <w:rFonts w:ascii="Arial" w:hAnsi="Arial" w:cs="Arial"/>
        </w:rPr>
      </w:pPr>
    </w:p>
    <w:p w14:paraId="4A17085D" w14:textId="77777777" w:rsidR="00A87239" w:rsidRDefault="00A87239" w:rsidP="008F02DD">
      <w:pPr>
        <w:sectPr w:rsidR="00A87239" w:rsidSect="00AF611B">
          <w:pgSz w:w="12240" w:h="15840" w:code="1"/>
          <w:pgMar w:top="360" w:right="907" w:bottom="1080" w:left="907" w:header="720" w:footer="576" w:gutter="0"/>
          <w:cols w:sep="1" w:space="720"/>
          <w:docGrid w:linePitch="360"/>
        </w:sectPr>
      </w:pPr>
    </w:p>
    <w:p w14:paraId="15C9953C" w14:textId="609FAF03" w:rsidR="00A87239" w:rsidRDefault="00A87239" w:rsidP="00A87239">
      <w:pPr>
        <w:pStyle w:val="Default"/>
        <w:pBdr>
          <w:bottom w:val="single" w:sz="18" w:space="1" w:color="auto"/>
        </w:pBdr>
        <w:tabs>
          <w:tab w:val="right" w:pos="10440"/>
        </w:tabs>
        <w:spacing w:after="240"/>
        <w:rPr>
          <w:sz w:val="18"/>
          <w:szCs w:val="18"/>
        </w:rPr>
      </w:pPr>
      <w:r w:rsidRPr="00AD18B8">
        <w:rPr>
          <w:sz w:val="18"/>
          <w:szCs w:val="18"/>
        </w:rPr>
        <w:lastRenderedPageBreak/>
        <w:t>P</w:t>
      </w:r>
      <w:r>
        <w:rPr>
          <w:sz w:val="18"/>
          <w:szCs w:val="18"/>
        </w:rPr>
        <w:t>harmacy Facts 23</w:t>
      </w:r>
      <w:r w:rsidR="00AA15FC">
        <w:rPr>
          <w:sz w:val="18"/>
          <w:szCs w:val="18"/>
        </w:rPr>
        <w:t>4</w:t>
      </w:r>
      <w:r>
        <w:rPr>
          <w:color w:val="FF0000"/>
          <w:sz w:val="18"/>
          <w:szCs w:val="18"/>
        </w:rPr>
        <w:tab/>
      </w:r>
      <w:r w:rsidRPr="00EC1948">
        <w:rPr>
          <w:color w:val="auto"/>
          <w:sz w:val="18"/>
          <w:szCs w:val="18"/>
        </w:rPr>
        <w:t xml:space="preserve">Page </w:t>
      </w:r>
      <w:r w:rsidR="00AA15FC">
        <w:rPr>
          <w:color w:val="auto"/>
          <w:sz w:val="18"/>
          <w:szCs w:val="18"/>
        </w:rPr>
        <w:t>5</w:t>
      </w:r>
      <w:r w:rsidRPr="00EC1948">
        <w:rPr>
          <w:noProof/>
          <w:color w:val="auto"/>
          <w:sz w:val="18"/>
          <w:szCs w:val="18"/>
        </w:rPr>
        <w:t xml:space="preserve"> of </w:t>
      </w:r>
      <w:r w:rsidR="00AA15FC">
        <w:rPr>
          <w:noProof/>
          <w:color w:val="auto"/>
          <w:sz w:val="18"/>
          <w:szCs w:val="18"/>
        </w:rPr>
        <w:t>5</w:t>
      </w:r>
    </w:p>
    <w:p w14:paraId="7F8CCA99" w14:textId="77777777" w:rsidR="00CE0F2E" w:rsidRPr="00CE0F2E" w:rsidRDefault="00CE0F2E" w:rsidP="00CE0F2E">
      <w:pPr>
        <w:rPr>
          <w:rFonts w:ascii="Arial" w:hAnsi="Arial" w:cs="Arial"/>
        </w:rPr>
      </w:pPr>
      <w:r w:rsidRPr="00CE0F2E">
        <w:rPr>
          <w:rFonts w:ascii="Arial" w:hAnsi="Arial" w:cs="Arial"/>
        </w:rPr>
        <w:t>The MassHealth 90-day Initiative has been updated to reflect recent changes to the MassHealth Drug List.</w:t>
      </w:r>
    </w:p>
    <w:p w14:paraId="5745431F" w14:textId="77777777" w:rsidR="00CE0F2E" w:rsidRPr="00CE0F2E" w:rsidRDefault="00CE0F2E" w:rsidP="00CE0F2E">
      <w:pPr>
        <w:pStyle w:val="ListParagraph"/>
        <w:numPr>
          <w:ilvl w:val="0"/>
          <w:numId w:val="29"/>
        </w:numPr>
        <w:rPr>
          <w:rFonts w:ascii="Arial" w:hAnsi="Arial" w:cs="Arial"/>
        </w:rPr>
      </w:pPr>
      <w:r w:rsidRPr="00CE0F2E">
        <w:rPr>
          <w:rFonts w:ascii="Arial" w:hAnsi="Arial" w:cs="Arial"/>
        </w:rPr>
        <w:t>Effective November 12, 2024, the following agents will no longer be allowed or mandated to be dispensed in up to a 90-day supply, as indicated below.</w:t>
      </w:r>
    </w:p>
    <w:p w14:paraId="172CD9B3" w14:textId="77777777" w:rsidR="00CE0F2E" w:rsidRPr="00CE0F2E" w:rsidRDefault="00CE0F2E" w:rsidP="00CE0F2E">
      <w:pPr>
        <w:pStyle w:val="ListParagraph"/>
        <w:numPr>
          <w:ilvl w:val="0"/>
          <w:numId w:val="30"/>
        </w:numPr>
        <w:rPr>
          <w:rFonts w:ascii="Arial" w:hAnsi="Arial" w:cs="Arial"/>
        </w:rPr>
      </w:pPr>
      <w:r w:rsidRPr="00CE0F2E">
        <w:rPr>
          <w:rFonts w:ascii="Arial" w:hAnsi="Arial" w:cs="Arial"/>
        </w:rPr>
        <w:t xml:space="preserve">baclofen 15 mg tablet – </w:t>
      </w:r>
      <w:r w:rsidRPr="00CE0F2E">
        <w:rPr>
          <w:rFonts w:ascii="Arial" w:hAnsi="Arial" w:cs="Arial"/>
          <w:b/>
          <w:bCs/>
        </w:rPr>
        <w:t>PA</w:t>
      </w:r>
      <w:r w:rsidRPr="00CE0F2E">
        <w:rPr>
          <w:rFonts w:ascii="Arial" w:hAnsi="Arial" w:cs="Arial"/>
        </w:rPr>
        <w:t xml:space="preserve"> </w:t>
      </w:r>
    </w:p>
    <w:p w14:paraId="2EA86EE9" w14:textId="77777777" w:rsidR="00CE0F2E" w:rsidRPr="00CE0F2E" w:rsidRDefault="00CE0F2E" w:rsidP="00CE0F2E">
      <w:pPr>
        <w:pStyle w:val="ListParagraph"/>
        <w:numPr>
          <w:ilvl w:val="0"/>
          <w:numId w:val="30"/>
        </w:numPr>
        <w:rPr>
          <w:rFonts w:ascii="Arial" w:hAnsi="Arial" w:cs="Arial"/>
        </w:rPr>
      </w:pPr>
      <w:proofErr w:type="spellStart"/>
      <w:r w:rsidRPr="00CE0F2E">
        <w:rPr>
          <w:rFonts w:ascii="Arial" w:hAnsi="Arial" w:cs="Arial"/>
        </w:rPr>
        <w:t>Natroba</w:t>
      </w:r>
      <w:proofErr w:type="spellEnd"/>
      <w:r w:rsidRPr="00CE0F2E">
        <w:rPr>
          <w:rFonts w:ascii="Arial" w:hAnsi="Arial" w:cs="Arial"/>
        </w:rPr>
        <w:t xml:space="preserve"> (</w:t>
      </w:r>
      <w:proofErr w:type="spellStart"/>
      <w:r w:rsidRPr="00CE0F2E">
        <w:rPr>
          <w:rFonts w:ascii="Arial" w:hAnsi="Arial" w:cs="Arial"/>
        </w:rPr>
        <w:t>spinosad</w:t>
      </w:r>
      <w:proofErr w:type="spellEnd"/>
      <w:r w:rsidRPr="00CE0F2E">
        <w:rPr>
          <w:rFonts w:ascii="Arial" w:hAnsi="Arial" w:cs="Arial"/>
        </w:rPr>
        <w:t xml:space="preserve">) – </w:t>
      </w:r>
      <w:r w:rsidRPr="00CE0F2E">
        <w:rPr>
          <w:rFonts w:ascii="Arial" w:hAnsi="Arial" w:cs="Arial"/>
          <w:b/>
          <w:bCs/>
        </w:rPr>
        <w:t>PA</w:t>
      </w:r>
      <w:r w:rsidRPr="00CE0F2E">
        <w:rPr>
          <w:rFonts w:ascii="Arial" w:hAnsi="Arial" w:cs="Arial"/>
        </w:rPr>
        <w:t xml:space="preserve"> </w:t>
      </w:r>
    </w:p>
    <w:p w14:paraId="0EB3B40B" w14:textId="77777777" w:rsidR="00CE0F2E" w:rsidRPr="00CE0F2E" w:rsidRDefault="00CE0F2E" w:rsidP="00CE0F2E">
      <w:pPr>
        <w:pStyle w:val="ListParagraph"/>
        <w:numPr>
          <w:ilvl w:val="0"/>
          <w:numId w:val="30"/>
        </w:numPr>
        <w:rPr>
          <w:rFonts w:ascii="Arial" w:hAnsi="Arial" w:cs="Arial"/>
        </w:rPr>
      </w:pPr>
      <w:r w:rsidRPr="00CE0F2E">
        <w:rPr>
          <w:rFonts w:ascii="Arial" w:hAnsi="Arial" w:cs="Arial"/>
        </w:rPr>
        <w:t xml:space="preserve">Ovide (malathion) – </w:t>
      </w:r>
      <w:r w:rsidRPr="00CE0F2E">
        <w:rPr>
          <w:rFonts w:ascii="Arial" w:hAnsi="Arial" w:cs="Arial"/>
          <w:b/>
          <w:bCs/>
        </w:rPr>
        <w:t>PA</w:t>
      </w:r>
      <w:r w:rsidRPr="00CE0F2E">
        <w:rPr>
          <w:rFonts w:ascii="Arial" w:hAnsi="Arial" w:cs="Arial"/>
        </w:rPr>
        <w:t xml:space="preserve"> </w:t>
      </w:r>
    </w:p>
    <w:p w14:paraId="1F0EC3D8" w14:textId="77777777" w:rsidR="00CE0F2E" w:rsidRDefault="00CE0F2E" w:rsidP="00CE0F2E">
      <w:pPr>
        <w:pStyle w:val="ListParagraph"/>
        <w:numPr>
          <w:ilvl w:val="0"/>
          <w:numId w:val="30"/>
        </w:numPr>
        <w:rPr>
          <w:rFonts w:ascii="Arial" w:hAnsi="Arial" w:cs="Arial"/>
        </w:rPr>
      </w:pPr>
      <w:r w:rsidRPr="00CE0F2E">
        <w:rPr>
          <w:rFonts w:ascii="Arial" w:hAnsi="Arial" w:cs="Arial"/>
        </w:rPr>
        <w:t>permethrin; *</w:t>
      </w:r>
    </w:p>
    <w:p w14:paraId="7A502A8C" w14:textId="77777777" w:rsidR="00CE0F2E" w:rsidRPr="00CE0F2E" w:rsidRDefault="00CE0F2E" w:rsidP="00CE0F2E">
      <w:pPr>
        <w:rPr>
          <w:rFonts w:ascii="Arial" w:hAnsi="Arial" w:cs="Arial"/>
        </w:rPr>
      </w:pPr>
    </w:p>
    <w:p w14:paraId="6E390C5D" w14:textId="3C611D99" w:rsidR="008F02DD" w:rsidRPr="00A87239" w:rsidRDefault="008F02DD" w:rsidP="00A87239">
      <w:pPr>
        <w:pStyle w:val="Default"/>
        <w:spacing w:after="120"/>
        <w:rPr>
          <w:rFonts w:cs="Arial"/>
          <w:b/>
          <w:color w:val="auto"/>
        </w:rPr>
      </w:pPr>
      <w:r w:rsidRPr="00A87239">
        <w:rPr>
          <w:rFonts w:cs="Arial"/>
          <w:b/>
          <w:color w:val="auto"/>
        </w:rPr>
        <w:t>Abbreviations, Acronyms, and Symbols</w:t>
      </w:r>
    </w:p>
    <w:p w14:paraId="1D9C313E" w14:textId="77777777" w:rsidR="008F02DD" w:rsidRPr="00CE0F2E" w:rsidRDefault="008F02DD" w:rsidP="006C4236">
      <w:pPr>
        <w:spacing w:before="120"/>
        <w:rPr>
          <w:rFonts w:ascii="Arial" w:hAnsi="Arial" w:cs="Arial"/>
        </w:rPr>
      </w:pPr>
      <w:r w:rsidRPr="00295702">
        <w:rPr>
          <w:rFonts w:ascii="Arial" w:hAnsi="Arial" w:cs="Arial"/>
          <w:b/>
          <w:bCs/>
        </w:rPr>
        <w:t>#</w:t>
      </w:r>
      <w:r w:rsidRPr="00CE0F2E">
        <w:rPr>
          <w:rFonts w:ascii="Arial" w:hAnsi="Arial" w:cs="Arial"/>
        </w:rPr>
        <w:t xml:space="preserve"> This designates a brand-name drug with FDA “A”-rated generic equivalents. PA is required for the brand, unless a particular form of that drug (for example, tablet, capsule, or liquid) does not have an FDA “A”-rated generic equivalent. </w:t>
      </w:r>
    </w:p>
    <w:p w14:paraId="0C19C8E8" w14:textId="77777777" w:rsidR="008F02DD" w:rsidRPr="00CE0F2E" w:rsidRDefault="008F02DD" w:rsidP="006C4236">
      <w:pPr>
        <w:spacing w:before="120"/>
        <w:rPr>
          <w:rFonts w:ascii="Arial" w:hAnsi="Arial" w:cs="Arial"/>
        </w:rPr>
      </w:pPr>
      <w:r w:rsidRPr="00295702">
        <w:rPr>
          <w:rFonts w:ascii="Arial" w:hAnsi="Arial" w:cs="Arial"/>
          <w:vertAlign w:val="superscript"/>
        </w:rPr>
        <w:t>MB</w:t>
      </w:r>
      <w:r w:rsidRPr="00CE0F2E">
        <w:rPr>
          <w:rFonts w:ascii="Arial" w:hAnsi="Arial" w:cs="Arial"/>
        </w:rPr>
        <w:t xml:space="preserve"> This drug is available through the health 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 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543D144B" w14:textId="77777777" w:rsidR="008F02DD" w:rsidRPr="00CE0F2E" w:rsidRDefault="008F02DD" w:rsidP="006C4236">
      <w:pPr>
        <w:spacing w:before="120"/>
        <w:rPr>
          <w:rFonts w:ascii="Arial" w:hAnsi="Arial" w:cs="Arial"/>
        </w:rPr>
      </w:pPr>
      <w:r w:rsidRPr="00CE0F2E">
        <w:rPr>
          <w:rFonts w:ascii="Arial" w:hAnsi="Arial" w:cs="Arial"/>
        </w:rPr>
        <w:t>* The generic OTC and, if any, generic prescription versions of the drug are payable under MassHealth without PA.</w:t>
      </w:r>
    </w:p>
    <w:p w14:paraId="46405AEF" w14:textId="77777777" w:rsidR="008F02DD" w:rsidRPr="00CE0F2E" w:rsidRDefault="008F02DD" w:rsidP="006C4236">
      <w:pPr>
        <w:spacing w:before="120"/>
        <w:rPr>
          <w:rFonts w:ascii="Arial" w:hAnsi="Arial" w:cs="Arial"/>
        </w:rPr>
      </w:pPr>
      <w:r w:rsidRPr="00295702">
        <w:rPr>
          <w:rFonts w:ascii="Arial" w:hAnsi="Arial" w:cs="Arial"/>
          <w:b/>
          <w:bCs/>
        </w:rPr>
        <w:t>PA</w:t>
      </w:r>
      <w:r w:rsidRPr="00CE0F2E">
        <w:rPr>
          <w:rFonts w:ascii="Arial" w:hAnsi="Arial" w:cs="Arial"/>
        </w:rPr>
        <w:t xml:space="preserve"> Prior authorization is required. The prescriber must obtain prior authorization for the drug </w:t>
      </w:r>
      <w:proofErr w:type="gramStart"/>
      <w:r w:rsidRPr="00CE0F2E">
        <w:rPr>
          <w:rFonts w:ascii="Arial" w:hAnsi="Arial" w:cs="Arial"/>
        </w:rPr>
        <w:t>in order for</w:t>
      </w:r>
      <w:proofErr w:type="gramEnd"/>
      <w:r w:rsidRPr="00CE0F2E">
        <w:rPr>
          <w:rFonts w:ascii="Arial" w:hAnsi="Arial" w:cs="Arial"/>
        </w:rPr>
        <w:t xml:space="preserve"> the provider to receive reimbursement. Note: PA applies to both the brand-name and the FDA “A”-rated generic equivalent of listed product. </w:t>
      </w:r>
    </w:p>
    <w:p w14:paraId="2DED6CED" w14:textId="77777777" w:rsidR="008F02DD" w:rsidRPr="00CE0F2E" w:rsidRDefault="008F02DD" w:rsidP="006C4236">
      <w:pPr>
        <w:spacing w:before="120"/>
        <w:rPr>
          <w:rFonts w:ascii="Arial" w:hAnsi="Arial" w:cs="Arial"/>
        </w:rPr>
      </w:pPr>
      <w:r w:rsidRPr="008A437E">
        <w:rPr>
          <w:rFonts w:ascii="Arial" w:hAnsi="Arial" w:cs="Arial"/>
          <w:b/>
          <w:bCs/>
          <w:vertAlign w:val="superscript"/>
        </w:rPr>
        <w:t>A90</w:t>
      </w:r>
      <w:r w:rsidRPr="00CE0F2E">
        <w:rPr>
          <w:rFonts w:ascii="Arial" w:hAnsi="Arial" w:cs="Arial"/>
        </w:rPr>
        <w:t xml:space="preserve"> Allowable 90-day supply. Dispensing in up to a 90-day supply is allowed. May not include all strengths or formulations. Quantity limits and other restrictions may apply. </w:t>
      </w:r>
    </w:p>
    <w:p w14:paraId="08787B5F" w14:textId="77777777" w:rsidR="008F02DD" w:rsidRPr="00CE0F2E" w:rsidRDefault="008F02DD" w:rsidP="006C4236">
      <w:pPr>
        <w:spacing w:before="120"/>
        <w:rPr>
          <w:rFonts w:ascii="Arial" w:hAnsi="Arial" w:cs="Arial"/>
        </w:rPr>
      </w:pPr>
      <w:r w:rsidRPr="008A437E">
        <w:rPr>
          <w:rFonts w:ascii="Arial" w:hAnsi="Arial" w:cs="Arial"/>
          <w:b/>
          <w:bCs/>
          <w:vertAlign w:val="superscript"/>
        </w:rPr>
        <w:t>BP</w:t>
      </w:r>
      <w:r w:rsidRPr="00CE0F2E">
        <w:rPr>
          <w:rFonts w:ascii="Arial" w:hAnsi="Arial" w:cs="Arial"/>
        </w:rPr>
        <w:t xml:space="preserve"> Brand Preferred over generic equivalents. In general, MassHealth requires a trial of the preferred drug or clinical rationale for prescribing the non-preferred drug generic equivalent.</w:t>
      </w:r>
    </w:p>
    <w:p w14:paraId="112192A1" w14:textId="77777777" w:rsidR="008F02DD" w:rsidRPr="00CE0F2E" w:rsidRDefault="008F02DD" w:rsidP="006C4236">
      <w:pPr>
        <w:spacing w:before="120"/>
        <w:rPr>
          <w:rFonts w:ascii="Arial" w:hAnsi="Arial" w:cs="Arial"/>
        </w:rPr>
      </w:pPr>
      <w:r w:rsidRPr="009C0022">
        <w:rPr>
          <w:rFonts w:ascii="Arial" w:hAnsi="Arial" w:cs="Arial"/>
          <w:b/>
          <w:bCs/>
          <w:vertAlign w:val="superscript"/>
        </w:rPr>
        <w:t>CO</w:t>
      </w:r>
      <w:r w:rsidRPr="00CE0F2E">
        <w:rPr>
          <w:rFonts w:ascii="Arial" w:hAnsi="Arial" w:cs="Arial"/>
        </w:rPr>
        <w:t xml:space="preserve"> Carve-Out. This agent is listed on the Acute Hospital Carve-Out Drugs List and is subject to additional monitoring and billing requirements.</w:t>
      </w:r>
    </w:p>
    <w:p w14:paraId="44ED5AE4" w14:textId="5002D6EC" w:rsidR="00B65FB4" w:rsidRPr="00CE0F2E" w:rsidRDefault="008F02DD" w:rsidP="006C4236">
      <w:pPr>
        <w:spacing w:before="120"/>
        <w:rPr>
          <w:rFonts w:ascii="Arial" w:hAnsi="Arial" w:cs="Arial"/>
        </w:rPr>
      </w:pPr>
      <w:r w:rsidRPr="006C4236">
        <w:rPr>
          <w:rFonts w:ascii="Arial" w:hAnsi="Arial" w:cs="Arial"/>
          <w:b/>
          <w:bCs/>
          <w:vertAlign w:val="superscript"/>
        </w:rPr>
        <w:t>M90</w:t>
      </w:r>
      <w:r w:rsidRPr="00CE0F2E">
        <w:rPr>
          <w:rFonts w:ascii="Arial" w:hAnsi="Arial" w:cs="Arial"/>
        </w:rPr>
        <w:t xml:space="preserve"> Mandatory 90-day supply. After dispensing up to a 30-day supply initial fill, dispensing in a 90-day supply is required. May not include all strengths or formulations. Quantity limits and other restrictions may also apply.</w:t>
      </w:r>
    </w:p>
    <w:sectPr w:rsidR="00B65FB4" w:rsidRPr="00CE0F2E" w:rsidSect="00AF611B">
      <w:footerReference w:type="default" r:id="rId13"/>
      <w:pgSz w:w="12240" w:h="15840" w:code="1"/>
      <w:pgMar w:top="360" w:right="907" w:bottom="108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91BE9" w14:textId="77777777" w:rsidR="007B1EEF" w:rsidRDefault="007B1EEF" w:rsidP="00492602">
      <w:r>
        <w:separator/>
      </w:r>
    </w:p>
  </w:endnote>
  <w:endnote w:type="continuationSeparator" w:id="0">
    <w:p w14:paraId="67D44B04" w14:textId="77777777" w:rsidR="007B1EEF" w:rsidRDefault="007B1EEF"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3FF02" w14:textId="5F5A65B2" w:rsidR="00637A67" w:rsidRDefault="006D3B5F" w:rsidP="00AD4486">
    <w:pPr>
      <w:pBdr>
        <w:top w:val="single" w:sz="18" w:space="1" w:color="auto"/>
      </w:pBdr>
      <w:tabs>
        <w:tab w:val="left" w:pos="-90"/>
        <w:tab w:val="left" w:pos="530"/>
        <w:tab w:val="center" w:pos="5400"/>
      </w:tabs>
      <w:autoSpaceDE w:val="0"/>
      <w:autoSpaceDN w:val="0"/>
      <w:adjustRightInd w:val="0"/>
      <w:jc w:val="center"/>
      <w:textAlignment w:val="baseline"/>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1C125" w14:textId="77777777" w:rsidR="00637A67" w:rsidRDefault="00637A67">
    <w:pPr>
      <w:pStyle w:val="Footer"/>
    </w:pPr>
    <w:r>
      <w:t>[Type text]</w:t>
    </w:r>
  </w:p>
  <w:p w14:paraId="1D4B9191"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DE582" w14:textId="2E8A539B" w:rsidR="00AD4486" w:rsidRPr="00A87239" w:rsidRDefault="00AD4486" w:rsidP="00A87239">
    <w:pPr>
      <w:pStyle w:val="Footer"/>
    </w:pPr>
    <w:r w:rsidRPr="00A87239">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63ED5" w14:textId="77777777" w:rsidR="00A87239" w:rsidRDefault="00A87239" w:rsidP="00A21D33">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7EB552B5" w14:textId="77777777" w:rsidR="00A87239" w:rsidRDefault="00511FC1" w:rsidP="00F33DC1">
    <w:pPr>
      <w:tabs>
        <w:tab w:val="left" w:pos="-90"/>
      </w:tabs>
      <w:autoSpaceDE w:val="0"/>
      <w:autoSpaceDN w:val="0"/>
      <w:adjustRightInd w:val="0"/>
      <w:jc w:val="center"/>
      <w:textAlignment w:val="baseline"/>
    </w:pPr>
    <w:hyperlink r:id="rId1" w:history="1">
      <w:r w:rsidR="00A87239" w:rsidRPr="00386AF8">
        <w:rPr>
          <w:rStyle w:val="Hyperlink"/>
          <w:rFonts w:ascii="Arial" w:hAnsi="Arial" w:cs="Arial"/>
          <w:iCs/>
          <w:sz w:val="18"/>
          <w:szCs w:val="18"/>
        </w:rPr>
        <w:t>PharmFactsMA@Conduent.com</w:t>
      </w:r>
    </w:hyperlink>
    <w:r w:rsidR="00A87239">
      <w:rPr>
        <w:rFonts w:ascii="Arial" w:hAnsi="Arial"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5708B" w14:textId="77777777" w:rsidR="007B1EEF" w:rsidRDefault="007B1EEF" w:rsidP="00492602">
      <w:r>
        <w:separator/>
      </w:r>
    </w:p>
  </w:footnote>
  <w:footnote w:type="continuationSeparator" w:id="0">
    <w:p w14:paraId="0610A0EC" w14:textId="77777777" w:rsidR="007B1EEF" w:rsidRDefault="007B1EEF" w:rsidP="00492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758"/>
    <w:multiLevelType w:val="hybridMultilevel"/>
    <w:tmpl w:val="BE52F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14B5A"/>
    <w:multiLevelType w:val="hybridMultilevel"/>
    <w:tmpl w:val="EB301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886D43"/>
    <w:multiLevelType w:val="hybridMultilevel"/>
    <w:tmpl w:val="C3589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F302DE"/>
    <w:multiLevelType w:val="hybridMultilevel"/>
    <w:tmpl w:val="3DBCD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03306E"/>
    <w:multiLevelType w:val="hybridMultilevel"/>
    <w:tmpl w:val="D6C4A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A604B"/>
    <w:multiLevelType w:val="hybridMultilevel"/>
    <w:tmpl w:val="E8A6D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A64D26"/>
    <w:multiLevelType w:val="hybridMultilevel"/>
    <w:tmpl w:val="D6D8C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A5ECD"/>
    <w:multiLevelType w:val="hybridMultilevel"/>
    <w:tmpl w:val="6C741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62C9D"/>
    <w:multiLevelType w:val="hybridMultilevel"/>
    <w:tmpl w:val="8A787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64F8C"/>
    <w:multiLevelType w:val="hybridMultilevel"/>
    <w:tmpl w:val="1D70B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AF7CC4"/>
    <w:multiLevelType w:val="hybridMultilevel"/>
    <w:tmpl w:val="7B76B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4877A4"/>
    <w:multiLevelType w:val="hybridMultilevel"/>
    <w:tmpl w:val="B2CEFEE6"/>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5928D5"/>
    <w:multiLevelType w:val="hybridMultilevel"/>
    <w:tmpl w:val="37F4E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0965F4"/>
    <w:multiLevelType w:val="hybridMultilevel"/>
    <w:tmpl w:val="325C3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F6FAB"/>
    <w:multiLevelType w:val="hybridMultilevel"/>
    <w:tmpl w:val="D40440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2A0988"/>
    <w:multiLevelType w:val="hybridMultilevel"/>
    <w:tmpl w:val="930C9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2001E9"/>
    <w:multiLevelType w:val="hybridMultilevel"/>
    <w:tmpl w:val="DE5AA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BE0937"/>
    <w:multiLevelType w:val="hybridMultilevel"/>
    <w:tmpl w:val="EB723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25F0A"/>
    <w:multiLevelType w:val="hybridMultilevel"/>
    <w:tmpl w:val="8BE8B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362900">
    <w:abstractNumId w:val="16"/>
  </w:num>
  <w:num w:numId="2" w16cid:durableId="177275884">
    <w:abstractNumId w:val="20"/>
  </w:num>
  <w:num w:numId="3" w16cid:durableId="1256865367">
    <w:abstractNumId w:val="24"/>
  </w:num>
  <w:num w:numId="4" w16cid:durableId="1261255442">
    <w:abstractNumId w:val="10"/>
  </w:num>
  <w:num w:numId="5" w16cid:durableId="2115860523">
    <w:abstractNumId w:val="15"/>
  </w:num>
  <w:num w:numId="6" w16cid:durableId="519122462">
    <w:abstractNumId w:val="17"/>
  </w:num>
  <w:num w:numId="7" w16cid:durableId="30572276">
    <w:abstractNumId w:val="25"/>
  </w:num>
  <w:num w:numId="8" w16cid:durableId="360130868">
    <w:abstractNumId w:val="3"/>
  </w:num>
  <w:num w:numId="9" w16cid:durableId="1460032301">
    <w:abstractNumId w:val="0"/>
  </w:num>
  <w:num w:numId="10" w16cid:durableId="1754087416">
    <w:abstractNumId w:val="14"/>
  </w:num>
  <w:num w:numId="11" w16cid:durableId="573467208">
    <w:abstractNumId w:val="22"/>
  </w:num>
  <w:num w:numId="12" w16cid:durableId="552739578">
    <w:abstractNumId w:val="1"/>
  </w:num>
  <w:num w:numId="13" w16cid:durableId="265770662">
    <w:abstractNumId w:val="26"/>
  </w:num>
  <w:num w:numId="14" w16cid:durableId="568728343">
    <w:abstractNumId w:val="23"/>
  </w:num>
  <w:num w:numId="15" w16cid:durableId="104691940">
    <w:abstractNumId w:val="29"/>
  </w:num>
  <w:num w:numId="16" w16cid:durableId="64768073">
    <w:abstractNumId w:val="6"/>
  </w:num>
  <w:num w:numId="17" w16cid:durableId="1755004509">
    <w:abstractNumId w:val="7"/>
  </w:num>
  <w:num w:numId="18" w16cid:durableId="68961522">
    <w:abstractNumId w:val="13"/>
  </w:num>
  <w:num w:numId="19" w16cid:durableId="1054163911">
    <w:abstractNumId w:val="21"/>
  </w:num>
  <w:num w:numId="20" w16cid:durableId="2017610894">
    <w:abstractNumId w:val="9"/>
  </w:num>
  <w:num w:numId="21" w16cid:durableId="1088773164">
    <w:abstractNumId w:val="18"/>
  </w:num>
  <w:num w:numId="22" w16cid:durableId="1914196000">
    <w:abstractNumId w:val="5"/>
  </w:num>
  <w:num w:numId="23" w16cid:durableId="2075077009">
    <w:abstractNumId w:val="19"/>
  </w:num>
  <w:num w:numId="24" w16cid:durableId="1311784173">
    <w:abstractNumId w:val="2"/>
  </w:num>
  <w:num w:numId="25" w16cid:durableId="716899405">
    <w:abstractNumId w:val="12"/>
  </w:num>
  <w:num w:numId="26" w16cid:durableId="434833046">
    <w:abstractNumId w:val="8"/>
  </w:num>
  <w:num w:numId="27" w16cid:durableId="365523487">
    <w:abstractNumId w:val="27"/>
  </w:num>
  <w:num w:numId="28" w16cid:durableId="580796192">
    <w:abstractNumId w:val="28"/>
  </w:num>
  <w:num w:numId="29" w16cid:durableId="1207916030">
    <w:abstractNumId w:val="11"/>
  </w:num>
  <w:num w:numId="30" w16cid:durableId="1886332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2F24"/>
    <w:rsid w:val="000342A2"/>
    <w:rsid w:val="0005108C"/>
    <w:rsid w:val="00054839"/>
    <w:rsid w:val="00065861"/>
    <w:rsid w:val="00074014"/>
    <w:rsid w:val="00081E8E"/>
    <w:rsid w:val="00096469"/>
    <w:rsid w:val="000B340B"/>
    <w:rsid w:val="000D1502"/>
    <w:rsid w:val="000D221A"/>
    <w:rsid w:val="000D5926"/>
    <w:rsid w:val="000F0631"/>
    <w:rsid w:val="000F3494"/>
    <w:rsid w:val="001301AC"/>
    <w:rsid w:val="00135CA9"/>
    <w:rsid w:val="00137D3D"/>
    <w:rsid w:val="00140D08"/>
    <w:rsid w:val="00147437"/>
    <w:rsid w:val="00155AEE"/>
    <w:rsid w:val="00156804"/>
    <w:rsid w:val="00157A49"/>
    <w:rsid w:val="00170017"/>
    <w:rsid w:val="001721D8"/>
    <w:rsid w:val="00183133"/>
    <w:rsid w:val="0018357E"/>
    <w:rsid w:val="001864A9"/>
    <w:rsid w:val="001A247E"/>
    <w:rsid w:val="001C1481"/>
    <w:rsid w:val="001C17CD"/>
    <w:rsid w:val="001E0E7A"/>
    <w:rsid w:val="001F701D"/>
    <w:rsid w:val="00211379"/>
    <w:rsid w:val="002509E9"/>
    <w:rsid w:val="0027289D"/>
    <w:rsid w:val="00276F3A"/>
    <w:rsid w:val="00286CBE"/>
    <w:rsid w:val="00286E51"/>
    <w:rsid w:val="00295702"/>
    <w:rsid w:val="002C3773"/>
    <w:rsid w:val="002C54C4"/>
    <w:rsid w:val="002C690F"/>
    <w:rsid w:val="002C7C67"/>
    <w:rsid w:val="002D390F"/>
    <w:rsid w:val="002D738C"/>
    <w:rsid w:val="003152DA"/>
    <w:rsid w:val="0033053B"/>
    <w:rsid w:val="00346D3C"/>
    <w:rsid w:val="0035656D"/>
    <w:rsid w:val="00360067"/>
    <w:rsid w:val="0036343A"/>
    <w:rsid w:val="0037373E"/>
    <w:rsid w:val="00381A1E"/>
    <w:rsid w:val="00382054"/>
    <w:rsid w:val="003B3B03"/>
    <w:rsid w:val="003B6839"/>
    <w:rsid w:val="003E18CC"/>
    <w:rsid w:val="00400BE4"/>
    <w:rsid w:val="00410B13"/>
    <w:rsid w:val="0041603B"/>
    <w:rsid w:val="00417EB4"/>
    <w:rsid w:val="0042538A"/>
    <w:rsid w:val="00426F18"/>
    <w:rsid w:val="0043707B"/>
    <w:rsid w:val="004417DC"/>
    <w:rsid w:val="00447A5F"/>
    <w:rsid w:val="004664D3"/>
    <w:rsid w:val="00475907"/>
    <w:rsid w:val="004924F1"/>
    <w:rsid w:val="00492602"/>
    <w:rsid w:val="004A3BAA"/>
    <w:rsid w:val="004A7395"/>
    <w:rsid w:val="004C1322"/>
    <w:rsid w:val="004C2037"/>
    <w:rsid w:val="004C4924"/>
    <w:rsid w:val="004E3D20"/>
    <w:rsid w:val="004F5612"/>
    <w:rsid w:val="00511666"/>
    <w:rsid w:val="00511FC1"/>
    <w:rsid w:val="00516394"/>
    <w:rsid w:val="005265DC"/>
    <w:rsid w:val="005314A6"/>
    <w:rsid w:val="005502E1"/>
    <w:rsid w:val="00553850"/>
    <w:rsid w:val="0056481B"/>
    <w:rsid w:val="00571898"/>
    <w:rsid w:val="00574F07"/>
    <w:rsid w:val="00575224"/>
    <w:rsid w:val="005816F4"/>
    <w:rsid w:val="00581E50"/>
    <w:rsid w:val="005842A0"/>
    <w:rsid w:val="005958DD"/>
    <w:rsid w:val="005A4A25"/>
    <w:rsid w:val="005A57BA"/>
    <w:rsid w:val="005B6F67"/>
    <w:rsid w:val="00612916"/>
    <w:rsid w:val="00612D59"/>
    <w:rsid w:val="00623469"/>
    <w:rsid w:val="006305E2"/>
    <w:rsid w:val="00637A67"/>
    <w:rsid w:val="006421B9"/>
    <w:rsid w:val="00650095"/>
    <w:rsid w:val="00651CA7"/>
    <w:rsid w:val="00652261"/>
    <w:rsid w:val="00666BCC"/>
    <w:rsid w:val="00674418"/>
    <w:rsid w:val="00674428"/>
    <w:rsid w:val="00686C26"/>
    <w:rsid w:val="00690023"/>
    <w:rsid w:val="00692301"/>
    <w:rsid w:val="006931EA"/>
    <w:rsid w:val="0069772F"/>
    <w:rsid w:val="006C4236"/>
    <w:rsid w:val="006D3B5F"/>
    <w:rsid w:val="006E0C20"/>
    <w:rsid w:val="006E22A3"/>
    <w:rsid w:val="006F35F9"/>
    <w:rsid w:val="0071247F"/>
    <w:rsid w:val="00720E15"/>
    <w:rsid w:val="007319D7"/>
    <w:rsid w:val="00731FAF"/>
    <w:rsid w:val="007326EC"/>
    <w:rsid w:val="007426BF"/>
    <w:rsid w:val="00760FDF"/>
    <w:rsid w:val="007642D4"/>
    <w:rsid w:val="00770E52"/>
    <w:rsid w:val="007757E7"/>
    <w:rsid w:val="00780E8E"/>
    <w:rsid w:val="00797646"/>
    <w:rsid w:val="007A41F5"/>
    <w:rsid w:val="007B1EEF"/>
    <w:rsid w:val="007B7425"/>
    <w:rsid w:val="007C290F"/>
    <w:rsid w:val="007C6D14"/>
    <w:rsid w:val="007D3441"/>
    <w:rsid w:val="007F5417"/>
    <w:rsid w:val="00812480"/>
    <w:rsid w:val="008174EA"/>
    <w:rsid w:val="00821937"/>
    <w:rsid w:val="00825747"/>
    <w:rsid w:val="0082662F"/>
    <w:rsid w:val="008403CA"/>
    <w:rsid w:val="0085395A"/>
    <w:rsid w:val="00853F8E"/>
    <w:rsid w:val="00861844"/>
    <w:rsid w:val="00872E7F"/>
    <w:rsid w:val="00880FA9"/>
    <w:rsid w:val="00884DF4"/>
    <w:rsid w:val="008930F1"/>
    <w:rsid w:val="00893F45"/>
    <w:rsid w:val="008978FF"/>
    <w:rsid w:val="008A437E"/>
    <w:rsid w:val="008B348F"/>
    <w:rsid w:val="008C5414"/>
    <w:rsid w:val="008E62B4"/>
    <w:rsid w:val="008F0130"/>
    <w:rsid w:val="008F02DD"/>
    <w:rsid w:val="008F2307"/>
    <w:rsid w:val="008F2E4C"/>
    <w:rsid w:val="008F7EB0"/>
    <w:rsid w:val="00906EEC"/>
    <w:rsid w:val="009166DF"/>
    <w:rsid w:val="009204C7"/>
    <w:rsid w:val="00922030"/>
    <w:rsid w:val="00941258"/>
    <w:rsid w:val="00942245"/>
    <w:rsid w:val="00946537"/>
    <w:rsid w:val="00956812"/>
    <w:rsid w:val="009725E5"/>
    <w:rsid w:val="009759A0"/>
    <w:rsid w:val="00981567"/>
    <w:rsid w:val="009A19A0"/>
    <w:rsid w:val="009C0022"/>
    <w:rsid w:val="009C3981"/>
    <w:rsid w:val="009D4391"/>
    <w:rsid w:val="009D6AAA"/>
    <w:rsid w:val="009F0440"/>
    <w:rsid w:val="00A005EE"/>
    <w:rsid w:val="00A01DE3"/>
    <w:rsid w:val="00A11371"/>
    <w:rsid w:val="00A120E1"/>
    <w:rsid w:val="00A21D33"/>
    <w:rsid w:val="00A262A2"/>
    <w:rsid w:val="00A330FD"/>
    <w:rsid w:val="00A343A9"/>
    <w:rsid w:val="00A405B4"/>
    <w:rsid w:val="00A5239C"/>
    <w:rsid w:val="00A62A02"/>
    <w:rsid w:val="00A650DC"/>
    <w:rsid w:val="00A82F98"/>
    <w:rsid w:val="00A84255"/>
    <w:rsid w:val="00A87239"/>
    <w:rsid w:val="00A87E7D"/>
    <w:rsid w:val="00A91725"/>
    <w:rsid w:val="00AA15FC"/>
    <w:rsid w:val="00AC1AC7"/>
    <w:rsid w:val="00AC6B63"/>
    <w:rsid w:val="00AD18B8"/>
    <w:rsid w:val="00AD2116"/>
    <w:rsid w:val="00AD3961"/>
    <w:rsid w:val="00AD4486"/>
    <w:rsid w:val="00AD4750"/>
    <w:rsid w:val="00AD7369"/>
    <w:rsid w:val="00AE21FC"/>
    <w:rsid w:val="00AF19BA"/>
    <w:rsid w:val="00AF3D5A"/>
    <w:rsid w:val="00AF611B"/>
    <w:rsid w:val="00B01BAA"/>
    <w:rsid w:val="00B07BD7"/>
    <w:rsid w:val="00B26778"/>
    <w:rsid w:val="00B3099B"/>
    <w:rsid w:val="00B54AB5"/>
    <w:rsid w:val="00B65FB4"/>
    <w:rsid w:val="00B92C96"/>
    <w:rsid w:val="00BA68F0"/>
    <w:rsid w:val="00BD08CA"/>
    <w:rsid w:val="00BD14E9"/>
    <w:rsid w:val="00BD1619"/>
    <w:rsid w:val="00BE4DF0"/>
    <w:rsid w:val="00C0134D"/>
    <w:rsid w:val="00C0512A"/>
    <w:rsid w:val="00C13F67"/>
    <w:rsid w:val="00C31421"/>
    <w:rsid w:val="00C33753"/>
    <w:rsid w:val="00C35B94"/>
    <w:rsid w:val="00C4460F"/>
    <w:rsid w:val="00C671DE"/>
    <w:rsid w:val="00C82FA4"/>
    <w:rsid w:val="00CA0669"/>
    <w:rsid w:val="00CA1B1B"/>
    <w:rsid w:val="00CB0030"/>
    <w:rsid w:val="00CB7178"/>
    <w:rsid w:val="00CC3C2D"/>
    <w:rsid w:val="00CC57AC"/>
    <w:rsid w:val="00CC776C"/>
    <w:rsid w:val="00CE0F2E"/>
    <w:rsid w:val="00CE1E17"/>
    <w:rsid w:val="00CE6D07"/>
    <w:rsid w:val="00CF0389"/>
    <w:rsid w:val="00CF6ED3"/>
    <w:rsid w:val="00D1145D"/>
    <w:rsid w:val="00D2695E"/>
    <w:rsid w:val="00D4030C"/>
    <w:rsid w:val="00D60CC0"/>
    <w:rsid w:val="00D63E59"/>
    <w:rsid w:val="00D66A89"/>
    <w:rsid w:val="00D81121"/>
    <w:rsid w:val="00D93833"/>
    <w:rsid w:val="00DB2624"/>
    <w:rsid w:val="00DD5970"/>
    <w:rsid w:val="00DD6EC3"/>
    <w:rsid w:val="00E24139"/>
    <w:rsid w:val="00E35484"/>
    <w:rsid w:val="00E53858"/>
    <w:rsid w:val="00E60ABB"/>
    <w:rsid w:val="00E67713"/>
    <w:rsid w:val="00E73955"/>
    <w:rsid w:val="00E92E47"/>
    <w:rsid w:val="00E9576D"/>
    <w:rsid w:val="00EA38DA"/>
    <w:rsid w:val="00EC08AC"/>
    <w:rsid w:val="00EC2856"/>
    <w:rsid w:val="00EC6FA6"/>
    <w:rsid w:val="00ED6FB0"/>
    <w:rsid w:val="00EF3754"/>
    <w:rsid w:val="00EF5A5B"/>
    <w:rsid w:val="00EF7C8A"/>
    <w:rsid w:val="00F03AE8"/>
    <w:rsid w:val="00F053E2"/>
    <w:rsid w:val="00F05873"/>
    <w:rsid w:val="00F25E7F"/>
    <w:rsid w:val="00F33DC1"/>
    <w:rsid w:val="00F42F98"/>
    <w:rsid w:val="00F76D69"/>
    <w:rsid w:val="00F85F2A"/>
    <w:rsid w:val="00F906CF"/>
    <w:rsid w:val="00F9387A"/>
    <w:rsid w:val="00FA5147"/>
    <w:rsid w:val="00FB0C11"/>
    <w:rsid w:val="00FB3847"/>
    <w:rsid w:val="00FB39E3"/>
    <w:rsid w:val="00FC2D5C"/>
    <w:rsid w:val="00FD3B5A"/>
    <w:rsid w:val="00FD4894"/>
    <w:rsid w:val="00FE6B9E"/>
    <w:rsid w:val="00FE7597"/>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15:docId w15:val="{21A708A8-E248-4F1F-BCD8-A9D0B482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C6FA6"/>
    <w:pPr>
      <w:keepNext/>
      <w:jc w:val="center"/>
      <w:outlineLvl w:val="0"/>
    </w:pPr>
    <w:rPr>
      <w:rFonts w:ascii="Tahoma" w:hAnsi="Tahoma" w:cs="Tahom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styleId="FollowedHyperlink">
    <w:name w:val="FollowedHyperlink"/>
    <w:basedOn w:val="DefaultParagraphFont"/>
    <w:semiHidden/>
    <w:unhideWhenUsed/>
    <w:rsid w:val="00EC6FA6"/>
    <w:rPr>
      <w:color w:val="800080" w:themeColor="followedHyperlink"/>
      <w:u w:val="single"/>
    </w:rPr>
  </w:style>
  <w:style w:type="character" w:customStyle="1" w:styleId="Heading1Char">
    <w:name w:val="Heading 1 Char"/>
    <w:basedOn w:val="DefaultParagraphFont"/>
    <w:link w:val="Heading1"/>
    <w:rsid w:val="00EC6FA6"/>
    <w:rPr>
      <w:rFonts w:ascii="Tahoma" w:hAnsi="Tahoma" w:cs="Tahoma"/>
      <w:b/>
      <w:bCs/>
      <w:sz w:val="32"/>
      <w:szCs w:val="24"/>
    </w:rPr>
  </w:style>
  <w:style w:type="paragraph" w:styleId="ListParagraph">
    <w:name w:val="List Paragraph"/>
    <w:basedOn w:val="Normal"/>
    <w:uiPriority w:val="34"/>
    <w:qFormat/>
    <w:rsid w:val="00EC6FA6"/>
    <w:pPr>
      <w:ind w:left="720"/>
    </w:pPr>
  </w:style>
  <w:style w:type="paragraph" w:styleId="Revision">
    <w:name w:val="Revision"/>
    <w:hidden/>
    <w:uiPriority w:val="99"/>
    <w:semiHidden/>
    <w:rsid w:val="00F05873"/>
    <w:rPr>
      <w:sz w:val="24"/>
      <w:szCs w:val="24"/>
    </w:rPr>
  </w:style>
  <w:style w:type="character" w:styleId="CommentReference">
    <w:name w:val="annotation reference"/>
    <w:basedOn w:val="DefaultParagraphFont"/>
    <w:semiHidden/>
    <w:unhideWhenUsed/>
    <w:rsid w:val="00F05873"/>
    <w:rPr>
      <w:sz w:val="16"/>
      <w:szCs w:val="16"/>
    </w:rPr>
  </w:style>
  <w:style w:type="paragraph" w:styleId="CommentText">
    <w:name w:val="annotation text"/>
    <w:basedOn w:val="Normal"/>
    <w:link w:val="CommentTextChar"/>
    <w:unhideWhenUsed/>
    <w:rsid w:val="00F05873"/>
    <w:rPr>
      <w:sz w:val="20"/>
      <w:szCs w:val="20"/>
    </w:rPr>
  </w:style>
  <w:style w:type="character" w:customStyle="1" w:styleId="CommentTextChar">
    <w:name w:val="Comment Text Char"/>
    <w:basedOn w:val="DefaultParagraphFont"/>
    <w:link w:val="CommentText"/>
    <w:rsid w:val="00F05873"/>
  </w:style>
  <w:style w:type="paragraph" w:styleId="CommentSubject">
    <w:name w:val="annotation subject"/>
    <w:basedOn w:val="CommentText"/>
    <w:next w:val="CommentText"/>
    <w:link w:val="CommentSubjectChar"/>
    <w:semiHidden/>
    <w:unhideWhenUsed/>
    <w:rsid w:val="00F05873"/>
    <w:rPr>
      <w:b/>
      <w:bCs/>
    </w:rPr>
  </w:style>
  <w:style w:type="character" w:customStyle="1" w:styleId="CommentSubjectChar">
    <w:name w:val="Comment Subject Char"/>
    <w:basedOn w:val="CommentTextChar"/>
    <w:link w:val="CommentSubject"/>
    <w:semiHidden/>
    <w:rsid w:val="00F05873"/>
    <w:rPr>
      <w:b/>
      <w:bCs/>
    </w:rPr>
  </w:style>
  <w:style w:type="character" w:styleId="UnresolvedMention">
    <w:name w:val="Unresolved Mention"/>
    <w:basedOn w:val="DefaultParagraphFont"/>
    <w:uiPriority w:val="99"/>
    <w:semiHidden/>
    <w:unhideWhenUsed/>
    <w:rsid w:val="0035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doc/pops-billing-guide-10/download" TargetMode="Externa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61</TotalTime>
  <Pages>5</Pages>
  <Words>1586</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Joseph (EHS)</dc:creator>
  <cp:lastModifiedBy>Eisan, Jenna (EHS)</cp:lastModifiedBy>
  <cp:revision>51</cp:revision>
  <cp:lastPrinted>2024-10-01T13:33:00Z</cp:lastPrinted>
  <dcterms:created xsi:type="dcterms:W3CDTF">2024-11-04T13:54:00Z</dcterms:created>
  <dcterms:modified xsi:type="dcterms:W3CDTF">2024-11-04T16:43:00Z</dcterms:modified>
</cp:coreProperties>
</file>