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DBD5" w14:textId="1A2C70A9" w:rsidR="008F2307" w:rsidRPr="00F80EEE" w:rsidRDefault="00965293" w:rsidP="008F2307">
      <w:pPr>
        <w:pStyle w:val="Noparagraphstyle"/>
        <w:rPr>
          <w:rFonts w:ascii="Arial Narrow" w:hAnsi="Arial Narrow"/>
          <w:b/>
          <w:color w:val="auto"/>
          <w:sz w:val="20"/>
          <w:szCs w:val="20"/>
        </w:rPr>
      </w:pPr>
      <w:r>
        <w:rPr>
          <w:rFonts w:ascii="Arial" w:hAnsi="Arial" w:cs="Arial"/>
          <w:noProof/>
          <w:sz w:val="21"/>
          <w:szCs w:val="21"/>
        </w:rPr>
        <w:drawing>
          <wp:anchor distT="0" distB="0" distL="114300" distR="114300" simplePos="0" relativeHeight="251660288" behindDoc="1" locked="0" layoutInCell="1" allowOverlap="1" wp14:anchorId="5A8B2976" wp14:editId="773861F5">
            <wp:simplePos x="0" y="0"/>
            <wp:positionH relativeFrom="margin">
              <wp:align>right</wp:align>
            </wp:positionH>
            <wp:positionV relativeFrom="paragraph">
              <wp:posOffset>-64770</wp:posOffset>
            </wp:positionV>
            <wp:extent cx="6715125" cy="1901825"/>
            <wp:effectExtent l="0" t="0" r="9525" b="3175"/>
            <wp:wrapNone/>
            <wp:docPr id="406109794" name="Picture 1" descr="Pharmacy Facts&#10;Current information for pharmacists about the MassHealth Pharmacy Program&#10;www.mass.gov/lists/masshealth-pharmacy-facts-2016-cur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09794" name="Picture 1" descr="Pharmacy Facts&#10;Current information for pharmacists about the MassHealth Pharmacy Program&#10;www.mass.gov/lists/masshealth-pharmacy-facts-2016-curr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15125" cy="1901825"/>
                    </a:xfrm>
                    <a:prstGeom prst="rect">
                      <a:avLst/>
                    </a:prstGeom>
                  </pic:spPr>
                </pic:pic>
              </a:graphicData>
            </a:graphic>
            <wp14:sizeRelH relativeFrom="margin">
              <wp14:pctWidth>0</wp14:pctWidth>
            </wp14:sizeRelH>
            <wp14:sizeRelV relativeFrom="margin">
              <wp14:pctHeight>0</wp14:pctHeight>
            </wp14:sizeRelV>
          </wp:anchor>
        </w:drawing>
      </w:r>
      <w:r w:rsidR="008F2307" w:rsidRPr="00F80EEE">
        <w:rPr>
          <w:rFonts w:ascii="Arial Narrow" w:hAnsi="Arial Narrow"/>
          <w:b/>
          <w:color w:val="auto"/>
          <w:sz w:val="20"/>
          <w:szCs w:val="20"/>
        </w:rPr>
        <w:t>Number</w:t>
      </w:r>
      <w:r w:rsidR="00F80EEE" w:rsidRPr="00F80EEE">
        <w:rPr>
          <w:rFonts w:ascii="Arial Narrow" w:hAnsi="Arial Narrow"/>
          <w:b/>
          <w:color w:val="auto"/>
          <w:sz w:val="20"/>
          <w:szCs w:val="20"/>
        </w:rPr>
        <w:t xml:space="preserve"> 23</w:t>
      </w:r>
      <w:r w:rsidR="00352CE6">
        <w:rPr>
          <w:rFonts w:ascii="Arial Narrow" w:hAnsi="Arial Narrow"/>
          <w:b/>
          <w:color w:val="auto"/>
          <w:sz w:val="20"/>
          <w:szCs w:val="20"/>
        </w:rPr>
        <w:t>7</w:t>
      </w:r>
      <w:r w:rsidR="008F2307" w:rsidRPr="00F80EEE">
        <w:rPr>
          <w:rFonts w:ascii="Arial Narrow" w:hAnsi="Arial Narrow"/>
          <w:b/>
          <w:color w:val="auto"/>
          <w:sz w:val="20"/>
          <w:szCs w:val="20"/>
        </w:rPr>
        <w:t xml:space="preserve">, </w:t>
      </w:r>
      <w:r w:rsidR="00B57DFD">
        <w:rPr>
          <w:rFonts w:ascii="Arial Narrow" w:hAnsi="Arial Narrow"/>
          <w:b/>
          <w:color w:val="auto"/>
          <w:sz w:val="20"/>
          <w:szCs w:val="20"/>
        </w:rPr>
        <w:t>December</w:t>
      </w:r>
      <w:r w:rsidR="008F2307" w:rsidRPr="00F80EEE">
        <w:rPr>
          <w:rFonts w:ascii="Arial Narrow" w:hAnsi="Arial Narrow"/>
          <w:b/>
          <w:color w:val="auto"/>
          <w:sz w:val="20"/>
          <w:szCs w:val="20"/>
        </w:rPr>
        <w:t xml:space="preserve"> </w:t>
      </w:r>
      <w:r w:rsidR="00352CE6">
        <w:rPr>
          <w:rFonts w:ascii="Arial Narrow" w:hAnsi="Arial Narrow"/>
          <w:b/>
          <w:color w:val="auto"/>
          <w:sz w:val="20"/>
          <w:szCs w:val="20"/>
        </w:rPr>
        <w:t>30</w:t>
      </w:r>
      <w:r w:rsidR="008F2307" w:rsidRPr="00F80EEE">
        <w:rPr>
          <w:rFonts w:ascii="Arial Narrow" w:hAnsi="Arial Narrow"/>
          <w:b/>
          <w:color w:val="auto"/>
          <w:sz w:val="20"/>
          <w:szCs w:val="20"/>
        </w:rPr>
        <w:t xml:space="preserve">, </w:t>
      </w:r>
      <w:r w:rsidR="00F12AD7" w:rsidRPr="00F80EEE">
        <w:rPr>
          <w:rFonts w:ascii="Arial Narrow" w:hAnsi="Arial Narrow"/>
          <w:b/>
          <w:color w:val="auto"/>
          <w:sz w:val="20"/>
          <w:szCs w:val="20"/>
        </w:rPr>
        <w:t>2024</w:t>
      </w:r>
    </w:p>
    <w:p w14:paraId="50A17C1C" w14:textId="5612B57B" w:rsidR="002C690F" w:rsidRPr="006220AB" w:rsidRDefault="002C690F" w:rsidP="008F2307">
      <w:pPr>
        <w:pStyle w:val="Noparagraphstyle"/>
        <w:rPr>
          <w:rFonts w:ascii="Arial Narrow" w:hAnsi="Arial Narrow"/>
          <w:b/>
          <w:color w:val="auto"/>
          <w:sz w:val="20"/>
          <w:szCs w:val="20"/>
        </w:rPr>
      </w:pPr>
    </w:p>
    <w:p w14:paraId="01963495" w14:textId="3F4D4AD5" w:rsidR="002C690F" w:rsidRPr="006220AB" w:rsidRDefault="002C690F" w:rsidP="008F2307">
      <w:pPr>
        <w:pStyle w:val="Noparagraphstyle"/>
        <w:rPr>
          <w:rFonts w:ascii="Arial Narrow" w:hAnsi="Arial Narrow"/>
          <w:b/>
          <w:color w:val="auto"/>
          <w:sz w:val="20"/>
          <w:szCs w:val="20"/>
        </w:rPr>
      </w:pPr>
    </w:p>
    <w:p w14:paraId="1AE99796" w14:textId="2F08629A" w:rsidR="002C690F" w:rsidRPr="006220AB" w:rsidRDefault="002C690F" w:rsidP="008F2307">
      <w:pPr>
        <w:pStyle w:val="Noparagraphstyle"/>
        <w:rPr>
          <w:rFonts w:ascii="Arial Narrow" w:hAnsi="Arial Narrow"/>
          <w:b/>
          <w:color w:val="auto"/>
          <w:sz w:val="20"/>
          <w:szCs w:val="20"/>
        </w:rPr>
      </w:pPr>
    </w:p>
    <w:p w14:paraId="6F8C9820" w14:textId="77777777" w:rsidR="002C690F" w:rsidRPr="006220AB" w:rsidRDefault="002C690F" w:rsidP="008F2307">
      <w:pPr>
        <w:pStyle w:val="Noparagraphstyle"/>
        <w:rPr>
          <w:rFonts w:ascii="Arial Narrow" w:hAnsi="Arial Narrow"/>
          <w:b/>
          <w:color w:val="auto"/>
          <w:sz w:val="20"/>
          <w:szCs w:val="20"/>
        </w:rPr>
      </w:pPr>
    </w:p>
    <w:p w14:paraId="5A785AC4" w14:textId="77777777" w:rsidR="002C690F" w:rsidRPr="006220AB" w:rsidRDefault="002C690F" w:rsidP="008F2307">
      <w:pPr>
        <w:pStyle w:val="Noparagraphstyle"/>
        <w:rPr>
          <w:rFonts w:ascii="Arial Narrow" w:hAnsi="Arial Narrow"/>
          <w:b/>
          <w:color w:val="auto"/>
          <w:sz w:val="20"/>
          <w:szCs w:val="20"/>
        </w:rPr>
      </w:pPr>
    </w:p>
    <w:p w14:paraId="49FC31F0" w14:textId="77777777" w:rsidR="002C690F" w:rsidRPr="006220AB" w:rsidRDefault="002C690F" w:rsidP="008F2307">
      <w:pPr>
        <w:pStyle w:val="Noparagraphstyle"/>
        <w:rPr>
          <w:rFonts w:ascii="Arial Narrow" w:hAnsi="Arial Narrow"/>
          <w:b/>
          <w:color w:val="auto"/>
          <w:sz w:val="20"/>
          <w:szCs w:val="20"/>
        </w:rPr>
      </w:pPr>
    </w:p>
    <w:p w14:paraId="13C26467" w14:textId="77777777" w:rsidR="002C690F" w:rsidRPr="006220AB" w:rsidRDefault="002C690F" w:rsidP="008F2307">
      <w:pPr>
        <w:pStyle w:val="Noparagraphstyle"/>
        <w:rPr>
          <w:rFonts w:ascii="Arial Narrow" w:hAnsi="Arial Narrow"/>
          <w:b/>
          <w:color w:val="auto"/>
          <w:sz w:val="20"/>
          <w:szCs w:val="20"/>
        </w:rPr>
      </w:pPr>
    </w:p>
    <w:p w14:paraId="4823DB9E" w14:textId="77777777" w:rsidR="002C690F" w:rsidRPr="006220AB" w:rsidRDefault="002C690F" w:rsidP="008F2307">
      <w:pPr>
        <w:pStyle w:val="Noparagraphstyle"/>
        <w:rPr>
          <w:rFonts w:ascii="Arial Narrow" w:hAnsi="Arial Narrow"/>
          <w:b/>
          <w:color w:val="auto"/>
          <w:sz w:val="20"/>
          <w:szCs w:val="20"/>
        </w:rPr>
      </w:pPr>
    </w:p>
    <w:p w14:paraId="6585B078" w14:textId="77777777" w:rsidR="002C690F" w:rsidRPr="006220AB" w:rsidRDefault="002C690F" w:rsidP="008F2307">
      <w:pPr>
        <w:pStyle w:val="Noparagraphstyle"/>
        <w:rPr>
          <w:rFonts w:ascii="Arial Narrow" w:hAnsi="Arial Narrow"/>
          <w:b/>
          <w:color w:val="auto"/>
          <w:sz w:val="20"/>
          <w:szCs w:val="20"/>
        </w:rPr>
      </w:pPr>
    </w:p>
    <w:p w14:paraId="56A843BC" w14:textId="0856AACD" w:rsidR="006F35F9" w:rsidRDefault="006F35F9" w:rsidP="002C690F">
      <w:pPr>
        <w:pStyle w:val="NormalWeb"/>
        <w:shd w:val="clear" w:color="auto" w:fill="FFFFFF"/>
        <w:spacing w:before="0" w:beforeAutospacing="0" w:after="225" w:afterAutospacing="0"/>
        <w:ind w:right="144"/>
        <w:jc w:val="both"/>
        <w:rPr>
          <w:rFonts w:ascii="Arial" w:hAnsi="Arial" w:cs="Arial"/>
          <w:color w:val="000000"/>
          <w:sz w:val="21"/>
          <w:szCs w:val="21"/>
        </w:rPr>
        <w:sectPr w:rsidR="006F35F9" w:rsidSect="00FC532A">
          <w:headerReference w:type="default" r:id="rId9"/>
          <w:footerReference w:type="default" r:id="rId10"/>
          <w:footerReference w:type="first" r:id="rId11"/>
          <w:pgSz w:w="12240" w:h="15840" w:code="1"/>
          <w:pgMar w:top="360" w:right="907" w:bottom="446" w:left="907" w:header="0" w:footer="0" w:gutter="0"/>
          <w:cols w:space="720"/>
          <w:titlePg/>
          <w:docGrid w:linePitch="360"/>
        </w:sectPr>
      </w:pPr>
    </w:p>
    <w:p w14:paraId="0E61F9AB" w14:textId="77777777" w:rsidR="008F11E0" w:rsidRDefault="008F11E0" w:rsidP="002C690F">
      <w:pPr>
        <w:pStyle w:val="Subtitle"/>
        <w:spacing w:before="0"/>
        <w:rPr>
          <w:rFonts w:cs="Arial"/>
          <w:color w:val="auto"/>
        </w:rPr>
      </w:pPr>
    </w:p>
    <w:p w14:paraId="1CA6F55C" w14:textId="0E289EB9" w:rsidR="00476ACE" w:rsidRPr="00772667" w:rsidRDefault="00772667" w:rsidP="00364DA1">
      <w:pPr>
        <w:spacing w:after="240"/>
        <w:rPr>
          <w:rFonts w:ascii="Arial Black" w:hAnsi="Arial Black" w:cs="Arial"/>
          <w:b/>
          <w:bCs/>
          <w:sz w:val="28"/>
          <w:szCs w:val="28"/>
        </w:rPr>
      </w:pPr>
      <w:r w:rsidRPr="00772667">
        <w:rPr>
          <w:rFonts w:ascii="Arial Black" w:hAnsi="Arial Black" w:cs="Arial"/>
          <w:b/>
          <w:bCs/>
          <w:sz w:val="28"/>
          <w:szCs w:val="28"/>
        </w:rPr>
        <w:t>COVID-19 Vaccination Update</w:t>
      </w:r>
    </w:p>
    <w:p w14:paraId="2C1757F7" w14:textId="019E6A0F" w:rsidR="00476ACE" w:rsidRPr="00476ACE" w:rsidRDefault="00476ACE" w:rsidP="00D90C7C">
      <w:pPr>
        <w:spacing w:after="120" w:line="276" w:lineRule="auto"/>
        <w:rPr>
          <w:rFonts w:ascii="Arial" w:eastAsia="Aptos" w:hAnsi="Arial" w:cs="Arial"/>
          <w:sz w:val="22"/>
          <w:szCs w:val="22"/>
          <w:lang w:eastAsia="zh-CN"/>
          <w14:ligatures w14:val="standardContextual"/>
        </w:rPr>
      </w:pPr>
      <w:r w:rsidRPr="00476ACE">
        <w:rPr>
          <w:rFonts w:ascii="Arial" w:eastAsia="Aptos" w:hAnsi="Arial" w:cs="Arial"/>
          <w:sz w:val="22"/>
          <w:szCs w:val="22"/>
          <w:lang w:eastAsia="zh-CN"/>
          <w14:ligatures w14:val="standardContextual"/>
        </w:rPr>
        <w:t xml:space="preserve">Effective </w:t>
      </w:r>
      <w:r w:rsidR="00772667">
        <w:rPr>
          <w:rFonts w:ascii="Arial" w:eastAsia="Aptos" w:hAnsi="Arial" w:cs="Arial"/>
          <w:sz w:val="22"/>
          <w:szCs w:val="22"/>
          <w:lang w:eastAsia="zh-CN"/>
          <w14:ligatures w14:val="standardContextual"/>
        </w:rPr>
        <w:t>January 6, 2025</w:t>
      </w:r>
      <w:r w:rsidRPr="00476ACE">
        <w:rPr>
          <w:rFonts w:ascii="Arial" w:eastAsia="Aptos" w:hAnsi="Arial" w:cs="Arial"/>
          <w:sz w:val="22"/>
          <w:szCs w:val="22"/>
          <w:lang w:eastAsia="zh-CN"/>
          <w14:ligatures w14:val="standardContextual"/>
        </w:rPr>
        <w:t>, MassHealth will be imposing new quantity limits requirements on COVID-19 Vaccines</w:t>
      </w:r>
      <w:r w:rsidR="00817B74">
        <w:rPr>
          <w:rFonts w:ascii="Arial" w:eastAsia="Aptos" w:hAnsi="Arial" w:cs="Arial"/>
          <w:sz w:val="22"/>
          <w:szCs w:val="22"/>
          <w:lang w:eastAsia="zh-CN"/>
          <w14:ligatures w14:val="standardContextual"/>
        </w:rPr>
        <w:t xml:space="preserve"> submitted through the Pharmacy Online Processing System</w:t>
      </w:r>
      <w:r w:rsidRPr="00476ACE">
        <w:rPr>
          <w:rFonts w:ascii="Arial" w:eastAsia="Aptos" w:hAnsi="Arial" w:cs="Arial"/>
          <w:sz w:val="22"/>
          <w:szCs w:val="22"/>
          <w:lang w:eastAsia="zh-CN"/>
          <w14:ligatures w14:val="standardContextual"/>
        </w:rPr>
        <w:t xml:space="preserve">. </w:t>
      </w:r>
      <w:r w:rsidR="00817B74">
        <w:rPr>
          <w:rFonts w:ascii="Arial" w:eastAsia="Aptos" w:hAnsi="Arial" w:cs="Arial"/>
          <w:sz w:val="22"/>
          <w:szCs w:val="22"/>
          <w:lang w:eastAsia="zh-CN"/>
          <w14:ligatures w14:val="standardContextual"/>
        </w:rPr>
        <w:t>T</w:t>
      </w:r>
      <w:r w:rsidRPr="00476ACE">
        <w:rPr>
          <w:rFonts w:ascii="Arial" w:eastAsia="Aptos" w:hAnsi="Arial" w:cs="Arial"/>
          <w:sz w:val="22"/>
          <w:szCs w:val="22"/>
          <w:lang w:eastAsia="zh-CN"/>
          <w14:ligatures w14:val="standardContextual"/>
        </w:rPr>
        <w:t>his quantity limit will be 1 dose/year, with built in allowances for the following scenarios.</w:t>
      </w:r>
    </w:p>
    <w:p w14:paraId="16966A1C" w14:textId="77777777" w:rsidR="00476ACE" w:rsidRPr="00476ACE" w:rsidRDefault="00476ACE" w:rsidP="00D90C7C">
      <w:pPr>
        <w:numPr>
          <w:ilvl w:val="0"/>
          <w:numId w:val="25"/>
        </w:numPr>
        <w:spacing w:line="276" w:lineRule="auto"/>
        <w:rPr>
          <w:rFonts w:ascii="Arial" w:hAnsi="Arial" w:cs="Arial"/>
          <w:sz w:val="22"/>
          <w:szCs w:val="22"/>
          <w:lang w:eastAsia="zh-CN"/>
          <w14:ligatures w14:val="standardContextual"/>
        </w:rPr>
      </w:pPr>
      <w:r w:rsidRPr="00476ACE">
        <w:rPr>
          <w:rFonts w:ascii="Arial" w:hAnsi="Arial" w:cs="Arial"/>
          <w:sz w:val="22"/>
          <w:szCs w:val="22"/>
          <w:lang w:eastAsia="zh-CN"/>
          <w14:ligatures w14:val="standardContextual"/>
        </w:rPr>
        <w:t>2 doses/year for Novavax COVID-19 vaccine, adjuvanted for members who have not previously been vaccinated,</w:t>
      </w:r>
    </w:p>
    <w:p w14:paraId="237183AC" w14:textId="77777777" w:rsidR="00476ACE" w:rsidRPr="00476ACE" w:rsidRDefault="00476ACE" w:rsidP="00D90C7C">
      <w:pPr>
        <w:numPr>
          <w:ilvl w:val="0"/>
          <w:numId w:val="25"/>
        </w:numPr>
        <w:spacing w:line="276" w:lineRule="auto"/>
        <w:rPr>
          <w:rFonts w:ascii="Arial" w:hAnsi="Arial" w:cs="Arial"/>
          <w:sz w:val="22"/>
          <w:szCs w:val="22"/>
          <w:lang w:eastAsia="zh-CN"/>
          <w14:ligatures w14:val="standardContextual"/>
        </w:rPr>
      </w:pPr>
      <w:r w:rsidRPr="00476ACE">
        <w:rPr>
          <w:rFonts w:ascii="Arial" w:hAnsi="Arial" w:cs="Arial"/>
          <w:sz w:val="22"/>
          <w:szCs w:val="22"/>
          <w:lang w:eastAsia="zh-CN"/>
          <w14:ligatures w14:val="standardContextual"/>
        </w:rPr>
        <w:t>2 doses/year for Moderna COVID-19 vaccine for members &lt; 5 years of age who have not previously been vaccinated,</w:t>
      </w:r>
    </w:p>
    <w:p w14:paraId="54D52C9C" w14:textId="77777777" w:rsidR="00476ACE" w:rsidRPr="00476ACE" w:rsidRDefault="00476ACE" w:rsidP="00D90C7C">
      <w:pPr>
        <w:numPr>
          <w:ilvl w:val="0"/>
          <w:numId w:val="25"/>
        </w:numPr>
        <w:spacing w:line="276" w:lineRule="auto"/>
        <w:rPr>
          <w:rFonts w:ascii="Arial" w:hAnsi="Arial" w:cs="Arial"/>
          <w:sz w:val="22"/>
          <w:szCs w:val="22"/>
          <w:lang w:eastAsia="zh-CN"/>
          <w14:ligatures w14:val="standardContextual"/>
        </w:rPr>
      </w:pPr>
      <w:r w:rsidRPr="00476ACE">
        <w:rPr>
          <w:rFonts w:ascii="Arial" w:hAnsi="Arial" w:cs="Arial"/>
          <w:sz w:val="22"/>
          <w:szCs w:val="22"/>
          <w:lang w:eastAsia="zh-CN"/>
          <w14:ligatures w14:val="standardContextual"/>
        </w:rPr>
        <w:t>3 doses/year for Pfizer-BioNTech COVID-19 vaccine for members &lt; 5 years of age who have not previously been vaccinated</w:t>
      </w:r>
    </w:p>
    <w:p w14:paraId="111D2F52" w14:textId="77777777" w:rsidR="00476ACE" w:rsidRPr="00476ACE" w:rsidRDefault="00476ACE" w:rsidP="00D90C7C">
      <w:pPr>
        <w:spacing w:line="276" w:lineRule="auto"/>
        <w:rPr>
          <w:rFonts w:ascii="Arial" w:eastAsia="Aptos" w:hAnsi="Arial" w:cs="Arial"/>
          <w:sz w:val="22"/>
          <w:szCs w:val="22"/>
          <w:lang w:eastAsia="zh-CN"/>
          <w14:ligatures w14:val="standardContextual"/>
        </w:rPr>
      </w:pPr>
    </w:p>
    <w:p w14:paraId="27AD1DAE" w14:textId="10E075C3" w:rsidR="00476ACE" w:rsidRPr="00476ACE" w:rsidRDefault="00476ACE" w:rsidP="00D90C7C">
      <w:pPr>
        <w:spacing w:after="120" w:line="276" w:lineRule="auto"/>
        <w:rPr>
          <w:rFonts w:ascii="Arial" w:eastAsia="Aptos" w:hAnsi="Arial" w:cs="Arial"/>
          <w:sz w:val="22"/>
          <w:szCs w:val="22"/>
          <w:lang w:eastAsia="zh-CN"/>
          <w14:ligatures w14:val="standardContextual"/>
        </w:rPr>
      </w:pPr>
      <w:r w:rsidRPr="00476ACE">
        <w:rPr>
          <w:rFonts w:ascii="Arial" w:eastAsia="Aptos" w:hAnsi="Arial" w:cs="Arial"/>
          <w:sz w:val="22"/>
          <w:szCs w:val="22"/>
          <w:lang w:eastAsia="zh-CN"/>
          <w14:ligatures w14:val="standardContextual"/>
        </w:rPr>
        <w:t xml:space="preserve">MassHealth understands that </w:t>
      </w:r>
      <w:r w:rsidR="004D4593">
        <w:rPr>
          <w:rFonts w:ascii="Arial" w:eastAsia="Aptos" w:hAnsi="Arial" w:cs="Arial"/>
          <w:sz w:val="22"/>
          <w:szCs w:val="22"/>
          <w:lang w:eastAsia="zh-CN"/>
          <w14:ligatures w14:val="standardContextual"/>
        </w:rPr>
        <w:t xml:space="preserve">Centers for Disease Control </w:t>
      </w:r>
      <w:r w:rsidR="00960771">
        <w:rPr>
          <w:rFonts w:ascii="Arial" w:eastAsia="Aptos" w:hAnsi="Arial" w:cs="Arial"/>
          <w:sz w:val="22"/>
          <w:szCs w:val="22"/>
          <w:lang w:eastAsia="zh-CN"/>
          <w14:ligatures w14:val="standardContextual"/>
        </w:rPr>
        <w:t xml:space="preserve">and Prevention </w:t>
      </w:r>
      <w:r w:rsidR="004D4593">
        <w:rPr>
          <w:rFonts w:ascii="Arial" w:eastAsia="Aptos" w:hAnsi="Arial" w:cs="Arial"/>
          <w:sz w:val="22"/>
          <w:szCs w:val="22"/>
          <w:lang w:eastAsia="zh-CN"/>
          <w14:ligatures w14:val="standardContextual"/>
        </w:rPr>
        <w:t>(CDC)</w:t>
      </w:r>
      <w:r w:rsidRPr="00476ACE">
        <w:rPr>
          <w:rFonts w:ascii="Arial" w:eastAsia="Aptos" w:hAnsi="Arial" w:cs="Arial"/>
          <w:sz w:val="22"/>
          <w:szCs w:val="22"/>
          <w:lang w:eastAsia="zh-CN"/>
          <w14:ligatures w14:val="standardContextual"/>
        </w:rPr>
        <w:t xml:space="preserve"> </w:t>
      </w:r>
      <w:r w:rsidR="00960771">
        <w:rPr>
          <w:rFonts w:ascii="Arial" w:eastAsia="Aptos" w:hAnsi="Arial" w:cs="Arial"/>
          <w:sz w:val="22"/>
          <w:szCs w:val="22"/>
          <w:lang w:eastAsia="zh-CN"/>
          <w14:ligatures w14:val="standardContextual"/>
        </w:rPr>
        <w:t>g</w:t>
      </w:r>
      <w:r w:rsidRPr="00476ACE">
        <w:rPr>
          <w:rFonts w:ascii="Arial" w:eastAsia="Aptos" w:hAnsi="Arial" w:cs="Arial"/>
          <w:sz w:val="22"/>
          <w:szCs w:val="22"/>
          <w:lang w:eastAsia="zh-CN"/>
          <w14:ligatures w14:val="standardContextual"/>
        </w:rPr>
        <w:t>uidance may change periodically, and that some members may require a CDC</w:t>
      </w:r>
      <w:r w:rsidR="00D90C7C">
        <w:rPr>
          <w:rFonts w:ascii="Arial" w:eastAsia="Aptos" w:hAnsi="Arial" w:cs="Arial"/>
          <w:sz w:val="22"/>
          <w:szCs w:val="22"/>
          <w:lang w:eastAsia="zh-CN"/>
          <w14:ligatures w14:val="standardContextual"/>
        </w:rPr>
        <w:t>-</w:t>
      </w:r>
      <w:r w:rsidRPr="00476ACE">
        <w:rPr>
          <w:rFonts w:ascii="Arial" w:eastAsia="Aptos" w:hAnsi="Arial" w:cs="Arial"/>
          <w:sz w:val="22"/>
          <w:szCs w:val="22"/>
          <w:lang w:eastAsia="zh-CN"/>
          <w14:ligatures w14:val="standardContextual"/>
        </w:rPr>
        <w:t>recommended dosing schedule outside of these quantity limits. When billing claims for MassHealth members, a pharmacy may see a rejection that reads as follows</w:t>
      </w:r>
      <w:r w:rsidR="00817B74">
        <w:rPr>
          <w:rFonts w:ascii="Arial" w:eastAsia="Aptos" w:hAnsi="Arial" w:cs="Arial"/>
          <w:sz w:val="22"/>
          <w:szCs w:val="22"/>
          <w:lang w:eastAsia="zh-CN"/>
          <w14:ligatures w14:val="standardContextual"/>
        </w:rPr>
        <w:t>.</w:t>
      </w:r>
      <w:r w:rsidRPr="00476ACE">
        <w:rPr>
          <w:rFonts w:ascii="Arial" w:eastAsia="Aptos" w:hAnsi="Arial" w:cs="Arial"/>
          <w:sz w:val="22"/>
          <w:szCs w:val="22"/>
          <w:lang w:eastAsia="zh-CN"/>
          <w14:ligatures w14:val="standardContextual"/>
        </w:rPr>
        <w:t xml:space="preserve"> </w:t>
      </w:r>
    </w:p>
    <w:p w14:paraId="37585B3A" w14:textId="7637743B" w:rsidR="00476ACE" w:rsidRPr="00476ACE" w:rsidRDefault="00476ACE" w:rsidP="00D90C7C">
      <w:pPr>
        <w:numPr>
          <w:ilvl w:val="0"/>
          <w:numId w:val="26"/>
        </w:numPr>
        <w:spacing w:after="120" w:line="276" w:lineRule="auto"/>
        <w:rPr>
          <w:rFonts w:ascii="Arial" w:hAnsi="Arial" w:cs="Arial"/>
          <w:sz w:val="22"/>
          <w:szCs w:val="22"/>
          <w:lang w:eastAsia="zh-CN"/>
          <w14:ligatures w14:val="standardContextual"/>
        </w:rPr>
      </w:pPr>
      <w:r w:rsidRPr="00476ACE">
        <w:rPr>
          <w:rFonts w:ascii="Arial" w:hAnsi="Arial" w:cs="Arial"/>
          <w:sz w:val="22"/>
          <w:szCs w:val="22"/>
          <w:lang w:eastAsia="zh-CN"/>
          <w14:ligatures w14:val="standardContextual"/>
        </w:rPr>
        <w:t xml:space="preserve">75 – Prior Authorization Required, with text message, Quantity limits exceeded. Please call the DUR program at </w:t>
      </w:r>
      <w:r w:rsidR="00D90C7C">
        <w:rPr>
          <w:rFonts w:ascii="Arial" w:hAnsi="Arial" w:cs="Arial"/>
          <w:sz w:val="22"/>
          <w:szCs w:val="22"/>
          <w:lang w:eastAsia="zh-CN"/>
          <w14:ligatures w14:val="standardContextual"/>
        </w:rPr>
        <w:t>(</w:t>
      </w:r>
      <w:r w:rsidRPr="00476ACE">
        <w:rPr>
          <w:rFonts w:ascii="Arial" w:hAnsi="Arial" w:cs="Arial"/>
          <w:sz w:val="22"/>
          <w:szCs w:val="22"/>
          <w:lang w:eastAsia="zh-CN"/>
          <w14:ligatures w14:val="standardContextual"/>
        </w:rPr>
        <w:t>800</w:t>
      </w:r>
      <w:r w:rsidR="00D90C7C">
        <w:rPr>
          <w:rFonts w:ascii="Arial" w:hAnsi="Arial" w:cs="Arial"/>
          <w:sz w:val="22"/>
          <w:szCs w:val="22"/>
          <w:lang w:eastAsia="zh-CN"/>
          <w14:ligatures w14:val="standardContextual"/>
        </w:rPr>
        <w:t xml:space="preserve">) </w:t>
      </w:r>
      <w:r w:rsidRPr="00476ACE">
        <w:rPr>
          <w:rFonts w:ascii="Arial" w:hAnsi="Arial" w:cs="Arial"/>
          <w:sz w:val="22"/>
          <w:szCs w:val="22"/>
          <w:lang w:eastAsia="zh-CN"/>
          <w14:ligatures w14:val="standardContextual"/>
        </w:rPr>
        <w:t>745-7318 for claim review.</w:t>
      </w:r>
    </w:p>
    <w:p w14:paraId="53B090B1" w14:textId="7C231C2C" w:rsidR="00476ACE" w:rsidRPr="00476ACE" w:rsidRDefault="00476ACE" w:rsidP="00D90C7C">
      <w:pPr>
        <w:spacing w:line="276" w:lineRule="auto"/>
        <w:rPr>
          <w:rFonts w:ascii="Arial" w:eastAsia="Aptos" w:hAnsi="Arial" w:cs="Arial"/>
          <w:sz w:val="22"/>
          <w:szCs w:val="22"/>
          <w:lang w:eastAsia="zh-CN"/>
          <w14:ligatures w14:val="standardContextual"/>
        </w:rPr>
      </w:pPr>
      <w:r w:rsidRPr="00476ACE">
        <w:rPr>
          <w:rFonts w:ascii="Arial" w:eastAsia="Aptos" w:hAnsi="Arial" w:cs="Arial"/>
          <w:sz w:val="22"/>
          <w:szCs w:val="22"/>
          <w:lang w:eastAsia="zh-CN"/>
          <w14:ligatures w14:val="standardContextual"/>
        </w:rPr>
        <w:t xml:space="preserve">If a pharmacy encounters this message and believes that administration of the vaccine is clinically appropriate based upon </w:t>
      </w:r>
      <w:r w:rsidR="00817B74">
        <w:rPr>
          <w:rFonts w:ascii="Arial" w:eastAsia="Aptos" w:hAnsi="Arial" w:cs="Arial"/>
          <w:sz w:val="22"/>
          <w:szCs w:val="22"/>
          <w:lang w:eastAsia="zh-CN"/>
          <w14:ligatures w14:val="standardContextual"/>
        </w:rPr>
        <w:t xml:space="preserve">the current </w:t>
      </w:r>
      <w:r w:rsidRPr="00476ACE">
        <w:rPr>
          <w:rFonts w:ascii="Arial" w:eastAsia="Aptos" w:hAnsi="Arial" w:cs="Arial"/>
          <w:sz w:val="22"/>
          <w:szCs w:val="22"/>
          <w:lang w:eastAsia="zh-CN"/>
          <w14:ligatures w14:val="standardContextual"/>
        </w:rPr>
        <w:t>CDC recommendations, the pharmacy should reach out to the MassHealth Drug Utilization Review (DUR) program</w:t>
      </w:r>
      <w:r w:rsidR="001F799D">
        <w:rPr>
          <w:rFonts w:ascii="Arial" w:eastAsia="Aptos" w:hAnsi="Arial" w:cs="Arial"/>
          <w:sz w:val="22"/>
          <w:szCs w:val="22"/>
          <w:lang w:eastAsia="zh-CN"/>
          <w14:ligatures w14:val="standardContextual"/>
        </w:rPr>
        <w:t xml:space="preserve"> at </w:t>
      </w:r>
      <w:r w:rsidR="001F799D" w:rsidRPr="001F799D">
        <w:rPr>
          <w:rFonts w:ascii="Arial" w:eastAsia="Aptos" w:hAnsi="Arial" w:cs="Arial"/>
          <w:sz w:val="22"/>
          <w:szCs w:val="22"/>
          <w:lang w:eastAsia="zh-CN"/>
          <w14:ligatures w14:val="standardContextual"/>
        </w:rPr>
        <w:t>(800) 745-7318</w:t>
      </w:r>
      <w:r w:rsidRPr="00476ACE">
        <w:rPr>
          <w:rFonts w:ascii="Arial" w:eastAsia="Aptos" w:hAnsi="Arial" w:cs="Arial"/>
          <w:sz w:val="22"/>
          <w:szCs w:val="22"/>
          <w:lang w:eastAsia="zh-CN"/>
          <w14:ligatures w14:val="standardContextual"/>
        </w:rPr>
        <w:t xml:space="preserve"> for an override. </w:t>
      </w:r>
    </w:p>
    <w:p w14:paraId="3CCFBEB9" w14:textId="77777777" w:rsidR="00DC2D01" w:rsidRDefault="00DC2D01" w:rsidP="008D5FB9">
      <w:pPr>
        <w:pStyle w:val="Default"/>
        <w:rPr>
          <w:rFonts w:ascii="Times New Roman" w:hAnsi="Times New Roman" w:cs="Times New Roman"/>
          <w:bCs/>
        </w:rPr>
      </w:pPr>
    </w:p>
    <w:p w14:paraId="4D87973B" w14:textId="77777777" w:rsidR="00402C3A" w:rsidRPr="00402C3A" w:rsidRDefault="00402C3A" w:rsidP="00402C3A">
      <w:pPr>
        <w:pStyle w:val="Subtitle"/>
        <w:spacing w:before="0"/>
        <w:rPr>
          <w:rFonts w:cs="Arial"/>
          <w:b/>
          <w:bCs/>
          <w:color w:val="auto"/>
          <w:sz w:val="28"/>
          <w:szCs w:val="28"/>
        </w:rPr>
      </w:pPr>
      <w:r w:rsidRPr="00402C3A">
        <w:rPr>
          <w:rFonts w:cs="Arial"/>
          <w:b/>
          <w:bCs/>
          <w:color w:val="auto"/>
          <w:sz w:val="28"/>
          <w:szCs w:val="28"/>
        </w:rPr>
        <w:t>Claims Processing Update for Pediculicide Agents</w:t>
      </w:r>
      <w:bookmarkStart w:id="0" w:name="_Hlk179280234"/>
    </w:p>
    <w:p w14:paraId="7C102E1A" w14:textId="7B524ECF" w:rsidR="00402C3A" w:rsidRDefault="00402C3A" w:rsidP="00402C3A">
      <w:pPr>
        <w:spacing w:line="276" w:lineRule="auto"/>
        <w:rPr>
          <w:rFonts w:ascii="Arial" w:hAnsi="Arial" w:cs="Arial"/>
          <w:bCs/>
          <w:sz w:val="22"/>
          <w:szCs w:val="22"/>
        </w:rPr>
      </w:pPr>
      <w:r>
        <w:rPr>
          <w:rFonts w:ascii="Arial" w:hAnsi="Arial" w:cs="Arial"/>
          <w:bCs/>
          <w:sz w:val="22"/>
          <w:szCs w:val="22"/>
        </w:rPr>
        <w:t xml:space="preserve">Certain residential facilities (e.g., nursing, assisted living, custodial care, or group homes facilities) are at higher risk of head lice infestation. </w:t>
      </w:r>
      <w:r w:rsidR="00A43679">
        <w:rPr>
          <w:rFonts w:ascii="Arial" w:hAnsi="Arial" w:cs="Arial"/>
          <w:bCs/>
          <w:sz w:val="22"/>
          <w:szCs w:val="22"/>
        </w:rPr>
        <w:t xml:space="preserve">In these </w:t>
      </w:r>
      <w:r w:rsidR="00796A47">
        <w:rPr>
          <w:rFonts w:ascii="Arial" w:hAnsi="Arial" w:cs="Arial"/>
          <w:bCs/>
          <w:sz w:val="22"/>
          <w:szCs w:val="22"/>
        </w:rPr>
        <w:t>situations, MassHealth</w:t>
      </w:r>
      <w:r>
        <w:rPr>
          <w:rFonts w:ascii="Arial" w:hAnsi="Arial" w:cs="Arial"/>
          <w:bCs/>
          <w:sz w:val="22"/>
          <w:szCs w:val="22"/>
        </w:rPr>
        <w:t xml:space="preserve"> has developed a point-of-sale rule to </w:t>
      </w:r>
      <w:r w:rsidR="00796A47">
        <w:rPr>
          <w:rFonts w:ascii="Arial" w:hAnsi="Arial" w:cs="Arial"/>
          <w:bCs/>
          <w:sz w:val="22"/>
          <w:szCs w:val="22"/>
        </w:rPr>
        <w:t xml:space="preserve">expedite access to therapies that do not require nit combing </w:t>
      </w:r>
      <w:r w:rsidR="000B13AF">
        <w:rPr>
          <w:rFonts w:ascii="Arial" w:hAnsi="Arial" w:cs="Arial"/>
          <w:bCs/>
          <w:sz w:val="22"/>
          <w:szCs w:val="22"/>
        </w:rPr>
        <w:t xml:space="preserve">to </w:t>
      </w:r>
      <w:r>
        <w:rPr>
          <w:rFonts w:ascii="Arial" w:hAnsi="Arial" w:cs="Arial"/>
          <w:bCs/>
          <w:sz w:val="22"/>
          <w:szCs w:val="22"/>
        </w:rPr>
        <w:t xml:space="preserve">help address this situation. Effective November 14, 2024, </w:t>
      </w:r>
      <w:proofErr w:type="spellStart"/>
      <w:r>
        <w:rPr>
          <w:rFonts w:ascii="Arial" w:hAnsi="Arial" w:cs="Arial"/>
          <w:bCs/>
          <w:sz w:val="22"/>
          <w:szCs w:val="22"/>
        </w:rPr>
        <w:t>spinosad</w:t>
      </w:r>
      <w:proofErr w:type="spellEnd"/>
      <w:r>
        <w:rPr>
          <w:rFonts w:ascii="Arial" w:hAnsi="Arial" w:cs="Arial"/>
          <w:bCs/>
          <w:sz w:val="22"/>
          <w:szCs w:val="22"/>
        </w:rPr>
        <w:t xml:space="preserve"> and ivermectin lotion will usually pay at the pharmacy without prior authorization (PA) for members greater than six months of age when the </w:t>
      </w:r>
      <w:r w:rsidR="00796A47">
        <w:rPr>
          <w:rFonts w:ascii="Arial" w:hAnsi="Arial" w:cs="Arial"/>
          <w:bCs/>
          <w:sz w:val="22"/>
          <w:szCs w:val="22"/>
        </w:rPr>
        <w:t xml:space="preserve">member resides in a facility as noted by a </w:t>
      </w:r>
      <w:r>
        <w:rPr>
          <w:rFonts w:ascii="Arial" w:hAnsi="Arial" w:cs="Arial"/>
          <w:bCs/>
          <w:sz w:val="22"/>
          <w:szCs w:val="22"/>
        </w:rPr>
        <w:t xml:space="preserve">pharmacy claim </w:t>
      </w:r>
      <w:r w:rsidR="00796A47">
        <w:rPr>
          <w:rFonts w:ascii="Arial" w:hAnsi="Arial" w:cs="Arial"/>
          <w:bCs/>
          <w:sz w:val="22"/>
          <w:szCs w:val="22"/>
        </w:rPr>
        <w:t xml:space="preserve">submission that includes </w:t>
      </w:r>
      <w:r>
        <w:rPr>
          <w:rFonts w:ascii="Arial" w:hAnsi="Arial" w:cs="Arial"/>
          <w:bCs/>
          <w:sz w:val="22"/>
          <w:szCs w:val="22"/>
        </w:rPr>
        <w:t>one of the following patient residence codes (NCPDP Field 384-4X):</w:t>
      </w:r>
    </w:p>
    <w:p w14:paraId="13C58B04" w14:textId="77777777" w:rsidR="00402C3A" w:rsidRDefault="00402C3A" w:rsidP="00402C3A">
      <w:pPr>
        <w:pStyle w:val="ListParagraph"/>
        <w:numPr>
          <w:ilvl w:val="1"/>
          <w:numId w:val="27"/>
        </w:numPr>
        <w:spacing w:line="276" w:lineRule="auto"/>
        <w:rPr>
          <w:rFonts w:ascii="Arial" w:hAnsi="Arial" w:cs="Arial"/>
          <w:bCs/>
          <w:sz w:val="22"/>
          <w:szCs w:val="22"/>
        </w:rPr>
      </w:pPr>
      <w:r>
        <w:rPr>
          <w:rFonts w:ascii="Arial" w:hAnsi="Arial" w:cs="Arial"/>
          <w:bCs/>
          <w:sz w:val="22"/>
          <w:szCs w:val="22"/>
        </w:rPr>
        <w:t>2=Skilled Nursing Facility</w:t>
      </w:r>
    </w:p>
    <w:p w14:paraId="1C72DDC4" w14:textId="77777777" w:rsidR="00402C3A" w:rsidRDefault="00402C3A" w:rsidP="00402C3A">
      <w:pPr>
        <w:pStyle w:val="ListParagraph"/>
        <w:numPr>
          <w:ilvl w:val="1"/>
          <w:numId w:val="27"/>
        </w:numPr>
        <w:spacing w:line="276" w:lineRule="auto"/>
        <w:rPr>
          <w:rFonts w:ascii="Arial" w:hAnsi="Arial" w:cs="Arial"/>
          <w:bCs/>
          <w:sz w:val="22"/>
          <w:szCs w:val="22"/>
        </w:rPr>
      </w:pPr>
      <w:r>
        <w:rPr>
          <w:rFonts w:ascii="Arial" w:hAnsi="Arial" w:cs="Arial"/>
          <w:bCs/>
          <w:sz w:val="22"/>
          <w:szCs w:val="22"/>
        </w:rPr>
        <w:t>3=Nursing Facility</w:t>
      </w:r>
    </w:p>
    <w:p w14:paraId="7DB25C5A" w14:textId="77777777" w:rsidR="00402C3A" w:rsidRDefault="00402C3A" w:rsidP="00402C3A">
      <w:pPr>
        <w:pStyle w:val="ListParagraph"/>
        <w:numPr>
          <w:ilvl w:val="1"/>
          <w:numId w:val="27"/>
        </w:numPr>
        <w:spacing w:line="276" w:lineRule="auto"/>
        <w:rPr>
          <w:rFonts w:ascii="Arial" w:hAnsi="Arial" w:cs="Arial"/>
          <w:bCs/>
          <w:sz w:val="22"/>
          <w:szCs w:val="22"/>
        </w:rPr>
      </w:pPr>
      <w:r>
        <w:rPr>
          <w:rFonts w:ascii="Arial" w:hAnsi="Arial" w:cs="Arial"/>
          <w:bCs/>
          <w:sz w:val="22"/>
          <w:szCs w:val="22"/>
        </w:rPr>
        <w:t>4=Assisted living facility</w:t>
      </w:r>
    </w:p>
    <w:p w14:paraId="3E8DD2B8" w14:textId="77777777" w:rsidR="00402C3A" w:rsidRDefault="00402C3A" w:rsidP="00402C3A">
      <w:pPr>
        <w:pStyle w:val="ListParagraph"/>
        <w:numPr>
          <w:ilvl w:val="1"/>
          <w:numId w:val="27"/>
        </w:numPr>
        <w:spacing w:line="276" w:lineRule="auto"/>
        <w:rPr>
          <w:rFonts w:ascii="Arial" w:hAnsi="Arial" w:cs="Arial"/>
          <w:bCs/>
          <w:sz w:val="22"/>
          <w:szCs w:val="22"/>
        </w:rPr>
      </w:pPr>
      <w:r>
        <w:rPr>
          <w:rFonts w:ascii="Arial" w:hAnsi="Arial" w:cs="Arial"/>
          <w:bCs/>
          <w:sz w:val="22"/>
          <w:szCs w:val="22"/>
        </w:rPr>
        <w:t>5=Custodial Care Facility</w:t>
      </w:r>
    </w:p>
    <w:p w14:paraId="61D9B795" w14:textId="77777777" w:rsidR="00402C3A" w:rsidRDefault="00402C3A" w:rsidP="00402C3A">
      <w:pPr>
        <w:pStyle w:val="ListParagraph"/>
        <w:numPr>
          <w:ilvl w:val="1"/>
          <w:numId w:val="27"/>
        </w:numPr>
        <w:spacing w:line="276" w:lineRule="auto"/>
        <w:rPr>
          <w:rFonts w:ascii="Arial" w:hAnsi="Arial" w:cs="Arial"/>
          <w:bCs/>
          <w:sz w:val="22"/>
          <w:szCs w:val="22"/>
        </w:rPr>
      </w:pPr>
      <w:r>
        <w:rPr>
          <w:rFonts w:ascii="Arial" w:hAnsi="Arial" w:cs="Arial"/>
          <w:bCs/>
          <w:sz w:val="22"/>
          <w:szCs w:val="22"/>
        </w:rPr>
        <w:t>6=Group home</w:t>
      </w:r>
    </w:p>
    <w:p w14:paraId="61CFC02B" w14:textId="22718952" w:rsidR="00E91925" w:rsidRDefault="00402C3A" w:rsidP="00402C3A">
      <w:pPr>
        <w:pStyle w:val="ListParagraph"/>
        <w:numPr>
          <w:ilvl w:val="1"/>
          <w:numId w:val="27"/>
        </w:numPr>
        <w:spacing w:line="276" w:lineRule="auto"/>
        <w:rPr>
          <w:rFonts w:ascii="Arial" w:hAnsi="Arial" w:cs="Arial"/>
          <w:bCs/>
          <w:sz w:val="22"/>
          <w:szCs w:val="22"/>
        </w:rPr>
        <w:sectPr w:rsidR="00E91925" w:rsidSect="001D35B4">
          <w:footerReference w:type="default" r:id="rId12"/>
          <w:type w:val="continuous"/>
          <w:pgSz w:w="12240" w:h="15840" w:code="1"/>
          <w:pgMar w:top="360" w:right="907" w:bottom="1080" w:left="907" w:header="720" w:footer="576" w:gutter="0"/>
          <w:cols w:sep="1" w:space="720"/>
          <w:docGrid w:linePitch="360"/>
        </w:sectPr>
      </w:pPr>
      <w:r>
        <w:rPr>
          <w:rFonts w:ascii="Arial" w:hAnsi="Arial" w:cs="Arial"/>
          <w:bCs/>
          <w:sz w:val="22"/>
          <w:szCs w:val="22"/>
        </w:rPr>
        <w:t>11=Hospic</w:t>
      </w:r>
      <w:r w:rsidR="00E91925">
        <w:rPr>
          <w:rFonts w:ascii="Arial" w:hAnsi="Arial" w:cs="Arial"/>
          <w:bCs/>
          <w:sz w:val="22"/>
          <w:szCs w:val="22"/>
        </w:rPr>
        <w:t>e</w:t>
      </w:r>
    </w:p>
    <w:bookmarkEnd w:id="0"/>
    <w:p w14:paraId="488225F7" w14:textId="77777777" w:rsidR="00402C3A" w:rsidRDefault="00402C3A" w:rsidP="00402C3A">
      <w:pPr>
        <w:rPr>
          <w:rFonts w:ascii="Arial" w:hAnsi="Arial" w:cs="Arial"/>
          <w:bCs/>
          <w:sz w:val="22"/>
          <w:szCs w:val="22"/>
        </w:rPr>
      </w:pPr>
    </w:p>
    <w:p w14:paraId="43F74787" w14:textId="7500A6D6" w:rsidR="00402C3A" w:rsidRDefault="00402C3A" w:rsidP="00D90C7C">
      <w:pPr>
        <w:spacing w:line="276" w:lineRule="auto"/>
        <w:rPr>
          <w:rFonts w:ascii="Arial" w:hAnsi="Arial" w:cs="Arial"/>
          <w:bCs/>
          <w:sz w:val="22"/>
          <w:szCs w:val="22"/>
        </w:rPr>
      </w:pPr>
      <w:r>
        <w:rPr>
          <w:rFonts w:ascii="Arial" w:hAnsi="Arial" w:cs="Arial"/>
          <w:bCs/>
          <w:sz w:val="22"/>
          <w:szCs w:val="22"/>
        </w:rPr>
        <w:t>Current</w:t>
      </w:r>
      <w:r w:rsidRPr="00365B4B">
        <w:rPr>
          <w:rFonts w:ascii="Arial" w:hAnsi="Arial" w:cs="Arial"/>
          <w:bCs/>
          <w:sz w:val="22"/>
          <w:szCs w:val="22"/>
        </w:rPr>
        <w:t xml:space="preserve"> </w:t>
      </w:r>
      <w:r>
        <w:rPr>
          <w:rFonts w:ascii="Arial" w:hAnsi="Arial" w:cs="Arial"/>
          <w:bCs/>
          <w:sz w:val="22"/>
          <w:szCs w:val="22"/>
        </w:rPr>
        <w:t>coverage status and prior authorization criteria for pediculicide agents</w:t>
      </w:r>
      <w:r w:rsidRPr="00365B4B">
        <w:rPr>
          <w:rFonts w:ascii="Arial" w:hAnsi="Arial" w:cs="Arial"/>
          <w:bCs/>
          <w:sz w:val="22"/>
          <w:szCs w:val="22"/>
        </w:rPr>
        <w:t xml:space="preserve"> can be found on the </w:t>
      </w:r>
      <w:hyperlink r:id="rId13" w:history="1">
        <w:r w:rsidRPr="005B3507">
          <w:rPr>
            <w:rStyle w:val="Hyperlink"/>
            <w:rFonts w:ascii="Arial" w:hAnsi="Arial" w:cs="Arial"/>
            <w:bCs/>
            <w:sz w:val="22"/>
            <w:szCs w:val="22"/>
          </w:rPr>
          <w:t>MassHealth Drug List</w:t>
        </w:r>
      </w:hyperlink>
      <w:r>
        <w:rPr>
          <w:rStyle w:val="Hyperlink"/>
          <w:rFonts w:ascii="Arial" w:hAnsi="Arial" w:cs="Arial"/>
          <w:bCs/>
          <w:sz w:val="22"/>
          <w:szCs w:val="22"/>
        </w:rPr>
        <w:t xml:space="preserve"> </w:t>
      </w:r>
      <w:r>
        <w:rPr>
          <w:rFonts w:ascii="Arial" w:hAnsi="Arial" w:cs="Arial"/>
          <w:bCs/>
          <w:sz w:val="22"/>
          <w:szCs w:val="22"/>
        </w:rPr>
        <w:t>Therapeutic Table 54: Pediculicides and Scabicides.</w:t>
      </w:r>
      <w:r w:rsidRPr="001E7935" w:rsidDel="00E34140">
        <w:rPr>
          <w:rFonts w:ascii="Arial" w:hAnsi="Arial" w:cs="Arial"/>
          <w:bCs/>
          <w:sz w:val="22"/>
          <w:szCs w:val="22"/>
        </w:rPr>
        <w:t xml:space="preserve"> </w:t>
      </w:r>
      <w:r>
        <w:rPr>
          <w:rFonts w:ascii="Arial" w:hAnsi="Arial" w:cs="Arial"/>
          <w:bCs/>
          <w:sz w:val="22"/>
          <w:szCs w:val="22"/>
        </w:rPr>
        <w:t xml:space="preserve">This new point-of-sale rule </w:t>
      </w:r>
      <w:r w:rsidR="005E608B">
        <w:rPr>
          <w:rFonts w:ascii="Arial" w:hAnsi="Arial" w:cs="Arial"/>
          <w:bCs/>
          <w:sz w:val="22"/>
          <w:szCs w:val="22"/>
        </w:rPr>
        <w:t>will</w:t>
      </w:r>
      <w:r>
        <w:rPr>
          <w:rFonts w:ascii="Arial" w:hAnsi="Arial" w:cs="Arial"/>
          <w:bCs/>
          <w:sz w:val="22"/>
          <w:szCs w:val="22"/>
        </w:rPr>
        <w:t xml:space="preserve"> be published in Table 54 on January 6, 2025.</w:t>
      </w:r>
    </w:p>
    <w:p w14:paraId="046BDD7E" w14:textId="77777777" w:rsidR="00D90C7C" w:rsidRDefault="00D90C7C" w:rsidP="00402C3A">
      <w:pPr>
        <w:rPr>
          <w:rFonts w:ascii="Arial" w:hAnsi="Arial" w:cs="Arial"/>
          <w:bCs/>
          <w:sz w:val="22"/>
          <w:szCs w:val="22"/>
        </w:rPr>
      </w:pPr>
    </w:p>
    <w:p w14:paraId="31FFA694" w14:textId="712B1930" w:rsidR="007A1603" w:rsidRPr="00D90C7C" w:rsidRDefault="007A1603" w:rsidP="00D90C7C">
      <w:pPr>
        <w:pStyle w:val="Subtitle"/>
        <w:spacing w:before="0"/>
        <w:rPr>
          <w:rFonts w:cs="Arial"/>
          <w:b/>
          <w:bCs/>
          <w:color w:val="auto"/>
          <w:sz w:val="28"/>
          <w:szCs w:val="28"/>
        </w:rPr>
      </w:pPr>
      <w:r w:rsidRPr="00D90C7C">
        <w:rPr>
          <w:rFonts w:cs="Arial"/>
          <w:b/>
          <w:bCs/>
          <w:color w:val="auto"/>
          <w:sz w:val="28"/>
          <w:szCs w:val="28"/>
        </w:rPr>
        <w:t>MassHealth Drug List Update</w:t>
      </w:r>
    </w:p>
    <w:p w14:paraId="5CEC6AF4" w14:textId="739C1B46" w:rsidR="00DC2D01" w:rsidRPr="007A1603" w:rsidRDefault="007A1603" w:rsidP="00D90C7C">
      <w:pPr>
        <w:keepNext/>
        <w:spacing w:line="276" w:lineRule="auto"/>
        <w:outlineLvl w:val="0"/>
        <w:rPr>
          <w:rFonts w:ascii="Arial" w:hAnsi="Arial" w:cs="Arial"/>
          <w:sz w:val="22"/>
          <w:szCs w:val="22"/>
        </w:rPr>
      </w:pPr>
      <w:r w:rsidRPr="007A1603">
        <w:rPr>
          <w:rFonts w:ascii="Arial" w:hAnsi="Arial" w:cs="Arial"/>
          <w:sz w:val="22"/>
          <w:szCs w:val="22"/>
        </w:rPr>
        <w:t>Below are certain updates to the MassHealth Drug List (MHDL). See the MHDL for a complete listing of updates.</w:t>
      </w:r>
    </w:p>
    <w:p w14:paraId="1A72C496" w14:textId="77777777" w:rsidR="007A1603" w:rsidRDefault="007A1603" w:rsidP="008D5FB9">
      <w:pPr>
        <w:pStyle w:val="Default"/>
        <w:rPr>
          <w:rFonts w:ascii="Times New Roman" w:hAnsi="Times New Roman" w:cs="Times New Roman"/>
          <w:bCs/>
        </w:rPr>
      </w:pPr>
    </w:p>
    <w:p w14:paraId="326DEAE1" w14:textId="77777777" w:rsidR="00066D40" w:rsidRPr="00066D40" w:rsidRDefault="00066D40" w:rsidP="00066D40">
      <w:pPr>
        <w:keepNext/>
        <w:keepLines/>
        <w:spacing w:line="276" w:lineRule="auto"/>
        <w:outlineLvl w:val="0"/>
        <w:rPr>
          <w:rFonts w:ascii="Arial" w:eastAsia="Yu Gothic Light" w:hAnsi="Arial"/>
          <w:szCs w:val="32"/>
        </w:rPr>
      </w:pPr>
      <w:r w:rsidRPr="00066D40">
        <w:rPr>
          <w:rFonts w:ascii="Arial" w:eastAsia="Yu Gothic Light" w:hAnsi="Arial"/>
          <w:b/>
          <w:szCs w:val="32"/>
        </w:rPr>
        <w:t>Additions</w:t>
      </w:r>
    </w:p>
    <w:p w14:paraId="3DD87A1A" w14:textId="77777777" w:rsidR="00066D40" w:rsidRPr="00066D40" w:rsidRDefault="00066D40" w:rsidP="005E608B">
      <w:pPr>
        <w:autoSpaceDE w:val="0"/>
        <w:autoSpaceDN w:val="0"/>
        <w:adjustRightInd w:val="0"/>
        <w:spacing w:line="276" w:lineRule="auto"/>
        <w:rPr>
          <w:rFonts w:ascii="Arial" w:eastAsia="Calibri" w:hAnsi="Arial" w:cs="Arial"/>
          <w:color w:val="000000"/>
          <w:sz w:val="22"/>
          <w:szCs w:val="21"/>
        </w:rPr>
      </w:pPr>
      <w:r w:rsidRPr="00066D40">
        <w:rPr>
          <w:rFonts w:ascii="Arial" w:eastAsia="Calibri" w:hAnsi="Arial" w:cs="Arial"/>
          <w:color w:val="000000"/>
          <w:sz w:val="22"/>
          <w:szCs w:val="22"/>
        </w:rPr>
        <w:t>Effective January 6, 2025, the following</w:t>
      </w:r>
      <w:r w:rsidRPr="00066D40">
        <w:rPr>
          <w:rFonts w:ascii="Arial" w:eastAsia="Calibri" w:hAnsi="Arial" w:cs="Arial"/>
          <w:color w:val="000000"/>
          <w:sz w:val="22"/>
          <w:szCs w:val="21"/>
        </w:rPr>
        <w:t xml:space="preserve"> newly marketed drugs will be added to the MassHealth Drug List. </w:t>
      </w:r>
    </w:p>
    <w:p w14:paraId="34D11269"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Anktiva</w:t>
      </w:r>
      <w:proofErr w:type="spellEnd"/>
      <w:r w:rsidRPr="00066D40">
        <w:rPr>
          <w:rFonts w:ascii="Arial" w:eastAsia="Calibri" w:hAnsi="Arial" w:cs="Arial"/>
          <w:color w:val="000000"/>
          <w:sz w:val="22"/>
          <w:szCs w:val="22"/>
        </w:rPr>
        <w:t xml:space="preserve"> (</w:t>
      </w:r>
      <w:proofErr w:type="spellStart"/>
      <w:r w:rsidRPr="00066D40">
        <w:rPr>
          <w:rFonts w:ascii="Arial" w:eastAsia="Calibri" w:hAnsi="Arial" w:cs="Arial"/>
          <w:color w:val="000000"/>
          <w:sz w:val="22"/>
          <w:szCs w:val="22"/>
        </w:rPr>
        <w:t>nogapendekin</w:t>
      </w:r>
      <w:proofErr w:type="spellEnd"/>
      <w:r w:rsidRPr="00066D40">
        <w:rPr>
          <w:rFonts w:ascii="Arial" w:eastAsia="Calibri" w:hAnsi="Arial" w:cs="Arial"/>
          <w:color w:val="000000"/>
          <w:sz w:val="22"/>
          <w:szCs w:val="22"/>
        </w:rPr>
        <w:t xml:space="preserve"> alfa </w:t>
      </w:r>
      <w:proofErr w:type="spellStart"/>
      <w:r w:rsidRPr="00066D40">
        <w:rPr>
          <w:rFonts w:ascii="Arial" w:eastAsia="Calibri" w:hAnsi="Arial" w:cs="Arial"/>
          <w:color w:val="000000"/>
          <w:sz w:val="22"/>
          <w:szCs w:val="22"/>
        </w:rPr>
        <w:t>inbakic-pmln</w:t>
      </w:r>
      <w:proofErr w:type="spellEnd"/>
      <w:r w:rsidRPr="00066D40">
        <w:rPr>
          <w:rFonts w:ascii="Arial" w:eastAsia="Calibri" w:hAnsi="Arial" w:cs="Arial"/>
          <w:color w:val="000000"/>
          <w:sz w:val="22"/>
          <w:szCs w:val="22"/>
        </w:rPr>
        <w:t xml:space="preserve">) – </w:t>
      </w:r>
      <w:r w:rsidRPr="00066D40">
        <w:rPr>
          <w:rFonts w:ascii="Arial" w:eastAsia="Calibri" w:hAnsi="Arial" w:cs="Arial"/>
          <w:b/>
          <w:bCs/>
          <w:color w:val="000000"/>
          <w:sz w:val="22"/>
          <w:szCs w:val="22"/>
        </w:rPr>
        <w:t>PA</w:t>
      </w:r>
      <w:r w:rsidRPr="00066D40">
        <w:rPr>
          <w:rFonts w:ascii="Arial" w:eastAsia="Calibri" w:hAnsi="Arial" w:cs="Arial"/>
          <w:color w:val="000000"/>
          <w:sz w:val="22"/>
          <w:szCs w:val="22"/>
        </w:rPr>
        <w:t>; MB</w:t>
      </w:r>
    </w:p>
    <w:p w14:paraId="53BC0D40"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Defencath</w:t>
      </w:r>
      <w:proofErr w:type="spellEnd"/>
      <w:r w:rsidRPr="00066D40">
        <w:rPr>
          <w:rFonts w:ascii="Arial" w:eastAsia="Calibri" w:hAnsi="Arial" w:cs="Arial"/>
          <w:color w:val="000000"/>
          <w:sz w:val="22"/>
          <w:szCs w:val="22"/>
        </w:rPr>
        <w:t xml:space="preserve"> (taurolidine/heparin) – </w:t>
      </w:r>
      <w:r w:rsidRPr="00066D40">
        <w:rPr>
          <w:rFonts w:ascii="Arial" w:eastAsia="Calibri" w:hAnsi="Arial" w:cs="Arial"/>
          <w:b/>
          <w:bCs/>
          <w:color w:val="000000"/>
          <w:sz w:val="22"/>
          <w:szCs w:val="22"/>
        </w:rPr>
        <w:t>PA</w:t>
      </w:r>
      <w:r w:rsidRPr="00066D40">
        <w:rPr>
          <w:rFonts w:ascii="Arial" w:eastAsia="Calibri" w:hAnsi="Arial" w:cs="Arial"/>
          <w:color w:val="000000"/>
          <w:sz w:val="22"/>
          <w:szCs w:val="22"/>
        </w:rPr>
        <w:t>; MB</w:t>
      </w:r>
    </w:p>
    <w:p w14:paraId="7055388C"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Duvyzat</w:t>
      </w:r>
      <w:proofErr w:type="spellEnd"/>
      <w:r w:rsidRPr="00066D40">
        <w:rPr>
          <w:rFonts w:ascii="Arial" w:eastAsia="Calibri" w:hAnsi="Arial" w:cs="Arial"/>
          <w:color w:val="000000"/>
          <w:sz w:val="22"/>
          <w:szCs w:val="22"/>
        </w:rPr>
        <w:t xml:space="preserve"> (</w:t>
      </w:r>
      <w:proofErr w:type="spellStart"/>
      <w:r w:rsidRPr="00066D40">
        <w:rPr>
          <w:rFonts w:ascii="Arial" w:eastAsia="Calibri" w:hAnsi="Arial" w:cs="Arial"/>
          <w:color w:val="000000"/>
          <w:sz w:val="22"/>
          <w:szCs w:val="22"/>
        </w:rPr>
        <w:t>givinostat</w:t>
      </w:r>
      <w:proofErr w:type="spellEnd"/>
      <w:r w:rsidRPr="00066D40">
        <w:rPr>
          <w:rFonts w:ascii="Arial" w:eastAsia="Calibri" w:hAnsi="Arial" w:cs="Arial"/>
          <w:color w:val="000000"/>
          <w:sz w:val="22"/>
          <w:szCs w:val="22"/>
        </w:rPr>
        <w:t xml:space="preserve">) – </w:t>
      </w:r>
      <w:r w:rsidRPr="00066D40">
        <w:rPr>
          <w:rFonts w:ascii="Arial" w:eastAsia="Calibri" w:hAnsi="Arial" w:cs="Arial"/>
          <w:b/>
          <w:bCs/>
          <w:color w:val="000000"/>
          <w:sz w:val="22"/>
          <w:szCs w:val="22"/>
        </w:rPr>
        <w:t>PA</w:t>
      </w:r>
    </w:p>
    <w:p w14:paraId="10674D12"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Iqirvo</w:t>
      </w:r>
      <w:proofErr w:type="spellEnd"/>
      <w:r w:rsidRPr="00066D40">
        <w:rPr>
          <w:rFonts w:ascii="Arial" w:eastAsia="Calibri" w:hAnsi="Arial" w:cs="Arial"/>
          <w:color w:val="000000"/>
          <w:sz w:val="22"/>
          <w:szCs w:val="22"/>
        </w:rPr>
        <w:t xml:space="preserve"> (</w:t>
      </w:r>
      <w:proofErr w:type="spellStart"/>
      <w:r w:rsidRPr="00066D40">
        <w:rPr>
          <w:rFonts w:ascii="Arial" w:eastAsia="Calibri" w:hAnsi="Arial" w:cs="Arial"/>
          <w:color w:val="000000"/>
          <w:sz w:val="22"/>
          <w:szCs w:val="22"/>
        </w:rPr>
        <w:t>elafibranor</w:t>
      </w:r>
      <w:proofErr w:type="spellEnd"/>
      <w:r w:rsidRPr="00066D40">
        <w:rPr>
          <w:rFonts w:ascii="Arial" w:eastAsia="Calibri" w:hAnsi="Arial" w:cs="Arial"/>
          <w:color w:val="000000"/>
          <w:sz w:val="22"/>
          <w:szCs w:val="22"/>
        </w:rPr>
        <w:t xml:space="preserve">) – </w:t>
      </w:r>
      <w:r w:rsidRPr="00066D40">
        <w:rPr>
          <w:rFonts w:ascii="Arial" w:eastAsia="Calibri" w:hAnsi="Arial" w:cs="Arial"/>
          <w:b/>
          <w:bCs/>
          <w:color w:val="000000"/>
          <w:sz w:val="22"/>
          <w:szCs w:val="22"/>
        </w:rPr>
        <w:t>PA</w:t>
      </w:r>
    </w:p>
    <w:p w14:paraId="660468E7"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Kisunla</w:t>
      </w:r>
      <w:proofErr w:type="spellEnd"/>
      <w:r w:rsidRPr="00066D40">
        <w:rPr>
          <w:rFonts w:ascii="Arial" w:eastAsia="Calibri" w:hAnsi="Arial" w:cs="Arial"/>
          <w:color w:val="000000"/>
          <w:sz w:val="22"/>
          <w:szCs w:val="22"/>
        </w:rPr>
        <w:t xml:space="preserve"> (donanemab-</w:t>
      </w:r>
      <w:proofErr w:type="spellStart"/>
      <w:r w:rsidRPr="00066D40">
        <w:rPr>
          <w:rFonts w:ascii="Arial" w:eastAsia="Calibri" w:hAnsi="Arial" w:cs="Arial"/>
          <w:color w:val="000000"/>
          <w:sz w:val="22"/>
          <w:szCs w:val="22"/>
        </w:rPr>
        <w:t>azbt</w:t>
      </w:r>
      <w:proofErr w:type="spellEnd"/>
      <w:r w:rsidRPr="00066D40">
        <w:rPr>
          <w:rFonts w:ascii="Arial" w:eastAsia="Calibri" w:hAnsi="Arial" w:cs="Arial"/>
          <w:color w:val="000000"/>
          <w:sz w:val="22"/>
          <w:szCs w:val="22"/>
        </w:rPr>
        <w:t>) –</w:t>
      </w:r>
      <w:r w:rsidRPr="00066D40">
        <w:rPr>
          <w:rFonts w:ascii="Arial" w:eastAsia="Calibri" w:hAnsi="Arial" w:cs="Arial"/>
          <w:b/>
          <w:bCs/>
          <w:color w:val="000000"/>
          <w:sz w:val="22"/>
          <w:szCs w:val="22"/>
        </w:rPr>
        <w:t xml:space="preserve"> PA</w:t>
      </w:r>
      <w:r w:rsidRPr="00066D40">
        <w:rPr>
          <w:rFonts w:ascii="Arial" w:eastAsia="Calibri" w:hAnsi="Arial" w:cs="Arial"/>
          <w:color w:val="000000"/>
          <w:sz w:val="22"/>
          <w:szCs w:val="22"/>
        </w:rPr>
        <w:t xml:space="preserve"> </w:t>
      </w:r>
    </w:p>
    <w:p w14:paraId="52395D0E"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Livdelzi</w:t>
      </w:r>
      <w:proofErr w:type="spellEnd"/>
      <w:r w:rsidRPr="00066D40">
        <w:rPr>
          <w:rFonts w:ascii="Arial" w:eastAsia="Calibri" w:hAnsi="Arial" w:cs="Arial"/>
          <w:color w:val="000000"/>
          <w:sz w:val="22"/>
          <w:szCs w:val="22"/>
        </w:rPr>
        <w:t xml:space="preserve"> (</w:t>
      </w:r>
      <w:proofErr w:type="spellStart"/>
      <w:r w:rsidRPr="00066D40">
        <w:rPr>
          <w:rFonts w:ascii="Arial" w:eastAsia="Calibri" w:hAnsi="Arial" w:cs="Arial"/>
          <w:color w:val="000000"/>
          <w:sz w:val="22"/>
          <w:szCs w:val="22"/>
        </w:rPr>
        <w:t>seladelpar</w:t>
      </w:r>
      <w:proofErr w:type="spellEnd"/>
      <w:r w:rsidRPr="00066D40">
        <w:rPr>
          <w:rFonts w:ascii="Arial" w:eastAsia="Calibri" w:hAnsi="Arial" w:cs="Arial"/>
          <w:color w:val="000000"/>
          <w:sz w:val="22"/>
          <w:szCs w:val="22"/>
        </w:rPr>
        <w:t xml:space="preserve">) – </w:t>
      </w:r>
      <w:r w:rsidRPr="00066D40">
        <w:rPr>
          <w:rFonts w:ascii="Arial" w:eastAsia="Calibri" w:hAnsi="Arial" w:cs="Arial"/>
          <w:b/>
          <w:bCs/>
          <w:color w:val="000000"/>
          <w:sz w:val="22"/>
          <w:szCs w:val="22"/>
        </w:rPr>
        <w:t>PA</w:t>
      </w:r>
      <w:r w:rsidRPr="00066D40">
        <w:rPr>
          <w:rFonts w:ascii="Arial" w:eastAsia="Calibri" w:hAnsi="Arial" w:cs="Arial"/>
          <w:color w:val="000000"/>
          <w:sz w:val="22"/>
          <w:szCs w:val="22"/>
        </w:rPr>
        <w:t xml:space="preserve"> </w:t>
      </w:r>
    </w:p>
    <w:p w14:paraId="7DB3B494"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Nemluvio</w:t>
      </w:r>
      <w:proofErr w:type="spellEnd"/>
      <w:r w:rsidRPr="00066D40">
        <w:rPr>
          <w:rFonts w:ascii="Arial" w:eastAsia="Calibri" w:hAnsi="Arial" w:cs="Arial"/>
          <w:color w:val="000000"/>
          <w:sz w:val="22"/>
          <w:szCs w:val="22"/>
        </w:rPr>
        <w:t xml:space="preserve"> (</w:t>
      </w:r>
      <w:proofErr w:type="spellStart"/>
      <w:r w:rsidRPr="00066D40">
        <w:rPr>
          <w:rFonts w:ascii="Arial" w:eastAsia="Calibri" w:hAnsi="Arial" w:cs="Arial"/>
          <w:color w:val="000000"/>
          <w:sz w:val="22"/>
          <w:szCs w:val="22"/>
        </w:rPr>
        <w:t>nemolizumab-ilto</w:t>
      </w:r>
      <w:proofErr w:type="spellEnd"/>
      <w:r w:rsidRPr="00066D40">
        <w:rPr>
          <w:rFonts w:ascii="Arial" w:eastAsia="Calibri" w:hAnsi="Arial" w:cs="Arial"/>
          <w:color w:val="000000"/>
          <w:sz w:val="22"/>
          <w:szCs w:val="22"/>
        </w:rPr>
        <w:t xml:space="preserve">) – </w:t>
      </w:r>
      <w:r w:rsidRPr="00066D40">
        <w:rPr>
          <w:rFonts w:ascii="Arial" w:eastAsia="Calibri" w:hAnsi="Arial" w:cs="Arial"/>
          <w:b/>
          <w:bCs/>
          <w:color w:val="000000"/>
          <w:sz w:val="22"/>
          <w:szCs w:val="22"/>
        </w:rPr>
        <w:t>PA</w:t>
      </w:r>
    </w:p>
    <w:p w14:paraId="72239171"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Ohtuvayre</w:t>
      </w:r>
      <w:proofErr w:type="spellEnd"/>
      <w:r w:rsidRPr="00066D40">
        <w:rPr>
          <w:rFonts w:ascii="Arial" w:eastAsia="Calibri" w:hAnsi="Arial" w:cs="Arial"/>
          <w:color w:val="000000"/>
          <w:sz w:val="22"/>
          <w:szCs w:val="22"/>
        </w:rPr>
        <w:t xml:space="preserve"> (</w:t>
      </w:r>
      <w:proofErr w:type="spellStart"/>
      <w:r w:rsidRPr="00066D40">
        <w:rPr>
          <w:rFonts w:ascii="Arial" w:eastAsia="Calibri" w:hAnsi="Arial" w:cs="Arial"/>
          <w:color w:val="000000"/>
          <w:sz w:val="22"/>
          <w:szCs w:val="22"/>
        </w:rPr>
        <w:t>ensifentrine</w:t>
      </w:r>
      <w:proofErr w:type="spellEnd"/>
      <w:r w:rsidRPr="00066D40">
        <w:rPr>
          <w:rFonts w:ascii="Arial" w:eastAsia="Calibri" w:hAnsi="Arial" w:cs="Arial"/>
          <w:color w:val="000000"/>
          <w:sz w:val="22"/>
          <w:szCs w:val="22"/>
        </w:rPr>
        <w:t xml:space="preserve">) – </w:t>
      </w:r>
      <w:r w:rsidRPr="00066D40">
        <w:rPr>
          <w:rFonts w:ascii="Arial" w:eastAsia="Calibri" w:hAnsi="Arial" w:cs="Arial"/>
          <w:b/>
          <w:bCs/>
          <w:color w:val="000000"/>
          <w:sz w:val="22"/>
          <w:szCs w:val="22"/>
        </w:rPr>
        <w:t>PA</w:t>
      </w:r>
      <w:r w:rsidRPr="00066D40">
        <w:rPr>
          <w:rFonts w:ascii="Arial" w:eastAsia="Calibri" w:hAnsi="Arial" w:cs="Arial"/>
          <w:color w:val="000000"/>
          <w:sz w:val="22"/>
          <w:szCs w:val="22"/>
        </w:rPr>
        <w:t xml:space="preserve"> </w:t>
      </w:r>
    </w:p>
    <w:p w14:paraId="598F89AB"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Ojemda</w:t>
      </w:r>
      <w:proofErr w:type="spellEnd"/>
      <w:r w:rsidRPr="00066D40">
        <w:rPr>
          <w:rFonts w:ascii="Arial" w:eastAsia="Calibri" w:hAnsi="Arial" w:cs="Arial"/>
          <w:color w:val="000000"/>
          <w:sz w:val="22"/>
          <w:szCs w:val="22"/>
        </w:rPr>
        <w:t xml:space="preserve"> (</w:t>
      </w:r>
      <w:proofErr w:type="spellStart"/>
      <w:r w:rsidRPr="00066D40">
        <w:rPr>
          <w:rFonts w:ascii="Arial" w:eastAsia="Calibri" w:hAnsi="Arial" w:cs="Arial"/>
          <w:color w:val="000000"/>
          <w:sz w:val="22"/>
          <w:szCs w:val="22"/>
        </w:rPr>
        <w:t>tovorafenib</w:t>
      </w:r>
      <w:proofErr w:type="spellEnd"/>
      <w:r w:rsidRPr="00066D40">
        <w:rPr>
          <w:rFonts w:ascii="Arial" w:eastAsia="Calibri" w:hAnsi="Arial" w:cs="Arial"/>
          <w:color w:val="000000"/>
          <w:sz w:val="22"/>
          <w:szCs w:val="22"/>
        </w:rPr>
        <w:t>) –</w:t>
      </w:r>
      <w:r w:rsidRPr="00066D40">
        <w:rPr>
          <w:rFonts w:ascii="Arial" w:eastAsia="Calibri" w:hAnsi="Arial" w:cs="Arial"/>
          <w:b/>
          <w:bCs/>
          <w:color w:val="000000"/>
          <w:sz w:val="22"/>
          <w:szCs w:val="22"/>
        </w:rPr>
        <w:t xml:space="preserve"> PA</w:t>
      </w:r>
    </w:p>
    <w:p w14:paraId="72A15B6E"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r w:rsidRPr="00066D40">
        <w:rPr>
          <w:rFonts w:ascii="Arial" w:eastAsia="Calibri" w:hAnsi="Arial" w:cs="Arial"/>
          <w:color w:val="000000"/>
          <w:sz w:val="22"/>
          <w:szCs w:val="22"/>
        </w:rPr>
        <w:t xml:space="preserve">Onyda XR (clonidine extended-release suspension) – </w:t>
      </w:r>
      <w:r w:rsidRPr="00066D40">
        <w:rPr>
          <w:rFonts w:ascii="Arial" w:eastAsia="Calibri" w:hAnsi="Arial" w:cs="Arial"/>
          <w:b/>
          <w:bCs/>
          <w:color w:val="000000"/>
          <w:sz w:val="22"/>
          <w:szCs w:val="22"/>
        </w:rPr>
        <w:t>PA</w:t>
      </w:r>
    </w:p>
    <w:p w14:paraId="333D83E5"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Rinvoq</w:t>
      </w:r>
      <w:proofErr w:type="spellEnd"/>
      <w:r w:rsidRPr="00066D40">
        <w:rPr>
          <w:rFonts w:ascii="Arial" w:eastAsia="Calibri" w:hAnsi="Arial" w:cs="Arial"/>
          <w:color w:val="000000"/>
          <w:sz w:val="22"/>
          <w:szCs w:val="22"/>
        </w:rPr>
        <w:t xml:space="preserve"> LQ (</w:t>
      </w:r>
      <w:proofErr w:type="spellStart"/>
      <w:r w:rsidRPr="00066D40">
        <w:rPr>
          <w:rFonts w:ascii="Arial" w:eastAsia="Calibri" w:hAnsi="Arial" w:cs="Arial"/>
          <w:color w:val="000000"/>
          <w:sz w:val="22"/>
          <w:szCs w:val="22"/>
        </w:rPr>
        <w:t>upadacitinib</w:t>
      </w:r>
      <w:proofErr w:type="spellEnd"/>
      <w:r w:rsidRPr="00066D40">
        <w:rPr>
          <w:rFonts w:ascii="Arial" w:eastAsia="Calibri" w:hAnsi="Arial" w:cs="Arial"/>
          <w:color w:val="000000"/>
          <w:sz w:val="22"/>
          <w:szCs w:val="22"/>
        </w:rPr>
        <w:t xml:space="preserve"> solution) – </w:t>
      </w:r>
      <w:r w:rsidRPr="00066D40">
        <w:rPr>
          <w:rFonts w:ascii="Arial" w:eastAsia="Calibri" w:hAnsi="Arial" w:cs="Arial"/>
          <w:b/>
          <w:bCs/>
          <w:color w:val="000000"/>
          <w:sz w:val="22"/>
          <w:szCs w:val="22"/>
        </w:rPr>
        <w:t>PA</w:t>
      </w:r>
    </w:p>
    <w:p w14:paraId="59F9C89F"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Rytelo</w:t>
      </w:r>
      <w:proofErr w:type="spellEnd"/>
      <w:r w:rsidRPr="00066D40">
        <w:rPr>
          <w:rFonts w:ascii="Arial" w:eastAsia="Calibri" w:hAnsi="Arial" w:cs="Arial"/>
          <w:color w:val="000000"/>
          <w:sz w:val="22"/>
          <w:szCs w:val="22"/>
        </w:rPr>
        <w:t xml:space="preserve"> (</w:t>
      </w:r>
      <w:proofErr w:type="spellStart"/>
      <w:r w:rsidRPr="00066D40">
        <w:rPr>
          <w:rFonts w:ascii="Arial" w:eastAsia="Calibri" w:hAnsi="Arial" w:cs="Arial"/>
          <w:color w:val="000000"/>
          <w:sz w:val="22"/>
          <w:szCs w:val="22"/>
        </w:rPr>
        <w:t>imetelstat</w:t>
      </w:r>
      <w:proofErr w:type="spellEnd"/>
      <w:r w:rsidRPr="00066D40">
        <w:rPr>
          <w:rFonts w:ascii="Arial" w:eastAsia="Calibri" w:hAnsi="Arial" w:cs="Arial"/>
          <w:color w:val="000000"/>
          <w:sz w:val="22"/>
          <w:szCs w:val="22"/>
        </w:rPr>
        <w:t xml:space="preserve">) – </w:t>
      </w:r>
      <w:r w:rsidRPr="00066D40">
        <w:rPr>
          <w:rFonts w:ascii="Arial" w:eastAsia="Calibri" w:hAnsi="Arial" w:cs="Arial"/>
          <w:b/>
          <w:bCs/>
          <w:color w:val="000000"/>
          <w:sz w:val="22"/>
          <w:szCs w:val="22"/>
        </w:rPr>
        <w:t>PA</w:t>
      </w:r>
      <w:r w:rsidRPr="00066D40">
        <w:rPr>
          <w:rFonts w:ascii="Arial" w:eastAsia="Calibri" w:hAnsi="Arial" w:cs="Arial"/>
          <w:color w:val="000000"/>
          <w:sz w:val="22"/>
          <w:szCs w:val="22"/>
        </w:rPr>
        <w:t>; MB</w:t>
      </w:r>
    </w:p>
    <w:p w14:paraId="5E927332"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b/>
          <w:bCs/>
          <w:color w:val="000000"/>
          <w:sz w:val="22"/>
          <w:szCs w:val="22"/>
        </w:rPr>
      </w:pPr>
      <w:proofErr w:type="spellStart"/>
      <w:r w:rsidRPr="00066D40">
        <w:rPr>
          <w:rFonts w:ascii="Arial" w:eastAsia="Calibri" w:hAnsi="Arial" w:cs="Arial"/>
          <w:color w:val="000000"/>
          <w:sz w:val="22"/>
          <w:szCs w:val="22"/>
        </w:rPr>
        <w:t>Sofdra</w:t>
      </w:r>
      <w:proofErr w:type="spellEnd"/>
      <w:r w:rsidRPr="00066D40">
        <w:rPr>
          <w:rFonts w:ascii="Arial" w:eastAsia="Calibri" w:hAnsi="Arial" w:cs="Arial"/>
          <w:color w:val="000000"/>
          <w:sz w:val="22"/>
          <w:szCs w:val="22"/>
        </w:rPr>
        <w:t xml:space="preserve"> (</w:t>
      </w:r>
      <w:proofErr w:type="spellStart"/>
      <w:r w:rsidRPr="00066D40">
        <w:rPr>
          <w:rFonts w:ascii="Arial" w:eastAsia="Calibri" w:hAnsi="Arial" w:cs="Arial"/>
          <w:color w:val="000000"/>
          <w:sz w:val="22"/>
          <w:szCs w:val="22"/>
        </w:rPr>
        <w:t>sofpironium</w:t>
      </w:r>
      <w:proofErr w:type="spellEnd"/>
      <w:r w:rsidRPr="00066D40">
        <w:rPr>
          <w:rFonts w:ascii="Arial" w:eastAsia="Calibri" w:hAnsi="Arial" w:cs="Arial"/>
          <w:color w:val="000000"/>
          <w:sz w:val="22"/>
          <w:szCs w:val="22"/>
        </w:rPr>
        <w:t xml:space="preserve">) – </w:t>
      </w:r>
      <w:r w:rsidRPr="00066D40">
        <w:rPr>
          <w:rFonts w:ascii="Arial" w:eastAsia="Calibri" w:hAnsi="Arial" w:cs="Arial"/>
          <w:b/>
          <w:bCs/>
          <w:color w:val="000000"/>
          <w:sz w:val="22"/>
          <w:szCs w:val="22"/>
        </w:rPr>
        <w:t>PA</w:t>
      </w:r>
    </w:p>
    <w:p w14:paraId="335A3389"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Sovuna</w:t>
      </w:r>
      <w:proofErr w:type="spellEnd"/>
      <w:r w:rsidRPr="00066D40">
        <w:rPr>
          <w:rFonts w:ascii="Arial" w:eastAsia="Calibri" w:hAnsi="Arial" w:cs="Arial"/>
          <w:color w:val="000000"/>
          <w:sz w:val="22"/>
          <w:szCs w:val="22"/>
        </w:rPr>
        <w:t xml:space="preserve"> (hydroxychloroquine) – </w:t>
      </w:r>
      <w:r w:rsidRPr="00066D40">
        <w:rPr>
          <w:rFonts w:ascii="Arial" w:eastAsia="Calibri" w:hAnsi="Arial" w:cs="Arial"/>
          <w:b/>
          <w:bCs/>
          <w:color w:val="000000"/>
          <w:sz w:val="22"/>
          <w:szCs w:val="22"/>
        </w:rPr>
        <w:t>PA</w:t>
      </w:r>
      <w:r w:rsidRPr="00066D40">
        <w:rPr>
          <w:rFonts w:ascii="Arial" w:eastAsia="Calibri" w:hAnsi="Arial" w:cs="Arial"/>
          <w:color w:val="000000"/>
          <w:sz w:val="22"/>
          <w:szCs w:val="22"/>
        </w:rPr>
        <w:t xml:space="preserve"> </w:t>
      </w:r>
    </w:p>
    <w:p w14:paraId="2677D79A"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Tevimbra</w:t>
      </w:r>
      <w:proofErr w:type="spellEnd"/>
      <w:r w:rsidRPr="00066D40">
        <w:rPr>
          <w:rFonts w:ascii="Arial" w:eastAsia="Calibri" w:hAnsi="Arial" w:cs="Arial"/>
          <w:color w:val="000000"/>
          <w:sz w:val="22"/>
          <w:szCs w:val="22"/>
        </w:rPr>
        <w:t xml:space="preserve"> (tislelizumab-</w:t>
      </w:r>
      <w:proofErr w:type="spellStart"/>
      <w:r w:rsidRPr="00066D40">
        <w:rPr>
          <w:rFonts w:ascii="Arial" w:eastAsia="Calibri" w:hAnsi="Arial" w:cs="Arial"/>
          <w:color w:val="000000"/>
          <w:sz w:val="22"/>
          <w:szCs w:val="22"/>
        </w:rPr>
        <w:t>jsgr</w:t>
      </w:r>
      <w:proofErr w:type="spellEnd"/>
      <w:r w:rsidRPr="00066D40">
        <w:rPr>
          <w:rFonts w:ascii="Arial" w:eastAsia="Calibri" w:hAnsi="Arial" w:cs="Arial"/>
          <w:color w:val="000000"/>
          <w:sz w:val="22"/>
          <w:szCs w:val="22"/>
        </w:rPr>
        <w:t xml:space="preserve">) – </w:t>
      </w:r>
      <w:r w:rsidRPr="00066D40">
        <w:rPr>
          <w:rFonts w:ascii="Arial" w:eastAsia="Calibri" w:hAnsi="Arial" w:cs="Arial"/>
          <w:b/>
          <w:bCs/>
          <w:color w:val="000000"/>
          <w:sz w:val="22"/>
          <w:szCs w:val="22"/>
        </w:rPr>
        <w:t>PA</w:t>
      </w:r>
      <w:r w:rsidRPr="00066D40">
        <w:rPr>
          <w:rFonts w:ascii="Arial" w:eastAsia="Calibri" w:hAnsi="Arial" w:cs="Arial"/>
          <w:color w:val="000000"/>
          <w:sz w:val="22"/>
          <w:szCs w:val="22"/>
        </w:rPr>
        <w:t>; MB</w:t>
      </w:r>
    </w:p>
    <w:p w14:paraId="5E96F7B3"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Tofidence</w:t>
      </w:r>
      <w:proofErr w:type="spellEnd"/>
      <w:r w:rsidRPr="00066D40">
        <w:rPr>
          <w:rFonts w:ascii="Arial" w:eastAsia="Calibri" w:hAnsi="Arial" w:cs="Arial"/>
          <w:color w:val="000000"/>
          <w:sz w:val="22"/>
          <w:szCs w:val="22"/>
        </w:rPr>
        <w:t xml:space="preserve"> (tocilizumab-</w:t>
      </w:r>
      <w:proofErr w:type="spellStart"/>
      <w:r w:rsidRPr="00066D40">
        <w:rPr>
          <w:rFonts w:ascii="Arial" w:eastAsia="Calibri" w:hAnsi="Arial" w:cs="Arial"/>
          <w:color w:val="000000"/>
          <w:sz w:val="22"/>
          <w:szCs w:val="22"/>
        </w:rPr>
        <w:t>bavi</w:t>
      </w:r>
      <w:proofErr w:type="spellEnd"/>
      <w:r w:rsidRPr="00066D40">
        <w:rPr>
          <w:rFonts w:ascii="Arial" w:eastAsia="Calibri" w:hAnsi="Arial" w:cs="Arial"/>
          <w:color w:val="000000"/>
          <w:sz w:val="22"/>
          <w:szCs w:val="22"/>
        </w:rPr>
        <w:t xml:space="preserve">) – </w:t>
      </w:r>
      <w:r w:rsidRPr="00066D40">
        <w:rPr>
          <w:rFonts w:ascii="Arial" w:eastAsia="Calibri" w:hAnsi="Arial" w:cs="Arial"/>
          <w:b/>
          <w:bCs/>
          <w:color w:val="000000"/>
          <w:sz w:val="22"/>
          <w:szCs w:val="22"/>
        </w:rPr>
        <w:t>PA</w:t>
      </w:r>
      <w:r w:rsidRPr="00066D40">
        <w:rPr>
          <w:rFonts w:ascii="Arial" w:eastAsia="Calibri" w:hAnsi="Arial" w:cs="Arial"/>
          <w:color w:val="000000"/>
          <w:sz w:val="22"/>
          <w:szCs w:val="22"/>
        </w:rPr>
        <w:t xml:space="preserve">; MB </w:t>
      </w:r>
    </w:p>
    <w:p w14:paraId="60A9762D"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Tyenne</w:t>
      </w:r>
      <w:proofErr w:type="spellEnd"/>
      <w:r w:rsidRPr="00066D40">
        <w:rPr>
          <w:rFonts w:ascii="Arial" w:eastAsia="Calibri" w:hAnsi="Arial" w:cs="Arial"/>
          <w:color w:val="000000"/>
          <w:sz w:val="22"/>
          <w:szCs w:val="22"/>
        </w:rPr>
        <w:t xml:space="preserve"> (tocilizumab-</w:t>
      </w:r>
      <w:proofErr w:type="spellStart"/>
      <w:r w:rsidRPr="00066D40">
        <w:rPr>
          <w:rFonts w:ascii="Arial" w:eastAsia="Calibri" w:hAnsi="Arial" w:cs="Arial"/>
          <w:color w:val="000000"/>
          <w:sz w:val="22"/>
          <w:szCs w:val="22"/>
        </w:rPr>
        <w:t>aazg</w:t>
      </w:r>
      <w:proofErr w:type="spellEnd"/>
      <w:r w:rsidRPr="00066D40">
        <w:rPr>
          <w:rFonts w:ascii="Arial" w:eastAsia="Calibri" w:hAnsi="Arial" w:cs="Arial"/>
          <w:color w:val="000000"/>
          <w:sz w:val="22"/>
          <w:szCs w:val="22"/>
        </w:rPr>
        <w:t xml:space="preserve"> auto-injection, prefilled syringe) – </w:t>
      </w:r>
      <w:r w:rsidRPr="00066D40">
        <w:rPr>
          <w:rFonts w:ascii="Arial" w:eastAsia="Calibri" w:hAnsi="Arial" w:cs="Arial"/>
          <w:b/>
          <w:bCs/>
          <w:color w:val="000000"/>
          <w:sz w:val="22"/>
          <w:szCs w:val="22"/>
        </w:rPr>
        <w:t>PA</w:t>
      </w:r>
    </w:p>
    <w:p w14:paraId="6027889E"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Tyenne</w:t>
      </w:r>
      <w:proofErr w:type="spellEnd"/>
      <w:r w:rsidRPr="00066D40">
        <w:rPr>
          <w:rFonts w:ascii="Arial" w:eastAsia="Calibri" w:hAnsi="Arial" w:cs="Arial"/>
          <w:color w:val="000000"/>
          <w:sz w:val="22"/>
          <w:szCs w:val="22"/>
        </w:rPr>
        <w:t xml:space="preserve"> (tocilizumab-</w:t>
      </w:r>
      <w:proofErr w:type="spellStart"/>
      <w:r w:rsidRPr="00066D40">
        <w:rPr>
          <w:rFonts w:ascii="Arial" w:eastAsia="Calibri" w:hAnsi="Arial" w:cs="Arial"/>
          <w:color w:val="000000"/>
          <w:sz w:val="22"/>
          <w:szCs w:val="22"/>
        </w:rPr>
        <w:t>aazg</w:t>
      </w:r>
      <w:proofErr w:type="spellEnd"/>
      <w:r w:rsidRPr="00066D40">
        <w:rPr>
          <w:rFonts w:ascii="Arial" w:eastAsia="Calibri" w:hAnsi="Arial" w:cs="Arial"/>
          <w:color w:val="000000"/>
          <w:sz w:val="22"/>
          <w:szCs w:val="22"/>
        </w:rPr>
        <w:t xml:space="preserve"> vial) – </w:t>
      </w:r>
      <w:r w:rsidRPr="00066D40">
        <w:rPr>
          <w:rFonts w:ascii="Arial" w:eastAsia="Calibri" w:hAnsi="Arial" w:cs="Arial"/>
          <w:b/>
          <w:bCs/>
          <w:color w:val="000000"/>
          <w:sz w:val="22"/>
          <w:szCs w:val="22"/>
        </w:rPr>
        <w:t>PA</w:t>
      </w:r>
      <w:r w:rsidRPr="00066D40">
        <w:rPr>
          <w:rFonts w:ascii="Arial" w:eastAsia="Calibri" w:hAnsi="Arial" w:cs="Arial"/>
          <w:color w:val="000000"/>
          <w:sz w:val="22"/>
          <w:szCs w:val="22"/>
        </w:rPr>
        <w:t>; MB</w:t>
      </w:r>
    </w:p>
    <w:p w14:paraId="67B1014B"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Vigafyde</w:t>
      </w:r>
      <w:proofErr w:type="spellEnd"/>
      <w:r w:rsidRPr="00066D40">
        <w:rPr>
          <w:rFonts w:ascii="Arial" w:eastAsia="Calibri" w:hAnsi="Arial" w:cs="Arial"/>
          <w:color w:val="000000"/>
          <w:sz w:val="22"/>
          <w:szCs w:val="22"/>
        </w:rPr>
        <w:t xml:space="preserve"> (vigabatrin solution) – </w:t>
      </w:r>
      <w:r w:rsidRPr="00066D40">
        <w:rPr>
          <w:rFonts w:ascii="Arial" w:eastAsia="Calibri" w:hAnsi="Arial" w:cs="Arial"/>
          <w:b/>
          <w:bCs/>
          <w:color w:val="000000"/>
          <w:sz w:val="22"/>
          <w:szCs w:val="22"/>
        </w:rPr>
        <w:t>PA</w:t>
      </w:r>
      <w:r w:rsidRPr="00066D40">
        <w:rPr>
          <w:rFonts w:ascii="Arial" w:eastAsia="Calibri" w:hAnsi="Arial" w:cs="Arial"/>
          <w:color w:val="000000"/>
          <w:sz w:val="22"/>
          <w:szCs w:val="22"/>
        </w:rPr>
        <w:t xml:space="preserve"> </w:t>
      </w:r>
    </w:p>
    <w:p w14:paraId="0C8B89AB" w14:textId="77777777" w:rsidR="00066D40" w:rsidRPr="00066D40" w:rsidRDefault="00066D40" w:rsidP="005E608B">
      <w:pPr>
        <w:numPr>
          <w:ilvl w:val="0"/>
          <w:numId w:val="15"/>
        </w:numPr>
        <w:autoSpaceDE w:val="0"/>
        <w:autoSpaceDN w:val="0"/>
        <w:adjustRightInd w:val="0"/>
        <w:spacing w:line="276" w:lineRule="auto"/>
        <w:rPr>
          <w:rFonts w:ascii="Arial" w:eastAsia="Calibri" w:hAnsi="Arial" w:cs="Arial"/>
          <w:color w:val="000000"/>
          <w:sz w:val="22"/>
          <w:szCs w:val="22"/>
        </w:rPr>
      </w:pPr>
      <w:proofErr w:type="spellStart"/>
      <w:r w:rsidRPr="00066D40">
        <w:rPr>
          <w:rFonts w:ascii="Arial" w:eastAsia="Calibri" w:hAnsi="Arial" w:cs="Arial"/>
          <w:color w:val="000000"/>
          <w:sz w:val="22"/>
          <w:szCs w:val="22"/>
        </w:rPr>
        <w:t>Xolremdi</w:t>
      </w:r>
      <w:proofErr w:type="spellEnd"/>
      <w:r w:rsidRPr="00066D40">
        <w:rPr>
          <w:rFonts w:ascii="Arial" w:eastAsia="Calibri" w:hAnsi="Arial" w:cs="Arial"/>
          <w:color w:val="000000"/>
          <w:sz w:val="22"/>
          <w:szCs w:val="22"/>
        </w:rPr>
        <w:t xml:space="preserve"> (</w:t>
      </w:r>
      <w:proofErr w:type="spellStart"/>
      <w:r w:rsidRPr="00066D40">
        <w:rPr>
          <w:rFonts w:ascii="Arial" w:eastAsia="Calibri" w:hAnsi="Arial" w:cs="Arial"/>
          <w:color w:val="000000"/>
          <w:sz w:val="22"/>
          <w:szCs w:val="22"/>
        </w:rPr>
        <w:t>mavorixafor</w:t>
      </w:r>
      <w:proofErr w:type="spellEnd"/>
      <w:r w:rsidRPr="00066D40">
        <w:rPr>
          <w:rFonts w:ascii="Arial" w:eastAsia="Calibri" w:hAnsi="Arial" w:cs="Arial"/>
          <w:color w:val="000000"/>
          <w:sz w:val="22"/>
          <w:szCs w:val="22"/>
        </w:rPr>
        <w:t xml:space="preserve">) – </w:t>
      </w:r>
      <w:r w:rsidRPr="00066D40">
        <w:rPr>
          <w:rFonts w:ascii="Arial" w:eastAsia="Calibri" w:hAnsi="Arial" w:cs="Arial"/>
          <w:b/>
          <w:bCs/>
          <w:color w:val="000000"/>
          <w:sz w:val="22"/>
          <w:szCs w:val="22"/>
        </w:rPr>
        <w:t>PA</w:t>
      </w:r>
      <w:r w:rsidRPr="00066D40">
        <w:rPr>
          <w:rFonts w:ascii="Arial" w:eastAsia="Calibri" w:hAnsi="Arial" w:cs="Arial"/>
          <w:color w:val="000000"/>
          <w:sz w:val="22"/>
          <w:szCs w:val="22"/>
        </w:rPr>
        <w:t xml:space="preserve"> </w:t>
      </w:r>
    </w:p>
    <w:p w14:paraId="14D3C901" w14:textId="77777777" w:rsidR="00CA42D3" w:rsidRDefault="00CA42D3" w:rsidP="001F1D64">
      <w:pPr>
        <w:pStyle w:val="BodyText1"/>
        <w:spacing w:after="0"/>
        <w:rPr>
          <w:color w:val="auto"/>
          <w:sz w:val="22"/>
          <w:szCs w:val="22"/>
        </w:rPr>
      </w:pPr>
    </w:p>
    <w:p w14:paraId="1695B379" w14:textId="77777777" w:rsidR="007465A9" w:rsidRPr="007465A9" w:rsidRDefault="007465A9" w:rsidP="001F1D64">
      <w:pPr>
        <w:keepNext/>
        <w:keepLines/>
        <w:spacing w:after="120" w:line="276" w:lineRule="auto"/>
        <w:outlineLvl w:val="0"/>
        <w:rPr>
          <w:rFonts w:ascii="Arial" w:eastAsia="Yu Gothic Light" w:hAnsi="Arial"/>
          <w:b/>
          <w:szCs w:val="32"/>
        </w:rPr>
      </w:pPr>
      <w:r w:rsidRPr="007465A9">
        <w:rPr>
          <w:rFonts w:ascii="Arial" w:eastAsia="Yu Gothic Light" w:hAnsi="Arial"/>
          <w:b/>
          <w:szCs w:val="32"/>
        </w:rPr>
        <w:t>Change in Prior Authorization Status</w:t>
      </w:r>
    </w:p>
    <w:p w14:paraId="0812EC2C" w14:textId="77777777" w:rsidR="007465A9" w:rsidRPr="007465A9" w:rsidRDefault="007465A9" w:rsidP="005E608B">
      <w:pPr>
        <w:numPr>
          <w:ilvl w:val="0"/>
          <w:numId w:val="16"/>
        </w:numPr>
        <w:spacing w:line="276" w:lineRule="auto"/>
        <w:contextualSpacing/>
        <w:rPr>
          <w:rFonts w:ascii="Arial" w:eastAsia="Calibri" w:hAnsi="Arial" w:cs="Arial"/>
          <w:sz w:val="22"/>
          <w:szCs w:val="22"/>
        </w:rPr>
      </w:pPr>
      <w:bookmarkStart w:id="1" w:name="_Hlk98931753"/>
      <w:bookmarkStart w:id="2" w:name="_Hlk30086979"/>
      <w:r w:rsidRPr="007465A9">
        <w:rPr>
          <w:rFonts w:ascii="Arial" w:eastAsia="Calibri" w:hAnsi="Arial" w:cs="Arial"/>
          <w:sz w:val="22"/>
          <w:szCs w:val="22"/>
        </w:rPr>
        <w:t xml:space="preserve">Effective January 6, 2025, the following psoriasis agent will require PA. </w:t>
      </w:r>
    </w:p>
    <w:p w14:paraId="58FB04D6" w14:textId="77777777" w:rsidR="007465A9" w:rsidRPr="007465A9" w:rsidRDefault="007465A9" w:rsidP="005E608B">
      <w:pPr>
        <w:numPr>
          <w:ilvl w:val="1"/>
          <w:numId w:val="16"/>
        </w:numPr>
        <w:spacing w:after="160" w:line="276" w:lineRule="auto"/>
        <w:ind w:left="1080"/>
        <w:contextualSpacing/>
        <w:rPr>
          <w:rFonts w:ascii="Arial" w:eastAsia="Calibri" w:hAnsi="Arial" w:cs="Arial"/>
          <w:sz w:val="22"/>
          <w:szCs w:val="22"/>
        </w:rPr>
      </w:pPr>
      <w:proofErr w:type="spellStart"/>
      <w:r w:rsidRPr="007465A9">
        <w:rPr>
          <w:rFonts w:ascii="Arial" w:eastAsia="Calibri" w:hAnsi="Arial" w:cs="Arial"/>
          <w:sz w:val="22"/>
          <w:szCs w:val="22"/>
        </w:rPr>
        <w:t>methoxsalen</w:t>
      </w:r>
      <w:proofErr w:type="spellEnd"/>
      <w:r w:rsidRPr="007465A9">
        <w:rPr>
          <w:rFonts w:ascii="Arial" w:eastAsia="Calibri" w:hAnsi="Arial" w:cs="Arial"/>
          <w:sz w:val="22"/>
          <w:szCs w:val="22"/>
        </w:rPr>
        <w:t xml:space="preserve"> capsule – </w:t>
      </w:r>
      <w:r w:rsidRPr="007465A9">
        <w:rPr>
          <w:rFonts w:ascii="Arial" w:eastAsia="Calibri" w:hAnsi="Arial" w:cs="Arial"/>
          <w:b/>
          <w:bCs/>
          <w:sz w:val="22"/>
          <w:szCs w:val="22"/>
        </w:rPr>
        <w:t>PA</w:t>
      </w:r>
      <w:r w:rsidRPr="007465A9">
        <w:rPr>
          <w:rFonts w:ascii="Arial" w:eastAsia="Calibri" w:hAnsi="Arial" w:cs="Arial"/>
          <w:sz w:val="22"/>
          <w:szCs w:val="22"/>
        </w:rPr>
        <w:t>; A90</w:t>
      </w:r>
    </w:p>
    <w:p w14:paraId="30F57011" w14:textId="77777777" w:rsidR="007465A9" w:rsidRPr="007465A9" w:rsidRDefault="007465A9" w:rsidP="005E608B">
      <w:pPr>
        <w:numPr>
          <w:ilvl w:val="0"/>
          <w:numId w:val="16"/>
        </w:numPr>
        <w:spacing w:line="276" w:lineRule="auto"/>
        <w:contextualSpacing/>
        <w:rPr>
          <w:rFonts w:ascii="Arial" w:eastAsia="Calibri" w:hAnsi="Arial" w:cs="Arial"/>
          <w:sz w:val="22"/>
          <w:szCs w:val="22"/>
        </w:rPr>
      </w:pPr>
      <w:r w:rsidRPr="007465A9">
        <w:rPr>
          <w:rFonts w:ascii="Arial" w:eastAsia="Calibri" w:hAnsi="Arial" w:cs="Arial"/>
          <w:sz w:val="22"/>
          <w:szCs w:val="22"/>
        </w:rPr>
        <w:t xml:space="preserve">Effective January 6, 2025, the following antidiarrheal agent will no longer require PA. </w:t>
      </w:r>
    </w:p>
    <w:p w14:paraId="52D90C59" w14:textId="77777777" w:rsidR="007465A9" w:rsidRPr="007465A9" w:rsidRDefault="007465A9" w:rsidP="005E608B">
      <w:pPr>
        <w:numPr>
          <w:ilvl w:val="1"/>
          <w:numId w:val="16"/>
        </w:numPr>
        <w:spacing w:after="160" w:line="276" w:lineRule="auto"/>
        <w:ind w:left="1080"/>
        <w:contextualSpacing/>
        <w:rPr>
          <w:rFonts w:ascii="Arial" w:eastAsia="Calibri" w:hAnsi="Arial" w:cs="Arial"/>
          <w:sz w:val="22"/>
          <w:szCs w:val="22"/>
        </w:rPr>
      </w:pPr>
      <w:proofErr w:type="spellStart"/>
      <w:r w:rsidRPr="007465A9">
        <w:rPr>
          <w:rFonts w:ascii="Arial" w:eastAsia="Calibri" w:hAnsi="Arial" w:cs="Arial"/>
          <w:sz w:val="22"/>
          <w:szCs w:val="22"/>
        </w:rPr>
        <w:t>Motofen</w:t>
      </w:r>
      <w:proofErr w:type="spellEnd"/>
      <w:r w:rsidRPr="007465A9">
        <w:rPr>
          <w:rFonts w:ascii="Arial" w:eastAsia="Calibri" w:hAnsi="Arial" w:cs="Arial"/>
          <w:sz w:val="22"/>
          <w:szCs w:val="22"/>
        </w:rPr>
        <w:t xml:space="preserve"> (</w:t>
      </w:r>
      <w:proofErr w:type="spellStart"/>
      <w:r w:rsidRPr="007465A9">
        <w:rPr>
          <w:rFonts w:ascii="Arial" w:eastAsia="Calibri" w:hAnsi="Arial" w:cs="Arial"/>
          <w:sz w:val="22"/>
          <w:szCs w:val="22"/>
        </w:rPr>
        <w:t>difenoxin</w:t>
      </w:r>
      <w:proofErr w:type="spellEnd"/>
      <w:r w:rsidRPr="007465A9">
        <w:rPr>
          <w:rFonts w:ascii="Arial" w:eastAsia="Calibri" w:hAnsi="Arial" w:cs="Arial"/>
          <w:sz w:val="22"/>
          <w:szCs w:val="22"/>
        </w:rPr>
        <w:t>/atropine)</w:t>
      </w:r>
    </w:p>
    <w:p w14:paraId="6BBB99CE" w14:textId="77777777" w:rsidR="007465A9" w:rsidRPr="007465A9" w:rsidRDefault="007465A9" w:rsidP="005E608B">
      <w:pPr>
        <w:numPr>
          <w:ilvl w:val="0"/>
          <w:numId w:val="16"/>
        </w:numPr>
        <w:spacing w:after="160" w:line="276" w:lineRule="auto"/>
        <w:contextualSpacing/>
        <w:rPr>
          <w:rFonts w:ascii="Arial" w:eastAsia="Calibri" w:hAnsi="Arial" w:cs="Arial"/>
          <w:sz w:val="22"/>
          <w:szCs w:val="22"/>
        </w:rPr>
      </w:pPr>
      <w:r w:rsidRPr="007465A9">
        <w:rPr>
          <w:rFonts w:ascii="Arial" w:eastAsia="Calibri" w:hAnsi="Arial" w:cs="Arial"/>
          <w:sz w:val="22"/>
          <w:szCs w:val="22"/>
        </w:rPr>
        <w:t>Effective January 6, 2025, the following thyroid agent will require PA.</w:t>
      </w:r>
    </w:p>
    <w:p w14:paraId="295E7909" w14:textId="2856081E" w:rsidR="001F1D64" w:rsidRDefault="007465A9" w:rsidP="005E608B">
      <w:pPr>
        <w:numPr>
          <w:ilvl w:val="1"/>
          <w:numId w:val="16"/>
        </w:numPr>
        <w:spacing w:line="276" w:lineRule="auto"/>
        <w:ind w:left="1080"/>
        <w:contextualSpacing/>
        <w:rPr>
          <w:rFonts w:ascii="Arial" w:eastAsia="Calibri" w:hAnsi="Arial" w:cs="Arial"/>
          <w:color w:val="000000"/>
          <w:sz w:val="22"/>
          <w:szCs w:val="22"/>
        </w:rPr>
        <w:sectPr w:rsidR="001F1D64" w:rsidSect="00E91925">
          <w:footerReference w:type="default" r:id="rId14"/>
          <w:pgSz w:w="12240" w:h="15840" w:code="1"/>
          <w:pgMar w:top="360" w:right="907" w:bottom="1080" w:left="907" w:header="720" w:footer="576" w:gutter="0"/>
          <w:cols w:sep="1" w:space="720"/>
          <w:docGrid w:linePitch="360"/>
        </w:sectPr>
      </w:pPr>
      <w:proofErr w:type="spellStart"/>
      <w:r w:rsidRPr="007465A9">
        <w:rPr>
          <w:rFonts w:ascii="Arial" w:eastAsia="Calibri" w:hAnsi="Arial" w:cs="Arial"/>
          <w:color w:val="000000"/>
          <w:sz w:val="22"/>
          <w:szCs w:val="22"/>
        </w:rPr>
        <w:t>Tirosint</w:t>
      </w:r>
      <w:proofErr w:type="spellEnd"/>
      <w:r w:rsidRPr="007465A9">
        <w:rPr>
          <w:rFonts w:ascii="Arial" w:eastAsia="Calibri" w:hAnsi="Arial" w:cs="Arial"/>
          <w:color w:val="000000"/>
          <w:sz w:val="22"/>
          <w:szCs w:val="22"/>
        </w:rPr>
        <w:t xml:space="preserve"> (levothyroxine capsule) – </w:t>
      </w:r>
      <w:r w:rsidRPr="007465A9">
        <w:rPr>
          <w:rFonts w:ascii="Arial" w:eastAsia="Calibri" w:hAnsi="Arial" w:cs="Arial"/>
          <w:b/>
          <w:bCs/>
          <w:color w:val="000000"/>
          <w:sz w:val="22"/>
          <w:szCs w:val="22"/>
        </w:rPr>
        <w:t>PA</w:t>
      </w:r>
      <w:r w:rsidRPr="007465A9">
        <w:rPr>
          <w:rFonts w:ascii="Arial" w:eastAsia="Calibri" w:hAnsi="Arial" w:cs="Arial"/>
          <w:color w:val="000000"/>
          <w:sz w:val="22"/>
          <w:szCs w:val="22"/>
        </w:rPr>
        <w:t>; M90</w:t>
      </w:r>
    </w:p>
    <w:p w14:paraId="39755F86" w14:textId="77777777" w:rsidR="007465A9" w:rsidRPr="007465A9" w:rsidRDefault="007465A9" w:rsidP="005E608B">
      <w:pPr>
        <w:numPr>
          <w:ilvl w:val="0"/>
          <w:numId w:val="16"/>
        </w:numPr>
        <w:spacing w:line="276" w:lineRule="auto"/>
        <w:contextualSpacing/>
        <w:rPr>
          <w:rFonts w:ascii="Arial" w:eastAsia="Calibri" w:hAnsi="Arial" w:cs="Arial"/>
          <w:sz w:val="22"/>
          <w:szCs w:val="22"/>
        </w:rPr>
      </w:pPr>
      <w:r w:rsidRPr="007465A9">
        <w:rPr>
          <w:rFonts w:ascii="Arial" w:eastAsia="Calibri" w:hAnsi="Arial" w:cs="Arial"/>
          <w:sz w:val="22"/>
          <w:szCs w:val="22"/>
        </w:rPr>
        <w:lastRenderedPageBreak/>
        <w:t xml:space="preserve">Effective January 6, 2025, the following anti-obesity agents will no longer require PA within newly established age limits. </w:t>
      </w:r>
    </w:p>
    <w:p w14:paraId="66DE5D5C" w14:textId="77777777" w:rsidR="007465A9" w:rsidRPr="007465A9" w:rsidRDefault="007465A9" w:rsidP="005E608B">
      <w:pPr>
        <w:numPr>
          <w:ilvl w:val="1"/>
          <w:numId w:val="16"/>
        </w:numPr>
        <w:spacing w:after="160" w:line="276" w:lineRule="auto"/>
        <w:ind w:left="1080"/>
        <w:contextualSpacing/>
        <w:rPr>
          <w:rFonts w:ascii="Arial" w:eastAsia="Calibri" w:hAnsi="Arial" w:cs="Arial"/>
          <w:sz w:val="22"/>
          <w:szCs w:val="22"/>
        </w:rPr>
      </w:pPr>
      <w:proofErr w:type="spellStart"/>
      <w:r w:rsidRPr="007465A9">
        <w:rPr>
          <w:rFonts w:ascii="Arial" w:eastAsia="Calibri" w:hAnsi="Arial" w:cs="Arial"/>
          <w:sz w:val="22"/>
          <w:szCs w:val="22"/>
        </w:rPr>
        <w:t>Adipex</w:t>
      </w:r>
      <w:proofErr w:type="spellEnd"/>
      <w:r w:rsidRPr="007465A9">
        <w:rPr>
          <w:rFonts w:ascii="Arial" w:eastAsia="Calibri" w:hAnsi="Arial" w:cs="Arial"/>
          <w:sz w:val="22"/>
          <w:szCs w:val="22"/>
        </w:rPr>
        <w:t xml:space="preserve">-P (phentermine 37.5 mg capsule, tablet) – </w:t>
      </w:r>
      <w:r w:rsidRPr="007465A9">
        <w:rPr>
          <w:rFonts w:ascii="Arial" w:eastAsia="Calibri" w:hAnsi="Arial" w:cs="Arial"/>
          <w:b/>
          <w:bCs/>
          <w:sz w:val="22"/>
          <w:szCs w:val="22"/>
        </w:rPr>
        <w:t>PA &lt; 12 years</w:t>
      </w:r>
      <w:r w:rsidRPr="007465A9">
        <w:rPr>
          <w:rFonts w:ascii="Arial" w:eastAsia="Calibri" w:hAnsi="Arial" w:cs="Arial"/>
          <w:sz w:val="22"/>
          <w:szCs w:val="22"/>
        </w:rPr>
        <w:t xml:space="preserve">; # </w:t>
      </w:r>
    </w:p>
    <w:p w14:paraId="7BB08FC6" w14:textId="77777777" w:rsidR="007465A9" w:rsidRPr="007465A9" w:rsidRDefault="007465A9" w:rsidP="005E608B">
      <w:pPr>
        <w:numPr>
          <w:ilvl w:val="1"/>
          <w:numId w:val="16"/>
        </w:numPr>
        <w:spacing w:after="160" w:line="276" w:lineRule="auto"/>
        <w:ind w:left="1080"/>
        <w:contextualSpacing/>
        <w:rPr>
          <w:rFonts w:ascii="Arial" w:eastAsia="Calibri" w:hAnsi="Arial" w:cs="Arial"/>
          <w:sz w:val="22"/>
          <w:szCs w:val="22"/>
        </w:rPr>
      </w:pPr>
      <w:proofErr w:type="spellStart"/>
      <w:r w:rsidRPr="007465A9">
        <w:rPr>
          <w:rFonts w:ascii="Arial" w:eastAsia="Calibri" w:hAnsi="Arial" w:cs="Arial"/>
          <w:sz w:val="22"/>
          <w:szCs w:val="22"/>
        </w:rPr>
        <w:t>Lomaira</w:t>
      </w:r>
      <w:proofErr w:type="spellEnd"/>
      <w:r w:rsidRPr="007465A9">
        <w:rPr>
          <w:rFonts w:ascii="Arial" w:eastAsia="Calibri" w:hAnsi="Arial" w:cs="Arial"/>
          <w:sz w:val="22"/>
          <w:szCs w:val="22"/>
        </w:rPr>
        <w:t xml:space="preserve"> (phentermine 8 mg tablet) – </w:t>
      </w:r>
      <w:r w:rsidRPr="007465A9">
        <w:rPr>
          <w:rFonts w:ascii="Arial" w:eastAsia="Calibri" w:hAnsi="Arial" w:cs="Arial"/>
          <w:b/>
          <w:bCs/>
          <w:sz w:val="22"/>
          <w:szCs w:val="22"/>
        </w:rPr>
        <w:t>PA &lt; 12 years or ≥ 18 years</w:t>
      </w:r>
    </w:p>
    <w:p w14:paraId="3F889AB6" w14:textId="77777777" w:rsidR="007465A9" w:rsidRPr="001F1D64" w:rsidRDefault="007465A9" w:rsidP="005E608B">
      <w:pPr>
        <w:numPr>
          <w:ilvl w:val="1"/>
          <w:numId w:val="16"/>
        </w:numPr>
        <w:spacing w:line="276" w:lineRule="auto"/>
        <w:ind w:left="1080"/>
        <w:contextualSpacing/>
        <w:rPr>
          <w:rFonts w:ascii="Arial" w:eastAsia="Calibri" w:hAnsi="Arial" w:cs="Arial"/>
          <w:sz w:val="22"/>
          <w:szCs w:val="22"/>
        </w:rPr>
      </w:pPr>
      <w:r w:rsidRPr="007465A9">
        <w:rPr>
          <w:rFonts w:ascii="Arial" w:eastAsia="Calibri" w:hAnsi="Arial" w:cs="Arial"/>
          <w:sz w:val="22"/>
          <w:szCs w:val="22"/>
        </w:rPr>
        <w:t xml:space="preserve">phentermine 15 mg, 30 mg capsule – </w:t>
      </w:r>
      <w:r w:rsidRPr="007465A9">
        <w:rPr>
          <w:rFonts w:ascii="Arial" w:eastAsia="Calibri" w:hAnsi="Arial" w:cs="Arial"/>
          <w:b/>
          <w:bCs/>
          <w:sz w:val="22"/>
          <w:szCs w:val="22"/>
        </w:rPr>
        <w:t>PA &lt; 12 years</w:t>
      </w:r>
      <w:bookmarkEnd w:id="1"/>
      <w:bookmarkEnd w:id="2"/>
    </w:p>
    <w:p w14:paraId="5C0716FF" w14:textId="77777777" w:rsidR="001F1D64" w:rsidRPr="007465A9" w:rsidRDefault="001F1D64" w:rsidP="001F1D64">
      <w:pPr>
        <w:spacing w:line="276" w:lineRule="auto"/>
        <w:ind w:left="1080"/>
        <w:contextualSpacing/>
        <w:rPr>
          <w:rFonts w:ascii="Arial" w:eastAsia="Calibri" w:hAnsi="Arial" w:cs="Arial"/>
          <w:sz w:val="22"/>
          <w:szCs w:val="22"/>
        </w:rPr>
      </w:pPr>
    </w:p>
    <w:p w14:paraId="4016E1E5" w14:textId="77777777" w:rsidR="00551597" w:rsidRPr="00551597" w:rsidRDefault="00551597" w:rsidP="001F1D64">
      <w:pPr>
        <w:keepNext/>
        <w:keepLines/>
        <w:spacing w:after="120" w:line="276" w:lineRule="auto"/>
        <w:outlineLvl w:val="0"/>
        <w:rPr>
          <w:rFonts w:ascii="Arial" w:eastAsia="Yu Gothic Light" w:hAnsi="Arial"/>
          <w:b/>
          <w:szCs w:val="32"/>
        </w:rPr>
      </w:pPr>
      <w:r w:rsidRPr="00551597">
        <w:rPr>
          <w:rFonts w:ascii="Arial" w:eastAsia="Yu Gothic Light" w:hAnsi="Arial"/>
          <w:b/>
          <w:szCs w:val="32"/>
        </w:rPr>
        <w:t>Updated MassHealth Brand Name Preferred Over Generic Drug List</w:t>
      </w:r>
    </w:p>
    <w:p w14:paraId="48E4F1C5" w14:textId="77777777" w:rsidR="00551597" w:rsidRPr="00551597" w:rsidRDefault="00551597" w:rsidP="005E608B">
      <w:pPr>
        <w:spacing w:line="276" w:lineRule="auto"/>
        <w:rPr>
          <w:rFonts w:ascii="Arial" w:eastAsia="Calibri" w:hAnsi="Arial" w:cs="Arial"/>
          <w:sz w:val="22"/>
          <w:szCs w:val="21"/>
        </w:rPr>
      </w:pPr>
      <w:r w:rsidRPr="00551597">
        <w:rPr>
          <w:rFonts w:ascii="Arial" w:eastAsia="Calibri" w:hAnsi="Arial" w:cs="Arial"/>
          <w:sz w:val="21"/>
          <w:szCs w:val="21"/>
        </w:rPr>
        <w:t xml:space="preserve">The </w:t>
      </w:r>
      <w:r w:rsidRPr="00551597">
        <w:rPr>
          <w:rFonts w:ascii="Arial" w:eastAsia="Calibri" w:hAnsi="Arial" w:cs="Arial"/>
          <w:sz w:val="22"/>
          <w:szCs w:val="21"/>
        </w:rPr>
        <w:t>MassHealth Brand Name Preferred Over Generic Drug List has been updated to reflect recent changes to the MassHealth Drug List.</w:t>
      </w:r>
    </w:p>
    <w:p w14:paraId="121BFBC5" w14:textId="77777777" w:rsidR="00551597" w:rsidRPr="00551597" w:rsidRDefault="00551597" w:rsidP="005E608B">
      <w:pPr>
        <w:numPr>
          <w:ilvl w:val="0"/>
          <w:numId w:val="17"/>
        </w:numPr>
        <w:autoSpaceDE w:val="0"/>
        <w:autoSpaceDN w:val="0"/>
        <w:adjustRightInd w:val="0"/>
        <w:spacing w:line="276" w:lineRule="auto"/>
        <w:rPr>
          <w:rFonts w:ascii="Arial" w:eastAsia="Calibri" w:hAnsi="Arial" w:cs="Arial"/>
          <w:color w:val="000000"/>
          <w:sz w:val="22"/>
          <w:szCs w:val="21"/>
        </w:rPr>
      </w:pPr>
      <w:r w:rsidRPr="00551597">
        <w:rPr>
          <w:rFonts w:ascii="Arial" w:eastAsia="Calibri" w:hAnsi="Arial" w:cs="Arial"/>
          <w:color w:val="000000"/>
          <w:sz w:val="22"/>
          <w:szCs w:val="21"/>
        </w:rPr>
        <w:t xml:space="preserve">Effective </w:t>
      </w:r>
      <w:r w:rsidRPr="00551597">
        <w:rPr>
          <w:rFonts w:ascii="Arial" w:eastAsia="Calibri" w:hAnsi="Arial" w:cs="Arial"/>
          <w:color w:val="000000"/>
          <w:sz w:val="22"/>
          <w:szCs w:val="22"/>
        </w:rPr>
        <w:t xml:space="preserve">January 6, 2025, </w:t>
      </w:r>
      <w:r w:rsidRPr="00551597">
        <w:rPr>
          <w:rFonts w:ascii="Arial" w:eastAsia="Calibri" w:hAnsi="Arial" w:cs="Arial"/>
          <w:color w:val="000000"/>
          <w:sz w:val="22"/>
          <w:szCs w:val="21"/>
        </w:rPr>
        <w:t xml:space="preserve">the following agents will be added to the MassHealth Brand Name Preferred Over Generic Drug List. </w:t>
      </w:r>
    </w:p>
    <w:p w14:paraId="569668F1" w14:textId="77777777" w:rsidR="00551597" w:rsidRPr="00551597" w:rsidRDefault="00551597" w:rsidP="005E608B">
      <w:pPr>
        <w:numPr>
          <w:ilvl w:val="0"/>
          <w:numId w:val="18"/>
        </w:numPr>
        <w:autoSpaceDE w:val="0"/>
        <w:autoSpaceDN w:val="0"/>
        <w:adjustRightInd w:val="0"/>
        <w:spacing w:line="276" w:lineRule="auto"/>
        <w:rPr>
          <w:rFonts w:ascii="Arial" w:eastAsia="Calibri" w:hAnsi="Arial" w:cs="Arial"/>
          <w:color w:val="000000"/>
          <w:sz w:val="22"/>
          <w:szCs w:val="22"/>
        </w:rPr>
      </w:pPr>
      <w:bookmarkStart w:id="3" w:name="_Hlk11399419"/>
      <w:bookmarkStart w:id="4" w:name="_Hlk527542710"/>
      <w:proofErr w:type="spellStart"/>
      <w:r w:rsidRPr="00551597">
        <w:rPr>
          <w:rFonts w:ascii="Arial" w:eastAsia="Calibri" w:hAnsi="Arial" w:cs="Arial"/>
          <w:color w:val="000000"/>
          <w:sz w:val="22"/>
          <w:szCs w:val="22"/>
        </w:rPr>
        <w:t>Auryxia</w:t>
      </w:r>
      <w:proofErr w:type="spellEnd"/>
      <w:r w:rsidRPr="00551597">
        <w:rPr>
          <w:rFonts w:ascii="Arial" w:eastAsia="Calibri" w:hAnsi="Arial" w:cs="Arial"/>
          <w:color w:val="000000"/>
          <w:sz w:val="22"/>
          <w:szCs w:val="22"/>
        </w:rPr>
        <w:t xml:space="preserve"> (ferric citrate) – </w:t>
      </w:r>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 BP</w:t>
      </w:r>
    </w:p>
    <w:p w14:paraId="6344BE1D" w14:textId="77777777" w:rsidR="00551597" w:rsidRPr="00551597" w:rsidRDefault="00551597" w:rsidP="005E608B">
      <w:pPr>
        <w:numPr>
          <w:ilvl w:val="0"/>
          <w:numId w:val="18"/>
        </w:numPr>
        <w:autoSpaceDE w:val="0"/>
        <w:autoSpaceDN w:val="0"/>
        <w:adjustRightInd w:val="0"/>
        <w:spacing w:line="276" w:lineRule="auto"/>
        <w:rPr>
          <w:rFonts w:ascii="Arial" w:eastAsia="Calibri" w:hAnsi="Arial" w:cs="Arial"/>
          <w:color w:val="000000"/>
          <w:sz w:val="22"/>
          <w:szCs w:val="22"/>
        </w:rPr>
      </w:pPr>
      <w:proofErr w:type="spellStart"/>
      <w:r w:rsidRPr="00551597">
        <w:rPr>
          <w:rFonts w:ascii="Arial" w:eastAsia="Calibri" w:hAnsi="Arial" w:cs="Arial"/>
          <w:color w:val="000000"/>
          <w:sz w:val="22"/>
          <w:szCs w:val="22"/>
        </w:rPr>
        <w:t>Fycompa</w:t>
      </w:r>
      <w:proofErr w:type="spellEnd"/>
      <w:r w:rsidRPr="00551597">
        <w:rPr>
          <w:rFonts w:ascii="Arial" w:eastAsia="Calibri" w:hAnsi="Arial" w:cs="Arial"/>
          <w:color w:val="000000"/>
          <w:sz w:val="22"/>
          <w:szCs w:val="22"/>
        </w:rPr>
        <w:t xml:space="preserve"> (</w:t>
      </w:r>
      <w:proofErr w:type="spellStart"/>
      <w:r w:rsidRPr="00551597">
        <w:rPr>
          <w:rFonts w:ascii="Arial" w:eastAsia="Calibri" w:hAnsi="Arial" w:cs="Arial"/>
          <w:color w:val="000000"/>
          <w:sz w:val="22"/>
          <w:szCs w:val="22"/>
        </w:rPr>
        <w:t>perampanel</w:t>
      </w:r>
      <w:proofErr w:type="spellEnd"/>
      <w:r w:rsidRPr="00551597">
        <w:rPr>
          <w:rFonts w:ascii="Arial" w:eastAsia="Calibri" w:hAnsi="Arial" w:cs="Arial"/>
          <w:color w:val="000000"/>
          <w:sz w:val="22"/>
          <w:szCs w:val="22"/>
        </w:rPr>
        <w:t xml:space="preserve">) – </w:t>
      </w:r>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 BP</w:t>
      </w:r>
    </w:p>
    <w:p w14:paraId="5F3E5332" w14:textId="77777777" w:rsidR="00551597" w:rsidRPr="00551597" w:rsidRDefault="00551597" w:rsidP="005E608B">
      <w:pPr>
        <w:numPr>
          <w:ilvl w:val="0"/>
          <w:numId w:val="18"/>
        </w:numPr>
        <w:autoSpaceDE w:val="0"/>
        <w:autoSpaceDN w:val="0"/>
        <w:adjustRightInd w:val="0"/>
        <w:spacing w:line="276" w:lineRule="auto"/>
        <w:rPr>
          <w:rFonts w:ascii="Arial" w:eastAsia="Calibri" w:hAnsi="Arial" w:cs="Arial"/>
          <w:color w:val="000000"/>
          <w:sz w:val="22"/>
          <w:szCs w:val="22"/>
        </w:rPr>
      </w:pPr>
      <w:bookmarkStart w:id="5" w:name="_Hlk14249184"/>
      <w:bookmarkStart w:id="6" w:name="_Hlk536624120"/>
      <w:bookmarkEnd w:id="3"/>
      <w:bookmarkEnd w:id="4"/>
      <w:proofErr w:type="spellStart"/>
      <w:r w:rsidRPr="00551597">
        <w:rPr>
          <w:rFonts w:ascii="Arial" w:eastAsia="Calibri" w:hAnsi="Arial" w:cs="Arial"/>
          <w:color w:val="000000"/>
          <w:sz w:val="22"/>
          <w:szCs w:val="22"/>
        </w:rPr>
        <w:t>Namzaric</w:t>
      </w:r>
      <w:proofErr w:type="spellEnd"/>
      <w:r w:rsidRPr="00551597">
        <w:rPr>
          <w:rFonts w:ascii="Arial" w:eastAsia="Calibri" w:hAnsi="Arial" w:cs="Arial"/>
          <w:color w:val="000000"/>
          <w:sz w:val="22"/>
          <w:szCs w:val="22"/>
        </w:rPr>
        <w:t xml:space="preserve"> (memantine/donepezil extended-release) – </w:t>
      </w:r>
      <w:proofErr w:type="gramStart"/>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w:t>
      </w:r>
      <w:proofErr w:type="gramEnd"/>
      <w:r w:rsidRPr="00551597">
        <w:rPr>
          <w:rFonts w:ascii="Arial" w:eastAsia="Calibri" w:hAnsi="Arial" w:cs="Arial"/>
          <w:color w:val="000000"/>
          <w:sz w:val="22"/>
          <w:szCs w:val="22"/>
        </w:rPr>
        <w:t xml:space="preserve"> BP</w:t>
      </w:r>
    </w:p>
    <w:p w14:paraId="750A9E3F" w14:textId="77777777" w:rsidR="00551597" w:rsidRPr="00551597" w:rsidRDefault="00551597" w:rsidP="005E608B">
      <w:pPr>
        <w:numPr>
          <w:ilvl w:val="0"/>
          <w:numId w:val="18"/>
        </w:numPr>
        <w:autoSpaceDE w:val="0"/>
        <w:autoSpaceDN w:val="0"/>
        <w:adjustRightInd w:val="0"/>
        <w:spacing w:line="276" w:lineRule="auto"/>
        <w:rPr>
          <w:rFonts w:ascii="Arial" w:eastAsia="Calibri" w:hAnsi="Arial" w:cs="Arial"/>
          <w:color w:val="000000"/>
          <w:sz w:val="22"/>
          <w:szCs w:val="22"/>
        </w:rPr>
      </w:pPr>
      <w:proofErr w:type="spellStart"/>
      <w:r w:rsidRPr="00551597">
        <w:rPr>
          <w:rFonts w:ascii="Arial" w:eastAsia="Calibri" w:hAnsi="Arial" w:cs="Arial"/>
          <w:color w:val="000000"/>
          <w:sz w:val="22"/>
          <w:szCs w:val="22"/>
        </w:rPr>
        <w:t>Ravicti</w:t>
      </w:r>
      <w:proofErr w:type="spellEnd"/>
      <w:r w:rsidRPr="00551597">
        <w:rPr>
          <w:rFonts w:ascii="Arial" w:eastAsia="Calibri" w:hAnsi="Arial" w:cs="Arial"/>
          <w:color w:val="000000"/>
          <w:sz w:val="22"/>
          <w:szCs w:val="22"/>
        </w:rPr>
        <w:t xml:space="preserve"> (glycerol phenylbutyrate) – </w:t>
      </w:r>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 BP</w:t>
      </w:r>
    </w:p>
    <w:p w14:paraId="3365C51B" w14:textId="77777777" w:rsidR="00551597" w:rsidRPr="00551597" w:rsidRDefault="00551597" w:rsidP="005E608B">
      <w:pPr>
        <w:numPr>
          <w:ilvl w:val="0"/>
          <w:numId w:val="18"/>
        </w:numPr>
        <w:autoSpaceDE w:val="0"/>
        <w:autoSpaceDN w:val="0"/>
        <w:adjustRightInd w:val="0"/>
        <w:spacing w:line="276" w:lineRule="auto"/>
        <w:rPr>
          <w:rFonts w:ascii="Arial" w:eastAsia="Calibri" w:hAnsi="Arial" w:cs="Arial"/>
          <w:color w:val="000000"/>
          <w:sz w:val="22"/>
          <w:szCs w:val="22"/>
        </w:rPr>
      </w:pPr>
      <w:proofErr w:type="spellStart"/>
      <w:r w:rsidRPr="00551597">
        <w:rPr>
          <w:rFonts w:ascii="Arial" w:eastAsia="Calibri" w:hAnsi="Arial" w:cs="Arial"/>
          <w:color w:val="000000"/>
          <w:sz w:val="22"/>
          <w:szCs w:val="22"/>
        </w:rPr>
        <w:t>Rytary</w:t>
      </w:r>
      <w:proofErr w:type="spellEnd"/>
      <w:r w:rsidRPr="00551597">
        <w:rPr>
          <w:rFonts w:ascii="Arial" w:eastAsia="Calibri" w:hAnsi="Arial" w:cs="Arial"/>
          <w:color w:val="000000"/>
          <w:sz w:val="22"/>
          <w:szCs w:val="22"/>
        </w:rPr>
        <w:t xml:space="preserve"> (carbidopa/levodopa extended-release capsule) – </w:t>
      </w:r>
      <w:proofErr w:type="gramStart"/>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w:t>
      </w:r>
      <w:proofErr w:type="gramEnd"/>
      <w:r w:rsidRPr="00551597">
        <w:rPr>
          <w:rFonts w:ascii="Arial" w:eastAsia="Calibri" w:hAnsi="Arial" w:cs="Arial"/>
          <w:color w:val="000000"/>
          <w:sz w:val="22"/>
          <w:szCs w:val="22"/>
        </w:rPr>
        <w:t xml:space="preserve"> BP</w:t>
      </w:r>
    </w:p>
    <w:p w14:paraId="62477E24" w14:textId="77777777" w:rsidR="00551597" w:rsidRPr="00551597" w:rsidRDefault="00551597" w:rsidP="005E608B">
      <w:pPr>
        <w:numPr>
          <w:ilvl w:val="0"/>
          <w:numId w:val="18"/>
        </w:numPr>
        <w:autoSpaceDE w:val="0"/>
        <w:autoSpaceDN w:val="0"/>
        <w:adjustRightInd w:val="0"/>
        <w:spacing w:line="276" w:lineRule="auto"/>
        <w:rPr>
          <w:rFonts w:ascii="Arial" w:eastAsia="Calibri" w:hAnsi="Arial" w:cs="Arial"/>
          <w:color w:val="000000"/>
          <w:sz w:val="22"/>
          <w:szCs w:val="22"/>
        </w:rPr>
      </w:pPr>
      <w:proofErr w:type="spellStart"/>
      <w:r w:rsidRPr="00551597">
        <w:rPr>
          <w:rFonts w:ascii="Arial" w:eastAsia="Calibri" w:hAnsi="Arial" w:cs="Arial"/>
          <w:color w:val="000000"/>
          <w:sz w:val="22"/>
          <w:szCs w:val="22"/>
        </w:rPr>
        <w:t>Sancuso</w:t>
      </w:r>
      <w:proofErr w:type="spellEnd"/>
      <w:r w:rsidRPr="00551597">
        <w:rPr>
          <w:rFonts w:ascii="Arial" w:eastAsia="Calibri" w:hAnsi="Arial" w:cs="Arial"/>
          <w:color w:val="000000"/>
          <w:sz w:val="22"/>
          <w:szCs w:val="22"/>
        </w:rPr>
        <w:t xml:space="preserve"> (</w:t>
      </w:r>
      <w:proofErr w:type="spellStart"/>
      <w:r w:rsidRPr="00551597">
        <w:rPr>
          <w:rFonts w:ascii="Arial" w:eastAsia="Calibri" w:hAnsi="Arial" w:cs="Arial"/>
          <w:color w:val="000000"/>
          <w:sz w:val="22"/>
          <w:szCs w:val="22"/>
        </w:rPr>
        <w:t>granisetron</w:t>
      </w:r>
      <w:proofErr w:type="spellEnd"/>
      <w:r w:rsidRPr="00551597">
        <w:rPr>
          <w:rFonts w:ascii="Arial" w:eastAsia="Calibri" w:hAnsi="Arial" w:cs="Arial"/>
          <w:color w:val="000000"/>
          <w:sz w:val="22"/>
          <w:szCs w:val="22"/>
        </w:rPr>
        <w:t xml:space="preserve"> transdermal system) – </w:t>
      </w:r>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 BP</w:t>
      </w:r>
    </w:p>
    <w:p w14:paraId="6BBF030B" w14:textId="77777777" w:rsidR="00551597" w:rsidRPr="00551597" w:rsidRDefault="00551597" w:rsidP="005E608B">
      <w:pPr>
        <w:numPr>
          <w:ilvl w:val="0"/>
          <w:numId w:val="18"/>
        </w:numPr>
        <w:autoSpaceDE w:val="0"/>
        <w:autoSpaceDN w:val="0"/>
        <w:adjustRightInd w:val="0"/>
        <w:spacing w:line="276" w:lineRule="auto"/>
        <w:rPr>
          <w:rFonts w:ascii="Arial" w:eastAsia="Calibri" w:hAnsi="Arial" w:cs="Arial"/>
          <w:color w:val="000000"/>
          <w:sz w:val="22"/>
          <w:szCs w:val="22"/>
        </w:rPr>
      </w:pPr>
      <w:r w:rsidRPr="00551597">
        <w:rPr>
          <w:rFonts w:ascii="Arial" w:eastAsia="Calibri" w:hAnsi="Arial" w:cs="Arial"/>
          <w:color w:val="000000"/>
          <w:sz w:val="22"/>
          <w:szCs w:val="22"/>
        </w:rPr>
        <w:t>Sandostatin LAR (octreotide injectable suspension); BP</w:t>
      </w:r>
    </w:p>
    <w:p w14:paraId="19E4A047" w14:textId="77777777" w:rsidR="00551597" w:rsidRPr="00551597" w:rsidRDefault="00551597" w:rsidP="005E608B">
      <w:pPr>
        <w:numPr>
          <w:ilvl w:val="0"/>
          <w:numId w:val="18"/>
        </w:numPr>
        <w:autoSpaceDE w:val="0"/>
        <w:autoSpaceDN w:val="0"/>
        <w:adjustRightInd w:val="0"/>
        <w:spacing w:line="276" w:lineRule="auto"/>
        <w:rPr>
          <w:rFonts w:ascii="Arial" w:eastAsia="Calibri" w:hAnsi="Arial" w:cs="Arial"/>
          <w:color w:val="000000"/>
          <w:sz w:val="22"/>
          <w:szCs w:val="22"/>
        </w:rPr>
      </w:pPr>
      <w:r w:rsidRPr="00551597">
        <w:rPr>
          <w:rFonts w:ascii="Arial" w:eastAsia="Calibri" w:hAnsi="Arial" w:cs="Arial"/>
          <w:color w:val="000000"/>
          <w:sz w:val="22"/>
          <w:szCs w:val="22"/>
        </w:rPr>
        <w:t>Xarelto (rivaroxaban 10 mg, 15 mg, 20 mg tablet, starter pack); BP</w:t>
      </w:r>
    </w:p>
    <w:p w14:paraId="72E59131" w14:textId="77777777" w:rsidR="00551597" w:rsidRPr="00551597" w:rsidRDefault="00551597" w:rsidP="005E608B">
      <w:pPr>
        <w:numPr>
          <w:ilvl w:val="0"/>
          <w:numId w:val="18"/>
        </w:numPr>
        <w:autoSpaceDE w:val="0"/>
        <w:autoSpaceDN w:val="0"/>
        <w:adjustRightInd w:val="0"/>
        <w:spacing w:line="276" w:lineRule="auto"/>
        <w:rPr>
          <w:rFonts w:ascii="Arial" w:eastAsia="Calibri" w:hAnsi="Arial" w:cs="Arial"/>
          <w:color w:val="000000"/>
          <w:sz w:val="22"/>
          <w:szCs w:val="22"/>
        </w:rPr>
      </w:pPr>
      <w:r w:rsidRPr="00551597">
        <w:rPr>
          <w:rFonts w:ascii="Arial" w:eastAsia="Calibri" w:hAnsi="Arial" w:cs="Arial"/>
          <w:color w:val="000000"/>
          <w:sz w:val="22"/>
          <w:szCs w:val="22"/>
        </w:rPr>
        <w:t xml:space="preserve">Xarelto (rivaroxaban 2.5 mg tablet) – </w:t>
      </w:r>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 BP</w:t>
      </w:r>
    </w:p>
    <w:p w14:paraId="6BFFF6FD" w14:textId="77777777" w:rsidR="00551597" w:rsidRPr="00551597" w:rsidRDefault="00551597" w:rsidP="005E608B">
      <w:pPr>
        <w:numPr>
          <w:ilvl w:val="0"/>
          <w:numId w:val="17"/>
        </w:numPr>
        <w:autoSpaceDE w:val="0"/>
        <w:autoSpaceDN w:val="0"/>
        <w:adjustRightInd w:val="0"/>
        <w:spacing w:line="276" w:lineRule="auto"/>
        <w:rPr>
          <w:rFonts w:ascii="Arial" w:eastAsia="Calibri" w:hAnsi="Arial" w:cs="Arial"/>
          <w:color w:val="000000"/>
          <w:sz w:val="22"/>
          <w:szCs w:val="21"/>
        </w:rPr>
      </w:pPr>
      <w:r w:rsidRPr="00551597">
        <w:rPr>
          <w:rFonts w:ascii="Arial" w:eastAsia="Calibri" w:hAnsi="Arial" w:cs="Arial"/>
          <w:color w:val="000000"/>
          <w:sz w:val="22"/>
          <w:szCs w:val="21"/>
        </w:rPr>
        <w:t xml:space="preserve">Effective </w:t>
      </w:r>
      <w:r w:rsidRPr="00551597">
        <w:rPr>
          <w:rFonts w:ascii="Arial" w:eastAsia="Calibri" w:hAnsi="Arial" w:cs="Arial"/>
          <w:color w:val="000000"/>
          <w:sz w:val="22"/>
          <w:szCs w:val="22"/>
        </w:rPr>
        <w:t xml:space="preserve">January 6, 2025, </w:t>
      </w:r>
      <w:r w:rsidRPr="00551597">
        <w:rPr>
          <w:rFonts w:ascii="Arial" w:eastAsia="Calibri" w:hAnsi="Arial" w:cs="Arial"/>
          <w:color w:val="000000"/>
          <w:sz w:val="22"/>
          <w:szCs w:val="21"/>
        </w:rPr>
        <w:t xml:space="preserve">the following agents will be removed from the MassHealth Brand Name Preferred Over Generic Drug List. </w:t>
      </w:r>
    </w:p>
    <w:bookmarkEnd w:id="5"/>
    <w:p w14:paraId="55B34138" w14:textId="77777777" w:rsidR="00551597" w:rsidRPr="00551597" w:rsidRDefault="00551597" w:rsidP="005E608B">
      <w:pPr>
        <w:numPr>
          <w:ilvl w:val="0"/>
          <w:numId w:val="19"/>
        </w:numPr>
        <w:spacing w:line="276" w:lineRule="auto"/>
        <w:ind w:left="1080"/>
        <w:contextualSpacing/>
        <w:rPr>
          <w:rFonts w:ascii="Arial" w:eastAsia="Calibri" w:hAnsi="Arial" w:cs="Arial"/>
          <w:color w:val="000000"/>
          <w:sz w:val="22"/>
          <w:szCs w:val="22"/>
        </w:rPr>
      </w:pPr>
      <w:r w:rsidRPr="00551597">
        <w:rPr>
          <w:rFonts w:ascii="Arial" w:eastAsia="Calibri" w:hAnsi="Arial" w:cs="Arial"/>
          <w:color w:val="000000"/>
          <w:sz w:val="22"/>
          <w:szCs w:val="22"/>
        </w:rPr>
        <w:t xml:space="preserve">Afinitor (everolimus 2.5 mg, 5 mg, 7.5 mg, 10 mg) – </w:t>
      </w:r>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 A90</w:t>
      </w:r>
    </w:p>
    <w:p w14:paraId="58D9DE2E" w14:textId="77777777" w:rsidR="00551597" w:rsidRPr="00551597" w:rsidRDefault="00551597" w:rsidP="005E608B">
      <w:pPr>
        <w:numPr>
          <w:ilvl w:val="0"/>
          <w:numId w:val="20"/>
        </w:numPr>
        <w:spacing w:after="160" w:line="276" w:lineRule="auto"/>
        <w:contextualSpacing/>
        <w:rPr>
          <w:rFonts w:ascii="Arial" w:eastAsia="Calibri" w:hAnsi="Arial" w:cs="Arial"/>
          <w:color w:val="000000"/>
          <w:sz w:val="22"/>
          <w:szCs w:val="22"/>
        </w:rPr>
      </w:pPr>
      <w:r w:rsidRPr="00551597">
        <w:rPr>
          <w:rFonts w:ascii="Arial" w:eastAsia="Calibri" w:hAnsi="Arial" w:cs="Arial"/>
          <w:color w:val="000000"/>
          <w:sz w:val="22"/>
          <w:szCs w:val="22"/>
        </w:rPr>
        <w:t xml:space="preserve">Focalin XR (dexmethylphenidate extended-release) – </w:t>
      </w:r>
      <w:r w:rsidRPr="00551597">
        <w:rPr>
          <w:rFonts w:ascii="Arial" w:eastAsia="Calibri" w:hAnsi="Arial" w:cs="Arial"/>
          <w:b/>
          <w:bCs/>
          <w:color w:val="000000"/>
          <w:sz w:val="22"/>
          <w:szCs w:val="22"/>
        </w:rPr>
        <w:t>PA &lt; 3 years or ≥ 21 years and PA &gt; 2 units/day</w:t>
      </w:r>
      <w:r w:rsidRPr="00551597">
        <w:rPr>
          <w:rFonts w:ascii="Arial" w:eastAsia="Calibri" w:hAnsi="Arial" w:cs="Arial"/>
          <w:color w:val="000000"/>
          <w:sz w:val="22"/>
          <w:szCs w:val="22"/>
        </w:rPr>
        <w:t xml:space="preserve">; # </w:t>
      </w:r>
    </w:p>
    <w:p w14:paraId="392D6693" w14:textId="77777777" w:rsidR="00551597" w:rsidRPr="00551597" w:rsidRDefault="00551597" w:rsidP="005E608B">
      <w:pPr>
        <w:numPr>
          <w:ilvl w:val="0"/>
          <w:numId w:val="20"/>
        </w:numPr>
        <w:spacing w:after="160" w:line="276" w:lineRule="auto"/>
        <w:contextualSpacing/>
        <w:rPr>
          <w:rFonts w:ascii="Arial" w:eastAsia="Calibri" w:hAnsi="Arial" w:cs="Arial"/>
          <w:color w:val="000000"/>
          <w:sz w:val="22"/>
          <w:szCs w:val="22"/>
        </w:rPr>
      </w:pPr>
      <w:proofErr w:type="spellStart"/>
      <w:r w:rsidRPr="00551597">
        <w:rPr>
          <w:rFonts w:ascii="Arial" w:eastAsia="Calibri" w:hAnsi="Arial" w:cs="Arial"/>
          <w:color w:val="000000"/>
          <w:sz w:val="22"/>
          <w:szCs w:val="22"/>
        </w:rPr>
        <w:t>Gelnique</w:t>
      </w:r>
      <w:proofErr w:type="spellEnd"/>
      <w:r w:rsidRPr="00551597">
        <w:rPr>
          <w:rFonts w:ascii="Arial" w:eastAsia="Calibri" w:hAnsi="Arial" w:cs="Arial"/>
          <w:color w:val="000000"/>
          <w:sz w:val="22"/>
          <w:szCs w:val="22"/>
        </w:rPr>
        <w:t xml:space="preserve"> (oxybutynin gel)</w:t>
      </w:r>
    </w:p>
    <w:p w14:paraId="1DC4E368" w14:textId="77777777" w:rsidR="00551597" w:rsidRPr="00551597" w:rsidRDefault="00551597" w:rsidP="005E608B">
      <w:pPr>
        <w:numPr>
          <w:ilvl w:val="0"/>
          <w:numId w:val="20"/>
        </w:numPr>
        <w:spacing w:after="160" w:line="276" w:lineRule="auto"/>
        <w:contextualSpacing/>
        <w:rPr>
          <w:rFonts w:ascii="Arial" w:eastAsia="Calibri" w:hAnsi="Arial" w:cs="Arial"/>
          <w:color w:val="000000"/>
          <w:sz w:val="22"/>
          <w:szCs w:val="22"/>
        </w:rPr>
      </w:pPr>
      <w:proofErr w:type="spellStart"/>
      <w:r w:rsidRPr="00551597">
        <w:rPr>
          <w:rFonts w:ascii="Arial" w:eastAsia="Calibri" w:hAnsi="Arial" w:cs="Arial"/>
          <w:color w:val="000000"/>
          <w:sz w:val="22"/>
          <w:szCs w:val="22"/>
        </w:rPr>
        <w:t>Kombiglyze</w:t>
      </w:r>
      <w:proofErr w:type="spellEnd"/>
      <w:r w:rsidRPr="00551597">
        <w:rPr>
          <w:rFonts w:ascii="Arial" w:eastAsia="Calibri" w:hAnsi="Arial" w:cs="Arial"/>
          <w:color w:val="000000"/>
          <w:sz w:val="22"/>
          <w:szCs w:val="22"/>
        </w:rPr>
        <w:t xml:space="preserve"> XR (</w:t>
      </w:r>
      <w:proofErr w:type="spellStart"/>
      <w:r w:rsidRPr="00551597">
        <w:rPr>
          <w:rFonts w:ascii="Arial" w:eastAsia="Calibri" w:hAnsi="Arial" w:cs="Arial"/>
          <w:color w:val="000000"/>
          <w:sz w:val="22"/>
          <w:szCs w:val="22"/>
        </w:rPr>
        <w:t>saxagliptin</w:t>
      </w:r>
      <w:proofErr w:type="spellEnd"/>
      <w:r w:rsidRPr="00551597">
        <w:rPr>
          <w:rFonts w:ascii="Arial" w:eastAsia="Calibri" w:hAnsi="Arial" w:cs="Arial"/>
          <w:color w:val="000000"/>
          <w:sz w:val="22"/>
          <w:szCs w:val="22"/>
        </w:rPr>
        <w:t xml:space="preserve">/metformin) – </w:t>
      </w:r>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 M90</w:t>
      </w:r>
    </w:p>
    <w:p w14:paraId="2554C3A1" w14:textId="77777777" w:rsidR="00551597" w:rsidRPr="00551597" w:rsidRDefault="00551597" w:rsidP="005E608B">
      <w:pPr>
        <w:numPr>
          <w:ilvl w:val="0"/>
          <w:numId w:val="20"/>
        </w:numPr>
        <w:spacing w:after="160" w:line="276" w:lineRule="auto"/>
        <w:contextualSpacing/>
        <w:rPr>
          <w:rFonts w:ascii="Arial" w:eastAsia="Calibri" w:hAnsi="Arial" w:cs="Arial"/>
          <w:color w:val="000000"/>
          <w:sz w:val="22"/>
          <w:szCs w:val="22"/>
        </w:rPr>
      </w:pPr>
      <w:proofErr w:type="spellStart"/>
      <w:r w:rsidRPr="00551597">
        <w:rPr>
          <w:rFonts w:ascii="Arial" w:eastAsia="Calibri" w:hAnsi="Arial" w:cs="Arial"/>
          <w:color w:val="000000"/>
          <w:sz w:val="22"/>
          <w:szCs w:val="22"/>
        </w:rPr>
        <w:t>Revatio</w:t>
      </w:r>
      <w:proofErr w:type="spellEnd"/>
      <w:r w:rsidRPr="00551597">
        <w:rPr>
          <w:rFonts w:ascii="Arial" w:eastAsia="Calibri" w:hAnsi="Arial" w:cs="Arial"/>
          <w:color w:val="000000"/>
          <w:sz w:val="22"/>
          <w:szCs w:val="22"/>
        </w:rPr>
        <w:t xml:space="preserve"> (sildenafil oral suspension) – </w:t>
      </w:r>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 A90</w:t>
      </w:r>
    </w:p>
    <w:p w14:paraId="3FE1CFD4" w14:textId="77777777" w:rsidR="00551597" w:rsidRPr="00551597" w:rsidRDefault="00551597" w:rsidP="005E608B">
      <w:pPr>
        <w:numPr>
          <w:ilvl w:val="0"/>
          <w:numId w:val="20"/>
        </w:numPr>
        <w:spacing w:after="160" w:line="276" w:lineRule="auto"/>
        <w:contextualSpacing/>
        <w:rPr>
          <w:rFonts w:ascii="Arial" w:eastAsia="Calibri" w:hAnsi="Arial" w:cs="Arial"/>
          <w:color w:val="000000"/>
          <w:sz w:val="22"/>
          <w:szCs w:val="22"/>
        </w:rPr>
      </w:pPr>
      <w:r w:rsidRPr="00551597">
        <w:rPr>
          <w:rFonts w:ascii="Arial" w:eastAsia="Calibri" w:hAnsi="Arial" w:cs="Arial"/>
          <w:sz w:val="22"/>
          <w:szCs w:val="22"/>
        </w:rPr>
        <w:t>Samsca (tolvaptan</w:t>
      </w:r>
      <w:r w:rsidRPr="00551597">
        <w:rPr>
          <w:rFonts w:ascii="Arial" w:eastAsia="Calibri" w:hAnsi="Arial" w:cs="Arial"/>
          <w:color w:val="000000"/>
          <w:sz w:val="22"/>
          <w:szCs w:val="22"/>
        </w:rPr>
        <w:t xml:space="preserve">) – </w:t>
      </w:r>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 A90</w:t>
      </w:r>
    </w:p>
    <w:bookmarkEnd w:id="6"/>
    <w:p w14:paraId="1EE275FE" w14:textId="77777777" w:rsidR="00551597" w:rsidRDefault="00551597" w:rsidP="005E608B">
      <w:pPr>
        <w:numPr>
          <w:ilvl w:val="0"/>
          <w:numId w:val="20"/>
        </w:numPr>
        <w:spacing w:after="160" w:line="276" w:lineRule="auto"/>
        <w:contextualSpacing/>
        <w:rPr>
          <w:rFonts w:ascii="Arial" w:eastAsia="Calibri" w:hAnsi="Arial" w:cs="Arial"/>
          <w:color w:val="000000"/>
          <w:sz w:val="22"/>
          <w:szCs w:val="22"/>
        </w:rPr>
      </w:pPr>
      <w:proofErr w:type="spellStart"/>
      <w:r w:rsidRPr="00551597">
        <w:rPr>
          <w:rFonts w:ascii="Arial" w:eastAsia="Calibri" w:hAnsi="Arial" w:cs="Arial"/>
          <w:color w:val="000000"/>
          <w:sz w:val="22"/>
          <w:szCs w:val="22"/>
        </w:rPr>
        <w:t>Tirosint</w:t>
      </w:r>
      <w:proofErr w:type="spellEnd"/>
      <w:r w:rsidRPr="00551597">
        <w:rPr>
          <w:rFonts w:ascii="Arial" w:eastAsia="Calibri" w:hAnsi="Arial" w:cs="Arial"/>
          <w:color w:val="000000"/>
          <w:sz w:val="22"/>
          <w:szCs w:val="22"/>
        </w:rPr>
        <w:t xml:space="preserve"> (levothyroxine capsule) – </w:t>
      </w:r>
      <w:r w:rsidRPr="00551597">
        <w:rPr>
          <w:rFonts w:ascii="Arial" w:eastAsia="Calibri" w:hAnsi="Arial" w:cs="Arial"/>
          <w:b/>
          <w:bCs/>
          <w:color w:val="000000"/>
          <w:sz w:val="22"/>
          <w:szCs w:val="22"/>
        </w:rPr>
        <w:t>PA</w:t>
      </w:r>
      <w:r w:rsidRPr="00551597">
        <w:rPr>
          <w:rFonts w:ascii="Arial" w:eastAsia="Calibri" w:hAnsi="Arial" w:cs="Arial"/>
          <w:color w:val="000000"/>
          <w:sz w:val="22"/>
          <w:szCs w:val="22"/>
        </w:rPr>
        <w:t xml:space="preserve">; M90 </w:t>
      </w:r>
    </w:p>
    <w:p w14:paraId="44013D34" w14:textId="6B365832" w:rsidR="00551597" w:rsidRPr="001F1D64" w:rsidRDefault="00551597" w:rsidP="001F1D64">
      <w:pPr>
        <w:numPr>
          <w:ilvl w:val="0"/>
          <w:numId w:val="20"/>
        </w:numPr>
        <w:spacing w:after="120" w:line="276" w:lineRule="auto"/>
        <w:contextualSpacing/>
        <w:rPr>
          <w:rFonts w:ascii="Arial" w:eastAsia="Calibri" w:hAnsi="Arial" w:cs="Arial"/>
          <w:color w:val="000000"/>
          <w:sz w:val="22"/>
          <w:szCs w:val="22"/>
        </w:rPr>
      </w:pPr>
      <w:proofErr w:type="spellStart"/>
      <w:r w:rsidRPr="00551597">
        <w:rPr>
          <w:rFonts w:ascii="Arial" w:eastAsia="Calibri" w:hAnsi="Arial" w:cs="Arial"/>
          <w:sz w:val="22"/>
          <w:szCs w:val="22"/>
        </w:rPr>
        <w:t>Vascepa</w:t>
      </w:r>
      <w:proofErr w:type="spellEnd"/>
      <w:r w:rsidRPr="00551597">
        <w:rPr>
          <w:rFonts w:ascii="Arial" w:eastAsia="Calibri" w:hAnsi="Arial" w:cs="Arial"/>
          <w:sz w:val="22"/>
          <w:szCs w:val="22"/>
        </w:rPr>
        <w:t xml:space="preserve"> (</w:t>
      </w:r>
      <w:proofErr w:type="spellStart"/>
      <w:r w:rsidRPr="00551597">
        <w:rPr>
          <w:rFonts w:ascii="Arial" w:eastAsia="Calibri" w:hAnsi="Arial" w:cs="Arial"/>
          <w:sz w:val="22"/>
          <w:szCs w:val="22"/>
        </w:rPr>
        <w:t>icosapent</w:t>
      </w:r>
      <w:proofErr w:type="spellEnd"/>
      <w:r w:rsidRPr="00551597">
        <w:rPr>
          <w:rFonts w:ascii="Arial" w:eastAsia="Calibri" w:hAnsi="Arial" w:cs="Arial"/>
          <w:sz w:val="22"/>
          <w:szCs w:val="22"/>
        </w:rPr>
        <w:t xml:space="preserve"> ethyl) – </w:t>
      </w:r>
      <w:r w:rsidRPr="00551597">
        <w:rPr>
          <w:rFonts w:ascii="Arial" w:eastAsia="Calibri" w:hAnsi="Arial" w:cs="Arial"/>
          <w:b/>
          <w:bCs/>
          <w:sz w:val="22"/>
          <w:szCs w:val="22"/>
        </w:rPr>
        <w:t>PA</w:t>
      </w:r>
      <w:r w:rsidRPr="00551597">
        <w:rPr>
          <w:rFonts w:ascii="Arial" w:eastAsia="Calibri" w:hAnsi="Arial" w:cs="Arial"/>
          <w:sz w:val="22"/>
          <w:szCs w:val="22"/>
        </w:rPr>
        <w:t>; M90</w:t>
      </w:r>
    </w:p>
    <w:p w14:paraId="30DA5270" w14:textId="77777777" w:rsidR="001F1D64" w:rsidRPr="00426464" w:rsidRDefault="001F1D64" w:rsidP="001F1D64">
      <w:pPr>
        <w:spacing w:after="120" w:line="276" w:lineRule="auto"/>
        <w:ind w:left="1080"/>
        <w:contextualSpacing/>
        <w:rPr>
          <w:rFonts w:ascii="Arial" w:eastAsia="Calibri" w:hAnsi="Arial" w:cs="Arial"/>
          <w:color w:val="000000"/>
          <w:sz w:val="22"/>
          <w:szCs w:val="22"/>
        </w:rPr>
      </w:pPr>
    </w:p>
    <w:p w14:paraId="7DA5D475" w14:textId="77777777" w:rsidR="0008078E" w:rsidRPr="001F1D64" w:rsidRDefault="0008078E" w:rsidP="001F1D64">
      <w:pPr>
        <w:keepNext/>
        <w:keepLines/>
        <w:spacing w:after="120" w:line="276" w:lineRule="auto"/>
        <w:outlineLvl w:val="0"/>
        <w:rPr>
          <w:rFonts w:ascii="Arial" w:eastAsia="Yu Gothic Light" w:hAnsi="Arial"/>
          <w:b/>
          <w:szCs w:val="32"/>
        </w:rPr>
      </w:pPr>
      <w:r w:rsidRPr="001F1D64">
        <w:rPr>
          <w:rFonts w:ascii="Arial" w:eastAsia="Yu Gothic Light" w:hAnsi="Arial"/>
          <w:b/>
          <w:szCs w:val="32"/>
        </w:rPr>
        <w:t>Change in Coverage Status</w:t>
      </w:r>
    </w:p>
    <w:p w14:paraId="5DD47FE4" w14:textId="77777777" w:rsidR="0008078E" w:rsidRPr="0008078E" w:rsidRDefault="0008078E" w:rsidP="005E608B">
      <w:pPr>
        <w:numPr>
          <w:ilvl w:val="0"/>
          <w:numId w:val="22"/>
        </w:numPr>
        <w:spacing w:after="160" w:line="276" w:lineRule="auto"/>
        <w:contextualSpacing/>
        <w:rPr>
          <w:rFonts w:ascii="Arial" w:eastAsia="Calibri" w:hAnsi="Arial" w:cs="Arial"/>
          <w:sz w:val="22"/>
          <w:szCs w:val="22"/>
        </w:rPr>
      </w:pPr>
      <w:r w:rsidRPr="0008078E">
        <w:rPr>
          <w:rFonts w:ascii="Arial" w:eastAsia="Calibri" w:hAnsi="Arial" w:cs="Arial"/>
          <w:sz w:val="22"/>
          <w:szCs w:val="22"/>
        </w:rPr>
        <w:t>Effective January 6, 2025, the following agents will be available through medical billing only and will no longer be available through pharmacy billing.</w:t>
      </w:r>
    </w:p>
    <w:p w14:paraId="3C3B438B" w14:textId="77777777" w:rsidR="0008078E" w:rsidRPr="0008078E" w:rsidRDefault="0008078E" w:rsidP="005E608B">
      <w:pPr>
        <w:numPr>
          <w:ilvl w:val="1"/>
          <w:numId w:val="23"/>
        </w:numPr>
        <w:spacing w:after="160" w:line="276" w:lineRule="auto"/>
        <w:contextualSpacing/>
        <w:rPr>
          <w:rFonts w:ascii="Arial" w:eastAsia="Calibri" w:hAnsi="Arial" w:cs="Arial"/>
          <w:sz w:val="22"/>
          <w:szCs w:val="22"/>
        </w:rPr>
      </w:pPr>
      <w:r w:rsidRPr="0008078E">
        <w:rPr>
          <w:rFonts w:ascii="Arial" w:eastAsia="Calibri" w:hAnsi="Arial" w:cs="Arial"/>
          <w:sz w:val="22"/>
          <w:szCs w:val="22"/>
        </w:rPr>
        <w:t xml:space="preserve">glycopyrrolate injection – </w:t>
      </w:r>
      <w:r w:rsidRPr="0008078E">
        <w:rPr>
          <w:rFonts w:ascii="Arial" w:eastAsia="Calibri" w:hAnsi="Arial" w:cs="Arial"/>
          <w:b/>
          <w:bCs/>
          <w:sz w:val="22"/>
          <w:szCs w:val="22"/>
        </w:rPr>
        <w:t>PA</w:t>
      </w:r>
      <w:r w:rsidRPr="0008078E">
        <w:rPr>
          <w:rFonts w:ascii="Arial" w:eastAsia="Calibri" w:hAnsi="Arial" w:cs="Arial"/>
          <w:sz w:val="22"/>
          <w:szCs w:val="22"/>
        </w:rPr>
        <w:t>; MB</w:t>
      </w:r>
    </w:p>
    <w:p w14:paraId="489AECAF" w14:textId="77777777" w:rsidR="0008078E" w:rsidRPr="0008078E" w:rsidRDefault="0008078E" w:rsidP="005E608B">
      <w:pPr>
        <w:numPr>
          <w:ilvl w:val="0"/>
          <w:numId w:val="23"/>
        </w:numPr>
        <w:spacing w:after="160" w:line="276" w:lineRule="auto"/>
        <w:contextualSpacing/>
        <w:rPr>
          <w:rFonts w:ascii="Arial" w:eastAsia="Calibri" w:hAnsi="Arial" w:cs="Arial"/>
          <w:sz w:val="22"/>
          <w:szCs w:val="22"/>
        </w:rPr>
      </w:pPr>
      <w:r w:rsidRPr="0008078E">
        <w:rPr>
          <w:rFonts w:ascii="Arial" w:eastAsia="Calibri" w:hAnsi="Arial" w:cs="Arial"/>
          <w:sz w:val="22"/>
          <w:szCs w:val="22"/>
        </w:rPr>
        <w:t xml:space="preserve">Effective January 6, 2025, the following agents will no longer be restricted to medical billing. </w:t>
      </w:r>
    </w:p>
    <w:p w14:paraId="7A76D076" w14:textId="77777777" w:rsidR="0008078E" w:rsidRPr="0008078E" w:rsidRDefault="0008078E" w:rsidP="005E608B">
      <w:pPr>
        <w:numPr>
          <w:ilvl w:val="0"/>
          <w:numId w:val="24"/>
        </w:numPr>
        <w:spacing w:after="160" w:line="276" w:lineRule="auto"/>
        <w:contextualSpacing/>
        <w:rPr>
          <w:rFonts w:ascii="Arial" w:eastAsia="Calibri" w:hAnsi="Arial" w:cs="Arial"/>
          <w:sz w:val="22"/>
          <w:szCs w:val="22"/>
        </w:rPr>
      </w:pPr>
      <w:r w:rsidRPr="0008078E">
        <w:rPr>
          <w:rFonts w:ascii="Arial" w:eastAsia="Calibri" w:hAnsi="Arial" w:cs="Arial"/>
          <w:sz w:val="22"/>
          <w:szCs w:val="22"/>
        </w:rPr>
        <w:t>Glassia (alpha-1-proteinase inhibitor, human)</w:t>
      </w:r>
    </w:p>
    <w:p w14:paraId="3B28255F" w14:textId="77777777" w:rsidR="0008078E" w:rsidRPr="0008078E" w:rsidRDefault="0008078E" w:rsidP="005E608B">
      <w:pPr>
        <w:numPr>
          <w:ilvl w:val="0"/>
          <w:numId w:val="24"/>
        </w:numPr>
        <w:spacing w:after="160" w:line="276" w:lineRule="auto"/>
        <w:contextualSpacing/>
        <w:rPr>
          <w:rFonts w:ascii="Arial" w:eastAsia="Calibri" w:hAnsi="Arial" w:cs="Arial"/>
          <w:sz w:val="22"/>
          <w:szCs w:val="22"/>
        </w:rPr>
      </w:pPr>
      <w:proofErr w:type="spellStart"/>
      <w:r w:rsidRPr="0008078E">
        <w:rPr>
          <w:rFonts w:ascii="Arial" w:eastAsia="Calibri" w:hAnsi="Arial" w:cs="Arial"/>
          <w:sz w:val="22"/>
          <w:szCs w:val="22"/>
        </w:rPr>
        <w:t>Prolastin</w:t>
      </w:r>
      <w:proofErr w:type="spellEnd"/>
      <w:r w:rsidRPr="0008078E">
        <w:rPr>
          <w:rFonts w:ascii="Arial" w:eastAsia="Calibri" w:hAnsi="Arial" w:cs="Arial"/>
          <w:sz w:val="22"/>
          <w:szCs w:val="22"/>
        </w:rPr>
        <w:t>-C (alpha-1-proteinase inhibitor, human)</w:t>
      </w:r>
    </w:p>
    <w:p w14:paraId="1B84E6D7" w14:textId="77777777" w:rsidR="001F1D64" w:rsidRDefault="0008078E" w:rsidP="005E608B">
      <w:pPr>
        <w:numPr>
          <w:ilvl w:val="0"/>
          <w:numId w:val="24"/>
        </w:numPr>
        <w:spacing w:after="160" w:line="276" w:lineRule="auto"/>
        <w:contextualSpacing/>
        <w:rPr>
          <w:rFonts w:ascii="Arial" w:eastAsia="Calibri" w:hAnsi="Arial" w:cs="Arial"/>
          <w:b/>
          <w:bCs/>
          <w:sz w:val="22"/>
          <w:szCs w:val="22"/>
        </w:rPr>
        <w:sectPr w:rsidR="001F1D64" w:rsidSect="00E91925">
          <w:footerReference w:type="default" r:id="rId15"/>
          <w:pgSz w:w="12240" w:h="15840" w:code="1"/>
          <w:pgMar w:top="360" w:right="907" w:bottom="1080" w:left="907" w:header="720" w:footer="576" w:gutter="0"/>
          <w:cols w:sep="1" w:space="720"/>
          <w:docGrid w:linePitch="360"/>
        </w:sectPr>
      </w:pPr>
      <w:proofErr w:type="spellStart"/>
      <w:r w:rsidRPr="0008078E">
        <w:rPr>
          <w:rFonts w:ascii="Arial" w:eastAsia="Calibri" w:hAnsi="Arial" w:cs="Arial"/>
          <w:sz w:val="22"/>
          <w:szCs w:val="22"/>
        </w:rPr>
        <w:t>Tepezza</w:t>
      </w:r>
      <w:proofErr w:type="spellEnd"/>
      <w:r w:rsidRPr="0008078E">
        <w:rPr>
          <w:rFonts w:ascii="Arial" w:eastAsia="Calibri" w:hAnsi="Arial" w:cs="Arial"/>
          <w:sz w:val="22"/>
          <w:szCs w:val="22"/>
        </w:rPr>
        <w:t xml:space="preserve"> (teprotumumab-</w:t>
      </w:r>
      <w:proofErr w:type="spellStart"/>
      <w:r w:rsidRPr="0008078E">
        <w:rPr>
          <w:rFonts w:ascii="Arial" w:eastAsia="Calibri" w:hAnsi="Arial" w:cs="Arial"/>
          <w:sz w:val="22"/>
          <w:szCs w:val="22"/>
        </w:rPr>
        <w:t>trbw</w:t>
      </w:r>
      <w:proofErr w:type="spellEnd"/>
      <w:r w:rsidRPr="0008078E">
        <w:rPr>
          <w:rFonts w:ascii="Arial" w:eastAsia="Calibri" w:hAnsi="Arial" w:cs="Arial"/>
          <w:sz w:val="22"/>
          <w:szCs w:val="22"/>
        </w:rPr>
        <w:t xml:space="preserve">) – </w:t>
      </w:r>
      <w:r w:rsidRPr="0008078E">
        <w:rPr>
          <w:rFonts w:ascii="Arial" w:eastAsia="Calibri" w:hAnsi="Arial" w:cs="Arial"/>
          <w:b/>
          <w:bCs/>
          <w:sz w:val="22"/>
          <w:szCs w:val="22"/>
        </w:rPr>
        <w:t>PA</w:t>
      </w:r>
    </w:p>
    <w:p w14:paraId="3EAD3D1D" w14:textId="77777777" w:rsidR="0008078E" w:rsidRDefault="0008078E" w:rsidP="005E608B">
      <w:pPr>
        <w:spacing w:after="160" w:line="276" w:lineRule="auto"/>
        <w:contextualSpacing/>
        <w:rPr>
          <w:rFonts w:ascii="Arial" w:eastAsia="Calibri" w:hAnsi="Arial" w:cs="Arial"/>
          <w:sz w:val="22"/>
          <w:szCs w:val="22"/>
        </w:rPr>
      </w:pPr>
    </w:p>
    <w:p w14:paraId="25E96F39" w14:textId="77777777" w:rsidR="005F3677" w:rsidRPr="001F1D64" w:rsidRDefault="005F3677" w:rsidP="001F1D64">
      <w:pPr>
        <w:keepNext/>
        <w:keepLines/>
        <w:spacing w:after="120" w:line="276" w:lineRule="auto"/>
        <w:outlineLvl w:val="0"/>
        <w:rPr>
          <w:rFonts w:ascii="Arial" w:eastAsia="Yu Gothic Light" w:hAnsi="Arial"/>
          <w:b/>
          <w:szCs w:val="32"/>
        </w:rPr>
      </w:pPr>
      <w:r w:rsidRPr="001F1D64">
        <w:rPr>
          <w:rFonts w:ascii="Arial" w:eastAsia="Yu Gothic Light" w:hAnsi="Arial"/>
          <w:b/>
          <w:szCs w:val="32"/>
        </w:rPr>
        <w:t>Updated MassHealth 90-day Initiative</w:t>
      </w:r>
    </w:p>
    <w:p w14:paraId="061ABFAA" w14:textId="3004798E" w:rsidR="005F3677" w:rsidRPr="005F3677" w:rsidRDefault="005F3677" w:rsidP="005E608B">
      <w:pPr>
        <w:spacing w:after="160" w:line="276" w:lineRule="auto"/>
        <w:contextualSpacing/>
        <w:rPr>
          <w:rFonts w:ascii="Arial" w:eastAsia="Calibri" w:hAnsi="Arial" w:cs="Arial"/>
          <w:color w:val="000000"/>
          <w:sz w:val="22"/>
          <w:szCs w:val="22"/>
        </w:rPr>
      </w:pPr>
      <w:r w:rsidRPr="005F3677">
        <w:rPr>
          <w:rFonts w:ascii="Arial" w:eastAsia="Calibri" w:hAnsi="Arial" w:cs="Arial"/>
          <w:color w:val="000000"/>
          <w:sz w:val="22"/>
          <w:szCs w:val="22"/>
        </w:rPr>
        <w:t>The MassHealth 90-day Initiative has been updated to reflect recent changes to the MassHealth Drug List.</w:t>
      </w:r>
      <w:r w:rsidR="00772667">
        <w:rPr>
          <w:rFonts w:ascii="Arial" w:eastAsia="Calibri" w:hAnsi="Arial" w:cs="Arial"/>
          <w:color w:val="000000"/>
          <w:sz w:val="22"/>
          <w:szCs w:val="22"/>
        </w:rPr>
        <w:t xml:space="preserve"> </w:t>
      </w:r>
      <w:r w:rsidRPr="005F3677">
        <w:rPr>
          <w:rFonts w:ascii="Arial" w:eastAsia="Calibri" w:hAnsi="Arial" w:cs="Arial"/>
          <w:color w:val="000000"/>
          <w:sz w:val="22"/>
          <w:szCs w:val="22"/>
        </w:rPr>
        <w:t xml:space="preserve">Effective January 6, 2025, the following agents may be allowed or mandated to be dispensed in up to a 90-day supply, as indicated below. </w:t>
      </w:r>
    </w:p>
    <w:p w14:paraId="78FFE646" w14:textId="30B6A80D" w:rsidR="005F3677" w:rsidRDefault="005F3677" w:rsidP="005E608B">
      <w:pPr>
        <w:numPr>
          <w:ilvl w:val="1"/>
          <w:numId w:val="21"/>
        </w:numPr>
        <w:spacing w:after="160" w:line="276" w:lineRule="auto"/>
        <w:contextualSpacing/>
        <w:rPr>
          <w:rFonts w:ascii="Arial" w:eastAsia="Calibri" w:hAnsi="Arial" w:cs="Arial"/>
          <w:color w:val="000000"/>
          <w:sz w:val="22"/>
          <w:szCs w:val="22"/>
        </w:rPr>
      </w:pPr>
      <w:proofErr w:type="spellStart"/>
      <w:r w:rsidRPr="005F3677">
        <w:rPr>
          <w:rFonts w:ascii="Arial" w:eastAsia="Calibri" w:hAnsi="Arial" w:cs="Arial"/>
          <w:color w:val="000000"/>
          <w:sz w:val="22"/>
          <w:szCs w:val="22"/>
        </w:rPr>
        <w:t>alcaftadine</w:t>
      </w:r>
      <w:proofErr w:type="spellEnd"/>
      <w:r w:rsidRPr="005F3677">
        <w:rPr>
          <w:rFonts w:ascii="Arial" w:eastAsia="Calibri" w:hAnsi="Arial" w:cs="Arial"/>
          <w:color w:val="000000"/>
          <w:sz w:val="22"/>
          <w:szCs w:val="22"/>
        </w:rPr>
        <w:t>; A90</w:t>
      </w:r>
    </w:p>
    <w:p w14:paraId="0F5CB69B" w14:textId="77777777" w:rsidR="001F1D64" w:rsidRPr="005E608B" w:rsidRDefault="001F1D64" w:rsidP="001F1D64">
      <w:pPr>
        <w:spacing w:after="160" w:line="276" w:lineRule="auto"/>
        <w:ind w:left="1080"/>
        <w:contextualSpacing/>
        <w:rPr>
          <w:rFonts w:ascii="Arial" w:eastAsia="Calibri" w:hAnsi="Arial" w:cs="Arial"/>
          <w:color w:val="000000"/>
          <w:sz w:val="22"/>
          <w:szCs w:val="22"/>
        </w:rPr>
      </w:pPr>
    </w:p>
    <w:p w14:paraId="123E09E9" w14:textId="77777777" w:rsidR="004D4593" w:rsidRDefault="004D4593" w:rsidP="004D4593">
      <w:pPr>
        <w:shd w:val="clear" w:color="auto" w:fill="FFFFFF"/>
        <w:ind w:left="729" w:hanging="630"/>
        <w:jc w:val="center"/>
        <w:rPr>
          <w:rFonts w:ascii="Arial" w:hAnsi="Arial"/>
          <w:b/>
          <w:bCs/>
          <w:sz w:val="18"/>
          <w:szCs w:val="18"/>
        </w:rPr>
      </w:pPr>
      <w:r w:rsidRPr="006E1C33">
        <w:rPr>
          <w:rFonts w:ascii="Arial" w:hAnsi="Arial"/>
          <w:b/>
          <w:bCs/>
          <w:sz w:val="18"/>
          <w:szCs w:val="18"/>
        </w:rPr>
        <w:t>Legend</w:t>
      </w:r>
    </w:p>
    <w:p w14:paraId="710EFA7F" w14:textId="77777777" w:rsidR="004D4593" w:rsidRDefault="004D4593" w:rsidP="004D4593">
      <w:pPr>
        <w:shd w:val="clear" w:color="auto" w:fill="FFFFFF"/>
        <w:ind w:left="729" w:hanging="630"/>
        <w:jc w:val="center"/>
        <w:rPr>
          <w:rFonts w:ascii="Arial" w:hAnsi="Arial"/>
          <w:b/>
          <w:bCs/>
          <w:sz w:val="18"/>
          <w:szCs w:val="18"/>
        </w:rPr>
      </w:pPr>
    </w:p>
    <w:p w14:paraId="66ACC595" w14:textId="77777777" w:rsidR="004D4593" w:rsidRPr="00AF611B" w:rsidRDefault="004D4593" w:rsidP="004D4593">
      <w:pPr>
        <w:pStyle w:val="Default"/>
        <w:spacing w:after="120"/>
        <w:ind w:left="360"/>
        <w:rPr>
          <w:rFonts w:ascii="Arial" w:hAnsi="Arial" w:cs="Arial"/>
          <w:sz w:val="18"/>
          <w:szCs w:val="18"/>
        </w:rPr>
      </w:pPr>
      <w:r w:rsidRPr="00AF611B">
        <w:rPr>
          <w:rFonts w:ascii="Arial" w:hAnsi="Arial" w:cs="Arial"/>
          <w:b/>
          <w:bCs/>
          <w:sz w:val="18"/>
          <w:szCs w:val="18"/>
        </w:rPr>
        <w:t xml:space="preserve"># </w:t>
      </w:r>
      <w:r w:rsidRPr="00AF611B">
        <w:rPr>
          <w:rFonts w:ascii="Arial" w:hAnsi="Arial" w:cs="Arial"/>
          <w:sz w:val="18"/>
          <w:szCs w:val="18"/>
        </w:rPr>
        <w:t xml:space="preserve">This designates a brand-name drug with FDA “A”-rated generic equivalents. PA is required for the brand, unless a particular form of that drug (for example, tablet, capsule, or liquid) does not have an FDA “A”-rated generic equivalent. </w:t>
      </w:r>
    </w:p>
    <w:p w14:paraId="0D24D141" w14:textId="77777777" w:rsidR="004D4593" w:rsidRPr="00AF611B" w:rsidRDefault="004D4593" w:rsidP="004D4593">
      <w:pPr>
        <w:spacing w:after="120"/>
        <w:ind w:left="360" w:right="547"/>
        <w:rPr>
          <w:rFonts w:ascii="Arial" w:hAnsi="Arial" w:cs="Arial"/>
          <w:sz w:val="18"/>
          <w:szCs w:val="18"/>
        </w:rPr>
      </w:pPr>
      <w:r w:rsidRPr="00AF611B">
        <w:rPr>
          <w:rFonts w:ascii="Arial" w:hAnsi="Arial" w:cs="Arial"/>
          <w:sz w:val="18"/>
          <w:szCs w:val="18"/>
          <w:vertAlign w:val="superscript"/>
        </w:rPr>
        <w:t>MB</w:t>
      </w:r>
      <w:r w:rsidRPr="00AF611B">
        <w:rPr>
          <w:rFonts w:ascii="Arial" w:hAnsi="Arial" w:cs="Arial"/>
          <w:sz w:val="18"/>
          <w:szCs w:val="18"/>
        </w:rPr>
        <w:t xml:space="preserve"> This drug is available through the health care professional who administers the drug or in an outpatient or inpatient hospital setting. MassHealth does not pay for this drug to be dispensed through the retail pharmacy. If listed, PA does not apply through the hospital outpatient and inpatient settings. Please refer to 130 CMR 433.408 for PA requirements for other health care professionals. Notwithstanding the above, this drug may be an exception to the unified pharmacy policy; please refer to respective MassHealth Accountable Care Partnership Plans (ACPPs) and Managed Care Organizations (MCOs) for PA status and criteria, if applicable.</w:t>
      </w:r>
    </w:p>
    <w:p w14:paraId="587C6235" w14:textId="77777777" w:rsidR="004D4593" w:rsidRPr="00AF611B" w:rsidRDefault="004D4593" w:rsidP="004D4593">
      <w:pPr>
        <w:pStyle w:val="Default"/>
        <w:spacing w:after="120"/>
        <w:ind w:left="360"/>
        <w:rPr>
          <w:rFonts w:ascii="Arial" w:hAnsi="Arial" w:cs="Arial"/>
          <w:sz w:val="18"/>
          <w:szCs w:val="18"/>
        </w:rPr>
      </w:pPr>
      <w:r w:rsidRPr="00AF611B">
        <w:rPr>
          <w:rFonts w:ascii="Arial" w:hAnsi="Arial" w:cs="Arial"/>
          <w:b/>
          <w:bCs/>
          <w:sz w:val="18"/>
          <w:szCs w:val="18"/>
        </w:rPr>
        <w:t xml:space="preserve">PA </w:t>
      </w:r>
      <w:r w:rsidRPr="00AF611B">
        <w:rPr>
          <w:rFonts w:ascii="Arial" w:hAnsi="Arial" w:cs="Arial"/>
          <w:sz w:val="18"/>
          <w:szCs w:val="18"/>
        </w:rPr>
        <w:t xml:space="preserve">Prior authorization is required. The prescriber must obtain prior authorization for the drug </w:t>
      </w:r>
      <w:proofErr w:type="gramStart"/>
      <w:r w:rsidRPr="00AF611B">
        <w:rPr>
          <w:rFonts w:ascii="Arial" w:hAnsi="Arial" w:cs="Arial"/>
          <w:sz w:val="18"/>
          <w:szCs w:val="18"/>
        </w:rPr>
        <w:t>in order for</w:t>
      </w:r>
      <w:proofErr w:type="gramEnd"/>
      <w:r w:rsidRPr="00AF611B">
        <w:rPr>
          <w:rFonts w:ascii="Arial" w:hAnsi="Arial" w:cs="Arial"/>
          <w:sz w:val="18"/>
          <w:szCs w:val="18"/>
        </w:rPr>
        <w:t xml:space="preserve"> the provider to receive reimbursement. Note: PA applies to both the brand-name and the FDA “A”-rated generic equivalent of listed product. </w:t>
      </w:r>
    </w:p>
    <w:p w14:paraId="36D082EA" w14:textId="77777777" w:rsidR="004D4593" w:rsidRPr="00AF611B" w:rsidRDefault="004D4593" w:rsidP="004D4593">
      <w:pPr>
        <w:spacing w:after="120"/>
        <w:ind w:left="360" w:right="547"/>
        <w:rPr>
          <w:rFonts w:ascii="Arial" w:hAnsi="Arial" w:cs="Arial"/>
          <w:sz w:val="18"/>
          <w:szCs w:val="18"/>
        </w:rPr>
      </w:pPr>
      <w:r w:rsidRPr="00AF611B">
        <w:rPr>
          <w:rFonts w:ascii="Arial" w:hAnsi="Arial" w:cs="Arial"/>
          <w:b/>
          <w:sz w:val="18"/>
          <w:szCs w:val="18"/>
          <w:vertAlign w:val="superscript"/>
        </w:rPr>
        <w:t>A90</w:t>
      </w:r>
      <w:r w:rsidRPr="00AF611B">
        <w:rPr>
          <w:rFonts w:ascii="Arial" w:hAnsi="Arial" w:cs="Arial"/>
          <w:sz w:val="18"/>
          <w:szCs w:val="18"/>
        </w:rPr>
        <w:t xml:space="preserve"> Allowable 90-day supply. Dispensing in up to a 90-day supply is allowed. May not include all strengths or formulations. Quantity limits and other restrictions may apply. </w:t>
      </w:r>
    </w:p>
    <w:p w14:paraId="783B27EA" w14:textId="77777777" w:rsidR="004D4593" w:rsidRPr="00AF611B" w:rsidRDefault="004D4593" w:rsidP="004D4593">
      <w:pPr>
        <w:spacing w:after="120"/>
        <w:ind w:left="360" w:right="547"/>
        <w:rPr>
          <w:rFonts w:ascii="Arial" w:hAnsi="Arial" w:cs="Arial"/>
          <w:sz w:val="18"/>
          <w:szCs w:val="18"/>
        </w:rPr>
      </w:pPr>
      <w:r w:rsidRPr="00AF611B">
        <w:rPr>
          <w:rFonts w:ascii="Arial" w:hAnsi="Arial" w:cs="Arial"/>
          <w:b/>
          <w:sz w:val="18"/>
          <w:szCs w:val="18"/>
          <w:vertAlign w:val="superscript"/>
        </w:rPr>
        <w:t>BP</w:t>
      </w:r>
      <w:r w:rsidRPr="00AF611B">
        <w:rPr>
          <w:rFonts w:ascii="Arial" w:hAnsi="Arial" w:cs="Arial"/>
          <w:sz w:val="18"/>
          <w:szCs w:val="18"/>
        </w:rPr>
        <w:t xml:space="preserve"> Brand Preferred over generic equivalents. In general, MassHealth requires a trial of the preferred drug or clinical rationale for prescribing the non-preferred drug generic equivalent.</w:t>
      </w:r>
    </w:p>
    <w:p w14:paraId="7B427BB3" w14:textId="5F6931F9" w:rsidR="00426464" w:rsidRPr="004D4593" w:rsidRDefault="004D4593" w:rsidP="004D4593">
      <w:pPr>
        <w:spacing w:after="120"/>
        <w:ind w:left="360" w:right="547"/>
        <w:rPr>
          <w:rFonts w:ascii="Arial" w:hAnsi="Arial" w:cs="Arial"/>
          <w:sz w:val="18"/>
          <w:szCs w:val="18"/>
        </w:rPr>
      </w:pPr>
      <w:bookmarkStart w:id="7" w:name="_Hlk99013636"/>
      <w:r w:rsidRPr="00AF611B">
        <w:rPr>
          <w:rFonts w:ascii="Arial" w:hAnsi="Arial" w:cs="Arial"/>
          <w:b/>
          <w:sz w:val="18"/>
          <w:szCs w:val="18"/>
          <w:vertAlign w:val="superscript"/>
        </w:rPr>
        <w:t>M90</w:t>
      </w:r>
      <w:r w:rsidRPr="00AF611B">
        <w:rPr>
          <w:rFonts w:ascii="Arial" w:hAnsi="Arial" w:cs="Arial"/>
          <w:sz w:val="18"/>
          <w:szCs w:val="18"/>
        </w:rPr>
        <w:t xml:space="preserve"> Mandatory 90-day supply. After dispensing up to a 30-day supply initial fill, dispensing in a 90-day supply is required. May not include all strengths or formulations. Quantity limits and other restrictions may also apply. </w:t>
      </w:r>
      <w:bookmarkEnd w:id="7"/>
    </w:p>
    <w:sectPr w:rsidR="00426464" w:rsidRPr="004D4593" w:rsidSect="00E91925">
      <w:footerReference w:type="default" r:id="rId16"/>
      <w:pgSz w:w="12240" w:h="15840" w:code="1"/>
      <w:pgMar w:top="360" w:right="907" w:bottom="1080"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E4B06" w14:textId="77777777" w:rsidR="00DA36E5" w:rsidRDefault="00DA36E5" w:rsidP="00492602">
      <w:r>
        <w:separator/>
      </w:r>
    </w:p>
  </w:endnote>
  <w:endnote w:type="continuationSeparator" w:id="0">
    <w:p w14:paraId="3D84708D" w14:textId="77777777" w:rsidR="00DA36E5" w:rsidRDefault="00DA36E5"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219E2" w14:textId="77777777" w:rsidR="00E91925" w:rsidRDefault="00E91925" w:rsidP="00E91925">
    <w:pPr>
      <w:pStyle w:val="Footer"/>
      <w:pBdr>
        <w:top w:val="single" w:sz="18" w:space="1" w:color="auto"/>
      </w:pBdr>
      <w:tabs>
        <w:tab w:val="clear" w:pos="4680"/>
        <w:tab w:val="clear" w:pos="9360"/>
        <w:tab w:val="left" w:pos="3840"/>
      </w:tabs>
      <w:spacing w:before="120"/>
    </w:pPr>
    <w:r>
      <w:tab/>
    </w:r>
  </w:p>
  <w:p w14:paraId="1D4B9191"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9FDAB" w14:textId="77777777" w:rsidR="007E6327" w:rsidRDefault="007E6327" w:rsidP="005D6832">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tab/>
    </w: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3A55454A" w14:textId="77777777" w:rsidR="007E6327" w:rsidRDefault="007E6327" w:rsidP="005D6832">
    <w:pPr>
      <w:tabs>
        <w:tab w:val="left" w:pos="-90"/>
      </w:tabs>
      <w:autoSpaceDE w:val="0"/>
      <w:autoSpaceDN w:val="0"/>
      <w:adjustRightInd w:val="0"/>
      <w:jc w:val="center"/>
      <w:textAlignment w:val="baseline"/>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0080" w14:textId="35D672E4" w:rsidR="001F1D64" w:rsidRDefault="001F1D64" w:rsidP="001F1D64">
    <w:pPr>
      <w:pBdr>
        <w:top w:val="single" w:sz="18" w:space="1" w:color="auto"/>
      </w:pBdr>
      <w:tabs>
        <w:tab w:val="left" w:pos="-90"/>
        <w:tab w:val="left" w:pos="530"/>
        <w:tab w:val="center" w:pos="5400"/>
      </w:tabs>
      <w:autoSpaceDE w:val="0"/>
      <w:autoSpaceDN w:val="0"/>
      <w:adjustRightInd w:val="0"/>
      <w:jc w:val="center"/>
      <w:textAlignment w:val="baseline"/>
    </w:pPr>
    <w:r>
      <w:tab/>
    </w:r>
    <w:r>
      <w:rPr>
        <w:rFonts w:ascii="Arial" w:hAnsi="Arial" w:cs="Arial"/>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FB72E" w14:textId="0922E11F" w:rsidR="001F1D64" w:rsidRDefault="001F1D64" w:rsidP="001F1D64">
    <w:pPr>
      <w:pBdr>
        <w:top w:val="single" w:sz="18" w:space="1" w:color="auto"/>
      </w:pBdr>
      <w:tabs>
        <w:tab w:val="left" w:pos="-90"/>
        <w:tab w:val="left" w:pos="530"/>
        <w:tab w:val="center" w:pos="5400"/>
      </w:tabs>
      <w:autoSpaceDE w:val="0"/>
      <w:autoSpaceDN w:val="0"/>
      <w:adjustRightInd w:val="0"/>
      <w:textAlignment w:val="baseline"/>
      <w:rPr>
        <w:rFonts w:ascii="Arial" w:hAnsi="Arial" w:cs="Arial"/>
        <w:iCs/>
        <w:sz w:val="18"/>
        <w:szCs w:val="18"/>
      </w:rPr>
    </w:pPr>
  </w:p>
  <w:p w14:paraId="3ED324CC" w14:textId="4F08F190" w:rsidR="001F1D64" w:rsidRDefault="001F1D64" w:rsidP="005D6832">
    <w:pPr>
      <w:tabs>
        <w:tab w:val="left" w:pos="-90"/>
      </w:tabs>
      <w:autoSpaceDE w:val="0"/>
      <w:autoSpaceDN w:val="0"/>
      <w:adjustRightInd w:val="0"/>
      <w:jc w:val="center"/>
      <w:textAlignment w:val="baselin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A75C0" w14:textId="77777777" w:rsidR="001F1D64" w:rsidRDefault="001F1D64" w:rsidP="001F1D64">
    <w:pPr>
      <w:pBdr>
        <w:top w:val="single" w:sz="18" w:space="1" w:color="auto"/>
      </w:pBdr>
      <w:tabs>
        <w:tab w:val="left" w:pos="-90"/>
        <w:tab w:val="left" w:pos="530"/>
        <w:tab w:val="center" w:pos="5400"/>
      </w:tabs>
      <w:autoSpaceDE w:val="0"/>
      <w:autoSpaceDN w:val="0"/>
      <w:adjustRightInd w:val="0"/>
      <w:textAlignment w:val="baseline"/>
      <w:rPr>
        <w:rFonts w:ascii="Arial" w:hAnsi="Arial" w:cs="Arial"/>
        <w:iCs/>
        <w:sz w:val="18"/>
        <w:szCs w:val="18"/>
      </w:rPr>
    </w:pPr>
  </w:p>
  <w:p w14:paraId="51BE6680" w14:textId="77777777" w:rsidR="001F1D64" w:rsidRDefault="001F1D64" w:rsidP="001F1D64">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Pr="002D3600">
      <w:rPr>
        <w:rFonts w:ascii="Arial" w:hAnsi="Arial" w:cs="Arial"/>
        <w:iCs/>
        <w:sz w:val="18"/>
        <w:szCs w:val="18"/>
      </w:rPr>
      <w:t xml:space="preserve"> questions or comments</w:t>
    </w:r>
    <w:r>
      <w:rPr>
        <w:rFonts w:ascii="Arial" w:hAnsi="Arial" w:cs="Arial"/>
        <w:iCs/>
        <w:sz w:val="18"/>
        <w:szCs w:val="18"/>
      </w:rPr>
      <w:t xml:space="preserve"> (or </w:t>
    </w:r>
    <w:r w:rsidRPr="002D3600">
      <w:rPr>
        <w:rFonts w:ascii="Arial" w:hAnsi="Arial" w:cs="Arial"/>
        <w:iCs/>
        <w:sz w:val="18"/>
        <w:szCs w:val="18"/>
      </w:rPr>
      <w:t>to be removed from this fax distribution</w:t>
    </w:r>
    <w:r>
      <w:rPr>
        <w:rFonts w:ascii="Arial" w:hAnsi="Arial" w:cs="Arial"/>
        <w:iCs/>
        <w:sz w:val="18"/>
        <w:szCs w:val="18"/>
      </w:rPr>
      <w:t>)</w:t>
    </w:r>
    <w:r w:rsidRPr="002D3600">
      <w:rPr>
        <w:rFonts w:ascii="Arial" w:hAnsi="Arial" w:cs="Arial"/>
        <w:iCs/>
        <w:sz w:val="18"/>
        <w:szCs w:val="18"/>
      </w:rPr>
      <w:t xml:space="preserve"> </w:t>
    </w:r>
    <w:r>
      <w:rPr>
        <w:rFonts w:ascii="Arial" w:hAnsi="Arial" w:cs="Arial"/>
        <w:iCs/>
        <w:sz w:val="18"/>
        <w:szCs w:val="18"/>
      </w:rPr>
      <w:t>to</w:t>
    </w:r>
  </w:p>
  <w:p w14:paraId="106F1644" w14:textId="77777777" w:rsidR="001F1D64" w:rsidRDefault="001F1D64" w:rsidP="001F1D64">
    <w:pPr>
      <w:tabs>
        <w:tab w:val="left" w:pos="-90"/>
      </w:tabs>
      <w:autoSpaceDE w:val="0"/>
      <w:autoSpaceDN w:val="0"/>
      <w:adjustRightInd w:val="0"/>
      <w:jc w:val="center"/>
      <w:textAlignment w:val="baseline"/>
    </w:pPr>
    <w:hyperlink r:id="rId1" w:history="1">
      <w:r w:rsidRPr="00386AF8">
        <w:rPr>
          <w:rStyle w:val="Hyperlink"/>
          <w:rFonts w:ascii="Arial" w:hAnsi="Arial" w:cs="Arial"/>
          <w:iCs/>
          <w:sz w:val="18"/>
          <w:szCs w:val="18"/>
        </w:rPr>
        <w:t>PharmFactsMA@Conduent.com</w:t>
      </w:r>
    </w:hyperlink>
    <w:r>
      <w:rPr>
        <w:rFonts w:ascii="Arial" w:hAnsi="Arial" w:cs="Arial"/>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859D0" w14:textId="77777777" w:rsidR="00DA36E5" w:rsidRDefault="00DA36E5" w:rsidP="00492602">
      <w:r>
        <w:separator/>
      </w:r>
    </w:p>
  </w:footnote>
  <w:footnote w:type="continuationSeparator" w:id="0">
    <w:p w14:paraId="5225A553" w14:textId="77777777" w:rsidR="00DA36E5" w:rsidRDefault="00DA36E5"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1742E" w14:textId="68C438E7" w:rsidR="00492602" w:rsidRDefault="00FC532A" w:rsidP="00FC532A">
    <w:pPr>
      <w:pStyle w:val="Default"/>
      <w:pBdr>
        <w:bottom w:val="single" w:sz="18" w:space="1" w:color="auto"/>
      </w:pBdr>
      <w:tabs>
        <w:tab w:val="right" w:pos="10440"/>
      </w:tabs>
      <w:spacing w:after="240"/>
    </w:pPr>
    <w:r w:rsidRPr="00AD18B8">
      <w:rPr>
        <w:sz w:val="18"/>
        <w:szCs w:val="18"/>
      </w:rPr>
      <w:t>P</w:t>
    </w:r>
    <w:r>
      <w:rPr>
        <w:sz w:val="18"/>
        <w:szCs w:val="18"/>
      </w:rPr>
      <w:t>harmacy Facts, Number 237</w:t>
    </w:r>
    <w:r>
      <w:rPr>
        <w:color w:val="FF0000"/>
        <w:sz w:val="18"/>
        <w:szCs w:val="18"/>
      </w:rPr>
      <w:tab/>
    </w:r>
    <w:r w:rsidRPr="00EC1948">
      <w:rPr>
        <w:color w:val="auto"/>
        <w:sz w:val="18"/>
        <w:szCs w:val="18"/>
      </w:rPr>
      <w:t xml:space="preserve">Page </w:t>
    </w:r>
    <w:r w:rsidRPr="00EC1948">
      <w:rPr>
        <w:color w:val="auto"/>
        <w:sz w:val="18"/>
        <w:szCs w:val="18"/>
      </w:rPr>
      <w:fldChar w:fldCharType="begin"/>
    </w:r>
    <w:r w:rsidRPr="00EC1948">
      <w:rPr>
        <w:color w:val="auto"/>
        <w:sz w:val="18"/>
        <w:szCs w:val="18"/>
      </w:rPr>
      <w:instrText xml:space="preserve"> PAGE   \* MERGEFORMAT </w:instrText>
    </w:r>
    <w:r w:rsidRPr="00EC1948">
      <w:rPr>
        <w:color w:val="auto"/>
        <w:sz w:val="18"/>
        <w:szCs w:val="18"/>
      </w:rPr>
      <w:fldChar w:fldCharType="separate"/>
    </w:r>
    <w:r>
      <w:rPr>
        <w:sz w:val="18"/>
        <w:szCs w:val="18"/>
      </w:rPr>
      <w:t>2</w:t>
    </w:r>
    <w:r w:rsidRPr="00EC1948">
      <w:rPr>
        <w:noProof/>
        <w:color w:val="auto"/>
        <w:sz w:val="18"/>
        <w:szCs w:val="18"/>
      </w:rPr>
      <w:fldChar w:fldCharType="end"/>
    </w:r>
    <w:r w:rsidRPr="00EC1948">
      <w:rPr>
        <w:noProof/>
        <w:color w:val="auto"/>
        <w:sz w:val="18"/>
        <w:szCs w:val="18"/>
      </w:rPr>
      <w:t xml:space="preserve"> of </w:t>
    </w:r>
    <w:r>
      <w:rPr>
        <w:noProof/>
        <w:color w:val="auto"/>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30C34"/>
    <w:multiLevelType w:val="hybridMultilevel"/>
    <w:tmpl w:val="CE8A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40758"/>
    <w:multiLevelType w:val="hybridMultilevel"/>
    <w:tmpl w:val="BE52F1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B5313D"/>
    <w:multiLevelType w:val="hybridMultilevel"/>
    <w:tmpl w:val="096E3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CD2078"/>
    <w:multiLevelType w:val="hybridMultilevel"/>
    <w:tmpl w:val="8112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F950AA"/>
    <w:multiLevelType w:val="hybridMultilevel"/>
    <w:tmpl w:val="B55AF216"/>
    <w:lvl w:ilvl="0" w:tplc="F2286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4877A4"/>
    <w:multiLevelType w:val="hybridMultilevel"/>
    <w:tmpl w:val="A0987332"/>
    <w:lvl w:ilvl="0" w:tplc="B164E944">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F4B565E"/>
    <w:multiLevelType w:val="hybridMultilevel"/>
    <w:tmpl w:val="532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90019"/>
    <w:multiLevelType w:val="hybridMultilevel"/>
    <w:tmpl w:val="CD54B032"/>
    <w:lvl w:ilvl="0" w:tplc="FFFFFFFF">
      <w:start w:val="1"/>
      <w:numFmt w:val="lowerLetter"/>
      <w:lvlText w:val="%1."/>
      <w:lvlJc w:val="left"/>
      <w:pPr>
        <w:ind w:left="720" w:hanging="360"/>
      </w:pPr>
      <w:rPr>
        <w:rFonts w:ascii="Arial" w:eastAsiaTheme="minorHAnsi" w:hAnsi="Arial" w:cs="Arial"/>
      </w:rPr>
    </w:lvl>
    <w:lvl w:ilvl="1" w:tplc="FFFFFFFF">
      <w:start w:val="1"/>
      <w:numFmt w:val="bullet"/>
      <w:lvlText w:val=""/>
      <w:lvlJc w:val="left"/>
      <w:pPr>
        <w:ind w:left="1440" w:hanging="360"/>
      </w:pPr>
      <w:rPr>
        <w:rFonts w:ascii="Symbol" w:hAnsi="Symbol" w:hint="default"/>
        <w:sz w:val="22"/>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6242279"/>
    <w:multiLevelType w:val="hybridMultilevel"/>
    <w:tmpl w:val="5F4EB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E861E34"/>
    <w:multiLevelType w:val="hybridMultilevel"/>
    <w:tmpl w:val="B9B4BFF8"/>
    <w:lvl w:ilvl="0" w:tplc="FFFFFFFF">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F275C2D"/>
    <w:multiLevelType w:val="hybridMultilevel"/>
    <w:tmpl w:val="0712A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F3157"/>
    <w:multiLevelType w:val="hybridMultilevel"/>
    <w:tmpl w:val="0DA85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711A3"/>
    <w:multiLevelType w:val="hybridMultilevel"/>
    <w:tmpl w:val="C0BEB7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AF27707"/>
    <w:multiLevelType w:val="hybridMultilevel"/>
    <w:tmpl w:val="4880B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62362900">
    <w:abstractNumId w:val="12"/>
  </w:num>
  <w:num w:numId="2" w16cid:durableId="177275884">
    <w:abstractNumId w:val="18"/>
  </w:num>
  <w:num w:numId="3" w16cid:durableId="1256865367">
    <w:abstractNumId w:val="20"/>
  </w:num>
  <w:num w:numId="4" w16cid:durableId="1261255442">
    <w:abstractNumId w:val="7"/>
  </w:num>
  <w:num w:numId="5" w16cid:durableId="2115860523">
    <w:abstractNumId w:val="11"/>
  </w:num>
  <w:num w:numId="6" w16cid:durableId="519122462">
    <w:abstractNumId w:val="17"/>
  </w:num>
  <w:num w:numId="7" w16cid:durableId="30572276">
    <w:abstractNumId w:val="21"/>
  </w:num>
  <w:num w:numId="8" w16cid:durableId="360130868">
    <w:abstractNumId w:val="5"/>
  </w:num>
  <w:num w:numId="9" w16cid:durableId="1460032301">
    <w:abstractNumId w:val="0"/>
  </w:num>
  <w:num w:numId="10" w16cid:durableId="864055193">
    <w:abstractNumId w:val="4"/>
  </w:num>
  <w:num w:numId="11" w16cid:durableId="747574778">
    <w:abstractNumId w:val="6"/>
  </w:num>
  <w:num w:numId="12" w16cid:durableId="990477161">
    <w:abstractNumId w:val="9"/>
  </w:num>
  <w:num w:numId="13" w16cid:durableId="1299412918">
    <w:abstractNumId w:val="15"/>
  </w:num>
  <w:num w:numId="14" w16cid:durableId="1617637769">
    <w:abstractNumId w:val="1"/>
  </w:num>
  <w:num w:numId="15" w16cid:durableId="2060590910">
    <w:abstractNumId w:val="18"/>
  </w:num>
  <w:num w:numId="16" w16cid:durableId="709301280">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554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0252221">
    <w:abstractNumId w:val="17"/>
  </w:num>
  <w:num w:numId="19" w16cid:durableId="396513285">
    <w:abstractNumId w:val="22"/>
  </w:num>
  <w:num w:numId="20" w16cid:durableId="1523131637">
    <w:abstractNumId w:val="19"/>
  </w:num>
  <w:num w:numId="21" w16cid:durableId="150601857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66065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427923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290654">
    <w:abstractNumId w:val="23"/>
  </w:num>
  <w:num w:numId="25" w16cid:durableId="1452940975">
    <w:abstractNumId w:val="13"/>
  </w:num>
  <w:num w:numId="26" w16cid:durableId="449473619">
    <w:abstractNumId w:val="3"/>
  </w:num>
  <w:num w:numId="27" w16cid:durableId="1713858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770E"/>
    <w:rsid w:val="00032F24"/>
    <w:rsid w:val="00041BB3"/>
    <w:rsid w:val="0005108C"/>
    <w:rsid w:val="00054839"/>
    <w:rsid w:val="00065861"/>
    <w:rsid w:val="00066D40"/>
    <w:rsid w:val="00074014"/>
    <w:rsid w:val="0008078E"/>
    <w:rsid w:val="00081E8E"/>
    <w:rsid w:val="000A377D"/>
    <w:rsid w:val="000A6455"/>
    <w:rsid w:val="000B13AF"/>
    <w:rsid w:val="000B340B"/>
    <w:rsid w:val="000C4B1B"/>
    <w:rsid w:val="000D1502"/>
    <w:rsid w:val="001018B6"/>
    <w:rsid w:val="00103B6C"/>
    <w:rsid w:val="00137D3D"/>
    <w:rsid w:val="00140D08"/>
    <w:rsid w:val="00147437"/>
    <w:rsid w:val="00147B32"/>
    <w:rsid w:val="00157A49"/>
    <w:rsid w:val="001721D8"/>
    <w:rsid w:val="00183133"/>
    <w:rsid w:val="0018357E"/>
    <w:rsid w:val="0018410B"/>
    <w:rsid w:val="001864A9"/>
    <w:rsid w:val="001B615D"/>
    <w:rsid w:val="001C1481"/>
    <w:rsid w:val="001C17CD"/>
    <w:rsid w:val="001C66AD"/>
    <w:rsid w:val="001D35B4"/>
    <w:rsid w:val="001D4CF3"/>
    <w:rsid w:val="001E0E7A"/>
    <w:rsid w:val="001F1D64"/>
    <w:rsid w:val="001F701D"/>
    <w:rsid w:val="001F799D"/>
    <w:rsid w:val="002509E9"/>
    <w:rsid w:val="0027289D"/>
    <w:rsid w:val="00276A80"/>
    <w:rsid w:val="00276F3A"/>
    <w:rsid w:val="002823C9"/>
    <w:rsid w:val="00286CBE"/>
    <w:rsid w:val="00291313"/>
    <w:rsid w:val="002C3126"/>
    <w:rsid w:val="002C3773"/>
    <w:rsid w:val="002C54C4"/>
    <w:rsid w:val="002C690F"/>
    <w:rsid w:val="002C7C67"/>
    <w:rsid w:val="002D390F"/>
    <w:rsid w:val="002D738C"/>
    <w:rsid w:val="002F0ACB"/>
    <w:rsid w:val="002F5C29"/>
    <w:rsid w:val="003152DA"/>
    <w:rsid w:val="0033053B"/>
    <w:rsid w:val="00352CE6"/>
    <w:rsid w:val="00360067"/>
    <w:rsid w:val="0036343A"/>
    <w:rsid w:val="00364DA1"/>
    <w:rsid w:val="0037373E"/>
    <w:rsid w:val="003742C0"/>
    <w:rsid w:val="00381A1E"/>
    <w:rsid w:val="00382054"/>
    <w:rsid w:val="003B3B03"/>
    <w:rsid w:val="003B6839"/>
    <w:rsid w:val="003D1841"/>
    <w:rsid w:val="00402C3A"/>
    <w:rsid w:val="00410B13"/>
    <w:rsid w:val="00417EB4"/>
    <w:rsid w:val="00426464"/>
    <w:rsid w:val="00435431"/>
    <w:rsid w:val="0043707B"/>
    <w:rsid w:val="004417DC"/>
    <w:rsid w:val="004421F0"/>
    <w:rsid w:val="0044714D"/>
    <w:rsid w:val="00447A5F"/>
    <w:rsid w:val="004664D3"/>
    <w:rsid w:val="00466A33"/>
    <w:rsid w:val="00476ACE"/>
    <w:rsid w:val="0048705C"/>
    <w:rsid w:val="0049118A"/>
    <w:rsid w:val="00492602"/>
    <w:rsid w:val="0049421E"/>
    <w:rsid w:val="004A3BAA"/>
    <w:rsid w:val="004A7395"/>
    <w:rsid w:val="004C4924"/>
    <w:rsid w:val="004D4593"/>
    <w:rsid w:val="004F5612"/>
    <w:rsid w:val="00503A62"/>
    <w:rsid w:val="00516394"/>
    <w:rsid w:val="005314A6"/>
    <w:rsid w:val="005502E1"/>
    <w:rsid w:val="00551597"/>
    <w:rsid w:val="00552F50"/>
    <w:rsid w:val="0056481B"/>
    <w:rsid w:val="00571898"/>
    <w:rsid w:val="00574F07"/>
    <w:rsid w:val="00581E50"/>
    <w:rsid w:val="005842A0"/>
    <w:rsid w:val="00587A3E"/>
    <w:rsid w:val="005958DD"/>
    <w:rsid w:val="005A57BA"/>
    <w:rsid w:val="005D4363"/>
    <w:rsid w:val="005D6832"/>
    <w:rsid w:val="005E479A"/>
    <w:rsid w:val="005E608B"/>
    <w:rsid w:val="005E7C55"/>
    <w:rsid w:val="005F00EF"/>
    <w:rsid w:val="005F3677"/>
    <w:rsid w:val="00603517"/>
    <w:rsid w:val="006161A5"/>
    <w:rsid w:val="00617A9C"/>
    <w:rsid w:val="006220AB"/>
    <w:rsid w:val="00623469"/>
    <w:rsid w:val="00637A67"/>
    <w:rsid w:val="006408FB"/>
    <w:rsid w:val="006421B9"/>
    <w:rsid w:val="00647298"/>
    <w:rsid w:val="00650095"/>
    <w:rsid w:val="00651CA7"/>
    <w:rsid w:val="00652261"/>
    <w:rsid w:val="00661841"/>
    <w:rsid w:val="00663BDB"/>
    <w:rsid w:val="00666BCC"/>
    <w:rsid w:val="00674418"/>
    <w:rsid w:val="00674428"/>
    <w:rsid w:val="00681858"/>
    <w:rsid w:val="00686C26"/>
    <w:rsid w:val="00690023"/>
    <w:rsid w:val="006967F6"/>
    <w:rsid w:val="0069772F"/>
    <w:rsid w:val="006D3092"/>
    <w:rsid w:val="006D3B5F"/>
    <w:rsid w:val="006D4545"/>
    <w:rsid w:val="006E0C20"/>
    <w:rsid w:val="006E22A3"/>
    <w:rsid w:val="006F35F9"/>
    <w:rsid w:val="007319D7"/>
    <w:rsid w:val="00731FAF"/>
    <w:rsid w:val="007326EC"/>
    <w:rsid w:val="007426BF"/>
    <w:rsid w:val="007465A9"/>
    <w:rsid w:val="00747274"/>
    <w:rsid w:val="00760FDF"/>
    <w:rsid w:val="00763D9D"/>
    <w:rsid w:val="00770E52"/>
    <w:rsid w:val="00772667"/>
    <w:rsid w:val="007757E7"/>
    <w:rsid w:val="0078485C"/>
    <w:rsid w:val="00796A47"/>
    <w:rsid w:val="007A1603"/>
    <w:rsid w:val="007A41F5"/>
    <w:rsid w:val="007A71F0"/>
    <w:rsid w:val="007B5A33"/>
    <w:rsid w:val="007B7425"/>
    <w:rsid w:val="007C290F"/>
    <w:rsid w:val="007C2BFD"/>
    <w:rsid w:val="007C6D14"/>
    <w:rsid w:val="007E6327"/>
    <w:rsid w:val="007F5417"/>
    <w:rsid w:val="007F7D28"/>
    <w:rsid w:val="00810468"/>
    <w:rsid w:val="00812480"/>
    <w:rsid w:val="00817B74"/>
    <w:rsid w:val="00821937"/>
    <w:rsid w:val="008403CA"/>
    <w:rsid w:val="008535D0"/>
    <w:rsid w:val="0085395A"/>
    <w:rsid w:val="00853F8E"/>
    <w:rsid w:val="00861844"/>
    <w:rsid w:val="00871BCF"/>
    <w:rsid w:val="00872E7F"/>
    <w:rsid w:val="00880FA9"/>
    <w:rsid w:val="008930F1"/>
    <w:rsid w:val="00893F45"/>
    <w:rsid w:val="008978FF"/>
    <w:rsid w:val="008B348F"/>
    <w:rsid w:val="008C5414"/>
    <w:rsid w:val="008D5FB9"/>
    <w:rsid w:val="008E62B4"/>
    <w:rsid w:val="008F0130"/>
    <w:rsid w:val="008F11E0"/>
    <w:rsid w:val="008F2307"/>
    <w:rsid w:val="008F2E4C"/>
    <w:rsid w:val="008F6D47"/>
    <w:rsid w:val="00906EEC"/>
    <w:rsid w:val="009166DF"/>
    <w:rsid w:val="00916A44"/>
    <w:rsid w:val="009204C7"/>
    <w:rsid w:val="00922030"/>
    <w:rsid w:val="00941258"/>
    <w:rsid w:val="00942245"/>
    <w:rsid w:val="00956812"/>
    <w:rsid w:val="00960771"/>
    <w:rsid w:val="00965293"/>
    <w:rsid w:val="009725E5"/>
    <w:rsid w:val="00981567"/>
    <w:rsid w:val="0098420C"/>
    <w:rsid w:val="009C3981"/>
    <w:rsid w:val="009D4391"/>
    <w:rsid w:val="009D6AAA"/>
    <w:rsid w:val="009E14EE"/>
    <w:rsid w:val="009F0440"/>
    <w:rsid w:val="00A01DE3"/>
    <w:rsid w:val="00A11371"/>
    <w:rsid w:val="00A120E1"/>
    <w:rsid w:val="00A217D3"/>
    <w:rsid w:val="00A262A2"/>
    <w:rsid w:val="00A330FD"/>
    <w:rsid w:val="00A343A9"/>
    <w:rsid w:val="00A405B4"/>
    <w:rsid w:val="00A43679"/>
    <w:rsid w:val="00A5239C"/>
    <w:rsid w:val="00A53E9B"/>
    <w:rsid w:val="00A643FC"/>
    <w:rsid w:val="00A650DC"/>
    <w:rsid w:val="00A65633"/>
    <w:rsid w:val="00A76696"/>
    <w:rsid w:val="00A84255"/>
    <w:rsid w:val="00A87E7D"/>
    <w:rsid w:val="00A91725"/>
    <w:rsid w:val="00A94DDA"/>
    <w:rsid w:val="00AA3257"/>
    <w:rsid w:val="00AC1AC7"/>
    <w:rsid w:val="00AD18B8"/>
    <w:rsid w:val="00AD4750"/>
    <w:rsid w:val="00AD7369"/>
    <w:rsid w:val="00AE21FC"/>
    <w:rsid w:val="00AE46EB"/>
    <w:rsid w:val="00AF19BA"/>
    <w:rsid w:val="00AF1D89"/>
    <w:rsid w:val="00AF3D5A"/>
    <w:rsid w:val="00B01BAA"/>
    <w:rsid w:val="00B07BD7"/>
    <w:rsid w:val="00B22A91"/>
    <w:rsid w:val="00B3099B"/>
    <w:rsid w:val="00B44F14"/>
    <w:rsid w:val="00B546A9"/>
    <w:rsid w:val="00B54AB5"/>
    <w:rsid w:val="00B57DFD"/>
    <w:rsid w:val="00B6603B"/>
    <w:rsid w:val="00B91A99"/>
    <w:rsid w:val="00B92C96"/>
    <w:rsid w:val="00BA68F0"/>
    <w:rsid w:val="00BB7087"/>
    <w:rsid w:val="00BB7F64"/>
    <w:rsid w:val="00BD08CA"/>
    <w:rsid w:val="00BF2B67"/>
    <w:rsid w:val="00C30531"/>
    <w:rsid w:val="00C31421"/>
    <w:rsid w:val="00C33753"/>
    <w:rsid w:val="00C35B94"/>
    <w:rsid w:val="00C57A08"/>
    <w:rsid w:val="00C671DE"/>
    <w:rsid w:val="00C82FA4"/>
    <w:rsid w:val="00C959A1"/>
    <w:rsid w:val="00CA0669"/>
    <w:rsid w:val="00CA42D3"/>
    <w:rsid w:val="00CB0030"/>
    <w:rsid w:val="00CB7178"/>
    <w:rsid w:val="00CC3C2D"/>
    <w:rsid w:val="00CC57AC"/>
    <w:rsid w:val="00CC776C"/>
    <w:rsid w:val="00CD01A5"/>
    <w:rsid w:val="00CD6B42"/>
    <w:rsid w:val="00CE1E17"/>
    <w:rsid w:val="00CF561D"/>
    <w:rsid w:val="00D05E85"/>
    <w:rsid w:val="00D2695E"/>
    <w:rsid w:val="00D4030C"/>
    <w:rsid w:val="00D45E4A"/>
    <w:rsid w:val="00D63E59"/>
    <w:rsid w:val="00D66A89"/>
    <w:rsid w:val="00D81121"/>
    <w:rsid w:val="00D829A3"/>
    <w:rsid w:val="00D83755"/>
    <w:rsid w:val="00D90C7C"/>
    <w:rsid w:val="00D93833"/>
    <w:rsid w:val="00DA36E5"/>
    <w:rsid w:val="00DC2D01"/>
    <w:rsid w:val="00E01E67"/>
    <w:rsid w:val="00E24139"/>
    <w:rsid w:val="00E53D5C"/>
    <w:rsid w:val="00E60ABB"/>
    <w:rsid w:val="00E60C41"/>
    <w:rsid w:val="00E67713"/>
    <w:rsid w:val="00E90EB0"/>
    <w:rsid w:val="00E91925"/>
    <w:rsid w:val="00E92E47"/>
    <w:rsid w:val="00E9576D"/>
    <w:rsid w:val="00EB05D9"/>
    <w:rsid w:val="00EB3BFD"/>
    <w:rsid w:val="00EC08AC"/>
    <w:rsid w:val="00EC2856"/>
    <w:rsid w:val="00EC5D2D"/>
    <w:rsid w:val="00EF7C8A"/>
    <w:rsid w:val="00F03AE8"/>
    <w:rsid w:val="00F053E2"/>
    <w:rsid w:val="00F12759"/>
    <w:rsid w:val="00F12AD7"/>
    <w:rsid w:val="00F16B33"/>
    <w:rsid w:val="00F25E7F"/>
    <w:rsid w:val="00F318BF"/>
    <w:rsid w:val="00F537EB"/>
    <w:rsid w:val="00F614AC"/>
    <w:rsid w:val="00F7659F"/>
    <w:rsid w:val="00F76D69"/>
    <w:rsid w:val="00F80EEE"/>
    <w:rsid w:val="00F85F2A"/>
    <w:rsid w:val="00F906CF"/>
    <w:rsid w:val="00F9387A"/>
    <w:rsid w:val="00FA5147"/>
    <w:rsid w:val="00FB0C11"/>
    <w:rsid w:val="00FB39E3"/>
    <w:rsid w:val="00FC532A"/>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15:docId w15:val="{356940B0-4368-4379-8B24-C08FD4D81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66D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A42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customStyle="1" w:styleId="Heading2Char">
    <w:name w:val="Heading 2 Char"/>
    <w:basedOn w:val="DefaultParagraphFont"/>
    <w:link w:val="Heading2"/>
    <w:semiHidden/>
    <w:rsid w:val="00CA42D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semiHidden/>
    <w:unhideWhenUsed/>
    <w:rsid w:val="00CA42D3"/>
    <w:rPr>
      <w:sz w:val="16"/>
      <w:szCs w:val="16"/>
    </w:rPr>
  </w:style>
  <w:style w:type="paragraph" w:styleId="CommentText">
    <w:name w:val="annotation text"/>
    <w:basedOn w:val="Normal"/>
    <w:link w:val="CommentTextChar"/>
    <w:unhideWhenUsed/>
    <w:rsid w:val="00CA42D3"/>
    <w:rPr>
      <w:sz w:val="20"/>
      <w:szCs w:val="20"/>
    </w:rPr>
  </w:style>
  <w:style w:type="character" w:customStyle="1" w:styleId="CommentTextChar">
    <w:name w:val="Comment Text Char"/>
    <w:basedOn w:val="DefaultParagraphFont"/>
    <w:link w:val="CommentText"/>
    <w:rsid w:val="00CA42D3"/>
  </w:style>
  <w:style w:type="paragraph" w:styleId="ListParagraph">
    <w:name w:val="List Paragraph"/>
    <w:basedOn w:val="Normal"/>
    <w:uiPriority w:val="34"/>
    <w:qFormat/>
    <w:rsid w:val="00CA42D3"/>
    <w:pPr>
      <w:ind w:left="720"/>
    </w:pPr>
  </w:style>
  <w:style w:type="table" w:customStyle="1" w:styleId="TableGrid1">
    <w:name w:val="Table Grid1"/>
    <w:basedOn w:val="TableNormal"/>
    <w:next w:val="TableGrid"/>
    <w:uiPriority w:val="39"/>
    <w:rsid w:val="00CA42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14AC"/>
    <w:rPr>
      <w:sz w:val="24"/>
      <w:szCs w:val="24"/>
    </w:rPr>
  </w:style>
  <w:style w:type="paragraph" w:styleId="CommentSubject">
    <w:name w:val="annotation subject"/>
    <w:basedOn w:val="CommentText"/>
    <w:next w:val="CommentText"/>
    <w:link w:val="CommentSubjectChar"/>
    <w:semiHidden/>
    <w:unhideWhenUsed/>
    <w:rsid w:val="00F614AC"/>
    <w:rPr>
      <w:b/>
      <w:bCs/>
    </w:rPr>
  </w:style>
  <w:style w:type="character" w:customStyle="1" w:styleId="CommentSubjectChar">
    <w:name w:val="Comment Subject Char"/>
    <w:basedOn w:val="CommentTextChar"/>
    <w:link w:val="CommentSubject"/>
    <w:semiHidden/>
    <w:rsid w:val="00F614AC"/>
    <w:rPr>
      <w:b/>
      <w:bCs/>
    </w:rPr>
  </w:style>
  <w:style w:type="character" w:customStyle="1" w:styleId="Heading1Char">
    <w:name w:val="Heading 1 Char"/>
    <w:basedOn w:val="DefaultParagraphFont"/>
    <w:link w:val="Heading1"/>
    <w:rsid w:val="00066D40"/>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5E60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1636">
      <w:bodyDiv w:val="1"/>
      <w:marLeft w:val="0"/>
      <w:marRight w:val="0"/>
      <w:marTop w:val="0"/>
      <w:marBottom w:val="0"/>
      <w:divBdr>
        <w:top w:val="none" w:sz="0" w:space="0" w:color="auto"/>
        <w:left w:val="none" w:sz="0" w:space="0" w:color="auto"/>
        <w:bottom w:val="none" w:sz="0" w:space="0" w:color="auto"/>
        <w:right w:val="none" w:sz="0" w:space="0" w:color="auto"/>
      </w:divBdr>
    </w:div>
    <w:div w:id="185556711">
      <w:bodyDiv w:val="1"/>
      <w:marLeft w:val="0"/>
      <w:marRight w:val="0"/>
      <w:marTop w:val="0"/>
      <w:marBottom w:val="0"/>
      <w:divBdr>
        <w:top w:val="none" w:sz="0" w:space="0" w:color="auto"/>
        <w:left w:val="none" w:sz="0" w:space="0" w:color="auto"/>
        <w:bottom w:val="none" w:sz="0" w:space="0" w:color="auto"/>
        <w:right w:val="none" w:sz="0" w:space="0" w:color="auto"/>
      </w:divBdr>
    </w:div>
    <w:div w:id="293944264">
      <w:bodyDiv w:val="1"/>
      <w:marLeft w:val="0"/>
      <w:marRight w:val="0"/>
      <w:marTop w:val="0"/>
      <w:marBottom w:val="0"/>
      <w:divBdr>
        <w:top w:val="none" w:sz="0" w:space="0" w:color="auto"/>
        <w:left w:val="none" w:sz="0" w:space="0" w:color="auto"/>
        <w:bottom w:val="none" w:sz="0" w:space="0" w:color="auto"/>
        <w:right w:val="none" w:sz="0" w:space="0" w:color="auto"/>
      </w:divBdr>
    </w:div>
    <w:div w:id="409347123">
      <w:bodyDiv w:val="1"/>
      <w:marLeft w:val="0"/>
      <w:marRight w:val="0"/>
      <w:marTop w:val="0"/>
      <w:marBottom w:val="0"/>
      <w:divBdr>
        <w:top w:val="none" w:sz="0" w:space="0" w:color="auto"/>
        <w:left w:val="none" w:sz="0" w:space="0" w:color="auto"/>
        <w:bottom w:val="none" w:sz="0" w:space="0" w:color="auto"/>
        <w:right w:val="none" w:sz="0" w:space="0" w:color="auto"/>
      </w:divBdr>
    </w:div>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456412787">
      <w:bodyDiv w:val="1"/>
      <w:marLeft w:val="0"/>
      <w:marRight w:val="0"/>
      <w:marTop w:val="0"/>
      <w:marBottom w:val="0"/>
      <w:divBdr>
        <w:top w:val="none" w:sz="0" w:space="0" w:color="auto"/>
        <w:left w:val="none" w:sz="0" w:space="0" w:color="auto"/>
        <w:bottom w:val="none" w:sz="0" w:space="0" w:color="auto"/>
        <w:right w:val="none" w:sz="0" w:space="0" w:color="auto"/>
      </w:divBdr>
    </w:div>
    <w:div w:id="880097400">
      <w:bodyDiv w:val="1"/>
      <w:marLeft w:val="0"/>
      <w:marRight w:val="0"/>
      <w:marTop w:val="0"/>
      <w:marBottom w:val="0"/>
      <w:divBdr>
        <w:top w:val="none" w:sz="0" w:space="0" w:color="auto"/>
        <w:left w:val="none" w:sz="0" w:space="0" w:color="auto"/>
        <w:bottom w:val="none" w:sz="0" w:space="0" w:color="auto"/>
        <w:right w:val="none" w:sz="0" w:space="0" w:color="auto"/>
      </w:divBdr>
    </w:div>
    <w:div w:id="939727712">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959143512">
      <w:bodyDiv w:val="1"/>
      <w:marLeft w:val="0"/>
      <w:marRight w:val="0"/>
      <w:marTop w:val="0"/>
      <w:marBottom w:val="0"/>
      <w:divBdr>
        <w:top w:val="none" w:sz="0" w:space="0" w:color="auto"/>
        <w:left w:val="none" w:sz="0" w:space="0" w:color="auto"/>
        <w:bottom w:val="none" w:sz="0" w:space="0" w:color="auto"/>
        <w:right w:val="none" w:sz="0" w:space="0" w:color="auto"/>
      </w:divBdr>
    </w:div>
    <w:div w:id="973486538">
      <w:bodyDiv w:val="1"/>
      <w:marLeft w:val="0"/>
      <w:marRight w:val="0"/>
      <w:marTop w:val="0"/>
      <w:marBottom w:val="0"/>
      <w:divBdr>
        <w:top w:val="none" w:sz="0" w:space="0" w:color="auto"/>
        <w:left w:val="none" w:sz="0" w:space="0" w:color="auto"/>
        <w:bottom w:val="none" w:sz="0" w:space="0" w:color="auto"/>
        <w:right w:val="none" w:sz="0" w:space="0" w:color="auto"/>
      </w:divBdr>
    </w:div>
    <w:div w:id="1082751226">
      <w:bodyDiv w:val="1"/>
      <w:marLeft w:val="0"/>
      <w:marRight w:val="0"/>
      <w:marTop w:val="0"/>
      <w:marBottom w:val="0"/>
      <w:divBdr>
        <w:top w:val="none" w:sz="0" w:space="0" w:color="auto"/>
        <w:left w:val="none" w:sz="0" w:space="0" w:color="auto"/>
        <w:bottom w:val="none" w:sz="0" w:space="0" w:color="auto"/>
        <w:right w:val="none" w:sz="0" w:space="0" w:color="auto"/>
      </w:divBdr>
    </w:div>
    <w:div w:id="1178226640">
      <w:bodyDiv w:val="1"/>
      <w:marLeft w:val="0"/>
      <w:marRight w:val="0"/>
      <w:marTop w:val="0"/>
      <w:marBottom w:val="0"/>
      <w:divBdr>
        <w:top w:val="none" w:sz="0" w:space="0" w:color="auto"/>
        <w:left w:val="none" w:sz="0" w:space="0" w:color="auto"/>
        <w:bottom w:val="none" w:sz="0" w:space="0" w:color="auto"/>
        <w:right w:val="none" w:sz="0" w:space="0" w:color="auto"/>
      </w:divBdr>
    </w:div>
    <w:div w:id="1371152367">
      <w:bodyDiv w:val="1"/>
      <w:marLeft w:val="0"/>
      <w:marRight w:val="0"/>
      <w:marTop w:val="0"/>
      <w:marBottom w:val="0"/>
      <w:divBdr>
        <w:top w:val="none" w:sz="0" w:space="0" w:color="auto"/>
        <w:left w:val="none" w:sz="0" w:space="0" w:color="auto"/>
        <w:bottom w:val="none" w:sz="0" w:space="0" w:color="auto"/>
        <w:right w:val="none" w:sz="0" w:space="0" w:color="auto"/>
      </w:divBdr>
    </w:div>
    <w:div w:id="1436097502">
      <w:bodyDiv w:val="1"/>
      <w:marLeft w:val="0"/>
      <w:marRight w:val="0"/>
      <w:marTop w:val="0"/>
      <w:marBottom w:val="0"/>
      <w:divBdr>
        <w:top w:val="none" w:sz="0" w:space="0" w:color="auto"/>
        <w:left w:val="none" w:sz="0" w:space="0" w:color="auto"/>
        <w:bottom w:val="none" w:sz="0" w:space="0" w:color="auto"/>
        <w:right w:val="none" w:sz="0" w:space="0" w:color="auto"/>
      </w:divBdr>
    </w:div>
    <w:div w:id="1447382094">
      <w:bodyDiv w:val="1"/>
      <w:marLeft w:val="0"/>
      <w:marRight w:val="0"/>
      <w:marTop w:val="0"/>
      <w:marBottom w:val="0"/>
      <w:divBdr>
        <w:top w:val="none" w:sz="0" w:space="0" w:color="auto"/>
        <w:left w:val="none" w:sz="0" w:space="0" w:color="auto"/>
        <w:bottom w:val="none" w:sz="0" w:space="0" w:color="auto"/>
        <w:right w:val="none" w:sz="0" w:space="0" w:color="auto"/>
      </w:divBdr>
    </w:div>
    <w:div w:id="1497188212">
      <w:bodyDiv w:val="1"/>
      <w:marLeft w:val="0"/>
      <w:marRight w:val="0"/>
      <w:marTop w:val="0"/>
      <w:marBottom w:val="0"/>
      <w:divBdr>
        <w:top w:val="none" w:sz="0" w:space="0" w:color="auto"/>
        <w:left w:val="none" w:sz="0" w:space="0" w:color="auto"/>
        <w:bottom w:val="none" w:sz="0" w:space="0" w:color="auto"/>
        <w:right w:val="none" w:sz="0" w:space="0" w:color="auto"/>
      </w:divBdr>
    </w:div>
    <w:div w:id="1554466462">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 w:id="210410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hdl.pharmacy.services.conduent.com/MHD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1148</Words>
  <Characters>6809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Eisan, Jenna (EHS)</dc:creator>
  <cp:lastModifiedBy>Eisan, Jenna (EHS)</cp:lastModifiedBy>
  <cp:revision>16</cp:revision>
  <dcterms:created xsi:type="dcterms:W3CDTF">2024-12-27T17:15:00Z</dcterms:created>
  <dcterms:modified xsi:type="dcterms:W3CDTF">2024-12-30T16:57:00Z</dcterms:modified>
</cp:coreProperties>
</file>