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549.6pt;height:117pt;mso-position-horizontal-relative:char;mso-position-vertical-relative:line" coordorigin="0,0" coordsize="10992,2340">
            <v:shape style="position:absolute;left:0;top:0;width:10992;height:2340" type="#_x0000_t75" stroked="false">
              <v:imagedata r:id="rId5" o:title=""/>
            </v:shape>
            <v:shapetype id="_x0000_t202" o:spt="202" coordsize="21600,21600" path="m,l,21600r21600,l21600,xe">
              <v:stroke joinstyle="miter"/>
              <v:path gradientshapeok="t" o:connecttype="rect"/>
            </v:shapetype>
            <v:shape style="position:absolute;left:864;top:972;width:14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24</w:t>
                    </w:r>
                  </w:p>
                  <w:p>
                    <w:pPr>
                      <w:spacing w:before="44"/>
                      <w:ind w:left="0" w:right="0" w:firstLine="0"/>
                      <w:jc w:val="left"/>
                      <w:rPr>
                        <w:rFonts w:ascii="Arial Narrow"/>
                        <w:b/>
                        <w:sz w:val="20"/>
                      </w:rPr>
                    </w:pPr>
                    <w:r>
                      <w:rPr>
                        <w:rFonts w:ascii="Arial Narrow"/>
                        <w:b/>
                        <w:sz w:val="20"/>
                      </w:rPr>
                      <w:t>December 20, 2006</w:t>
                    </w:r>
                  </w:p>
                </w:txbxContent>
              </v:textbox>
              <w10:wrap type="none"/>
            </v:shape>
            <v:shape style="position:absolute;left:4070;top:2134;width:2500;height:204" type="#_x0000_t202" filled="false" stroked="false">
              <v:textbox inset="0,0,0,0">
                <w:txbxContent>
                  <w:p>
                    <w:pPr>
                      <w:spacing w:line="204" w:lineRule="exact" w:before="0"/>
                      <w:ind w:left="0" w:right="0" w:firstLine="0"/>
                      <w:jc w:val="left"/>
                      <w:rPr>
                        <w:rFonts w:ascii="Arial Narrow"/>
                        <w:sz w:val="18"/>
                      </w:rPr>
                    </w:pPr>
                    <w:hyperlink r:id="rId6">
                      <w:r>
                        <w:rPr>
                          <w:rFonts w:ascii="Arial Narrow"/>
                          <w:sz w:val="18"/>
                        </w:rPr>
                        <w:t>www.mass.gov/masshealth/pharmacy</w:t>
                      </w:r>
                    </w:hyperlink>
                  </w:p>
                </w:txbxContent>
              </v:textbox>
              <w10:wrap type="none"/>
            </v:shape>
          </v:group>
        </w:pict>
      </w:r>
      <w:r>
        <w:rPr>
          <w:rFonts w:ascii="Times New Roman"/>
          <w:sz w:val="20"/>
        </w:rPr>
      </w:r>
    </w:p>
    <w:tbl>
      <w:tblPr>
        <w:tblW w:w="0" w:type="auto"/>
        <w:jc w:val="left"/>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10"/>
        <w:gridCol w:w="5303"/>
        <w:gridCol w:w="400"/>
      </w:tblGrid>
      <w:tr>
        <w:trPr>
          <w:trHeight w:val="300" w:hRule="atLeast"/>
        </w:trPr>
        <w:tc>
          <w:tcPr>
            <w:tcW w:w="10613" w:type="dxa"/>
            <w:gridSpan w:val="2"/>
            <w:tcBorders>
              <w:top w:val="single" w:sz="8" w:space="0" w:color="000000"/>
              <w:bottom w:val="single" w:sz="8" w:space="0" w:color="000000"/>
            </w:tcBorders>
          </w:tcPr>
          <w:p>
            <w:pPr>
              <w:pStyle w:val="TableParagraph"/>
              <w:numPr>
                <w:ilvl w:val="0"/>
                <w:numId w:val="1"/>
              </w:numPr>
              <w:tabs>
                <w:tab w:pos="1808" w:val="left" w:leader="none"/>
              </w:tabs>
              <w:spacing w:line="240" w:lineRule="auto" w:before="0" w:after="0"/>
              <w:ind w:left="1807"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w:t>
            </w:r>
            <w:r>
              <w:rPr>
                <w:rFonts w:ascii="Arial Narrow" w:hAnsi="Arial Narrow"/>
                <w:spacing w:val="-22"/>
                <w:sz w:val="18"/>
              </w:rPr>
              <w:t> </w:t>
            </w:r>
            <w:r>
              <w:rPr>
                <w:rFonts w:ascii="Arial Black" w:hAnsi="Arial Black"/>
                <w:b/>
                <w:sz w:val="18"/>
              </w:rPr>
              <w:t>•</w:t>
            </w:r>
          </w:p>
        </w:tc>
        <w:tc>
          <w:tcPr>
            <w:tcW w:w="400" w:type="dxa"/>
          </w:tcPr>
          <w:p>
            <w:pPr>
              <w:pStyle w:val="TableParagraph"/>
              <w:ind w:left="0"/>
              <w:rPr>
                <w:rFonts w:ascii="Times New Roman"/>
                <w:sz w:val="18"/>
              </w:rPr>
            </w:pPr>
          </w:p>
        </w:tc>
      </w:tr>
      <w:tr>
        <w:trPr>
          <w:trHeight w:val="11800" w:hRule="atLeast"/>
        </w:trPr>
        <w:tc>
          <w:tcPr>
            <w:tcW w:w="5310" w:type="dxa"/>
            <w:tcBorders>
              <w:top w:val="single" w:sz="8" w:space="0" w:color="000000"/>
              <w:bottom w:val="double" w:sz="2" w:space="0" w:color="000000"/>
              <w:right w:val="single" w:sz="4" w:space="0" w:color="000000"/>
            </w:tcBorders>
          </w:tcPr>
          <w:p>
            <w:pPr>
              <w:pStyle w:val="TableParagraph"/>
              <w:spacing w:before="120"/>
              <w:ind w:left="107" w:right="933"/>
              <w:rPr>
                <w:rFonts w:ascii="Arial Black"/>
                <w:b/>
                <w:sz w:val="20"/>
              </w:rPr>
            </w:pPr>
            <w:r>
              <w:rPr>
                <w:rFonts w:ascii="Arial Black"/>
                <w:b/>
                <w:sz w:val="20"/>
              </w:rPr>
              <w:t>MassHealth Drug List Update Effective January 2, 2007</w:t>
            </w:r>
          </w:p>
          <w:p>
            <w:pPr>
              <w:pStyle w:val="TableParagraph"/>
              <w:spacing w:line="304" w:lineRule="auto" w:before="140"/>
              <w:ind w:left="107" w:right="97"/>
              <w:rPr>
                <w:sz w:val="20"/>
              </w:rPr>
            </w:pPr>
            <w:r>
              <w:rPr>
                <w:sz w:val="20"/>
              </w:rPr>
              <w:t>There are 2 notable changes to the MassHealth Drug List for January.</w:t>
            </w:r>
          </w:p>
          <w:p>
            <w:pPr>
              <w:pStyle w:val="TableParagraph"/>
              <w:spacing w:line="304" w:lineRule="auto" w:before="123"/>
              <w:ind w:left="108" w:right="97"/>
              <w:rPr>
                <w:sz w:val="20"/>
              </w:rPr>
            </w:pPr>
            <w:r>
              <w:rPr>
                <w:sz w:val="20"/>
              </w:rPr>
              <w:t>In the statin class, </w:t>
            </w:r>
            <w:r>
              <w:rPr>
                <w:b/>
                <w:sz w:val="20"/>
              </w:rPr>
              <w:t>simvastatin </w:t>
            </w:r>
            <w:r>
              <w:rPr>
                <w:sz w:val="20"/>
              </w:rPr>
              <w:t>will become the preferred “high potency” agent. </w:t>
            </w:r>
            <w:r>
              <w:rPr>
                <w:b/>
                <w:sz w:val="20"/>
              </w:rPr>
              <w:t>Lipitor (atorvastatin)</w:t>
            </w:r>
            <w:r>
              <w:rPr>
                <w:sz w:val="20"/>
              </w:rPr>
              <w:t>, </w:t>
            </w:r>
            <w:r>
              <w:rPr>
                <w:b/>
                <w:sz w:val="20"/>
              </w:rPr>
              <w:t>Crestor (rosuvastatin), Lescol (fluvastatin) </w:t>
            </w:r>
            <w:r>
              <w:rPr>
                <w:sz w:val="20"/>
              </w:rPr>
              <w:t>and </w:t>
            </w:r>
            <w:r>
              <w:rPr>
                <w:b/>
                <w:sz w:val="20"/>
              </w:rPr>
              <w:t>Lescol XL (fluvastatin extended-release) </w:t>
            </w:r>
            <w:r>
              <w:rPr>
                <w:sz w:val="20"/>
              </w:rPr>
              <w:t>will require PA for any new prescription. MassHealth will continue to pay for any refills for these products for the life of the prescription.</w:t>
            </w:r>
          </w:p>
          <w:p>
            <w:pPr>
              <w:pStyle w:val="TableParagraph"/>
              <w:spacing w:line="304" w:lineRule="auto" w:before="123"/>
              <w:ind w:left="107" w:right="115"/>
              <w:rPr>
                <w:sz w:val="20"/>
              </w:rPr>
            </w:pPr>
            <w:r>
              <w:rPr>
                <w:sz w:val="20"/>
              </w:rPr>
              <w:t>In the respiratory inhalant class, </w:t>
            </w:r>
            <w:r>
              <w:rPr>
                <w:b/>
                <w:sz w:val="20"/>
              </w:rPr>
              <w:t>Advair diskus (fluticasone/salmeterol), Foradil (formoterol), </w:t>
            </w:r>
            <w:r>
              <w:rPr>
                <w:sz w:val="20"/>
              </w:rPr>
              <w:t>and, </w:t>
            </w:r>
            <w:r>
              <w:rPr>
                <w:b/>
                <w:sz w:val="20"/>
              </w:rPr>
              <w:t>Serevent (salmeterol) </w:t>
            </w:r>
            <w:r>
              <w:rPr>
                <w:sz w:val="20"/>
              </w:rPr>
              <w:t>will require prior authorization (PA) for new prescriptions. MassHealth will continue to pay for refills for the life of the prescription. MassHealth will be searching historical claims for certain diagnosis codes from medical records and prior drug therapy to allow some of these claims to pay without requiring a paper PA request. The main intent of this initiative is that MassHealth would expect to see a diagnosis code for COPD, or a trial of an inhaled corticosteroid before therapy with any of these agents is initiated.</w:t>
            </w:r>
          </w:p>
          <w:p>
            <w:pPr>
              <w:pStyle w:val="TableParagraph"/>
              <w:spacing w:line="288" w:lineRule="auto" w:before="63"/>
              <w:ind w:left="107" w:right="610"/>
              <w:rPr>
                <w:rFonts w:ascii="Arial Black"/>
                <w:b/>
                <w:sz w:val="20"/>
              </w:rPr>
            </w:pPr>
            <w:r>
              <w:rPr>
                <w:rFonts w:ascii="Arial Black"/>
                <w:b/>
                <w:sz w:val="20"/>
              </w:rPr>
              <w:t>The following newly marketed drugs have been added to the MassHealth Drug List</w:t>
            </w:r>
          </w:p>
          <w:p>
            <w:pPr>
              <w:pStyle w:val="TableParagraph"/>
              <w:ind w:right="1244"/>
              <w:rPr>
                <w:b/>
                <w:sz w:val="20"/>
              </w:rPr>
            </w:pPr>
            <w:r>
              <w:rPr>
                <w:sz w:val="20"/>
              </w:rPr>
              <w:t>Advair HFA (fluticasone/salmeterol) – </w:t>
            </w:r>
            <w:r>
              <w:rPr>
                <w:b/>
                <w:sz w:val="20"/>
              </w:rPr>
              <w:t>PA </w:t>
            </w:r>
            <w:r>
              <w:rPr>
                <w:sz w:val="20"/>
              </w:rPr>
              <w:t>Angeliq (drospirenone/estradiol) – </w:t>
            </w:r>
            <w:r>
              <w:rPr>
                <w:b/>
                <w:sz w:val="20"/>
              </w:rPr>
              <w:t>PA </w:t>
            </w:r>
            <w:r>
              <w:rPr>
                <w:sz w:val="20"/>
              </w:rPr>
              <w:t>Cesamet (nabilone) – </w:t>
            </w:r>
            <w:r>
              <w:rPr>
                <w:b/>
                <w:sz w:val="20"/>
              </w:rPr>
              <w:t>PA</w:t>
            </w:r>
          </w:p>
          <w:p>
            <w:pPr>
              <w:pStyle w:val="TableParagraph"/>
              <w:spacing w:before="3"/>
              <w:rPr>
                <w:b/>
                <w:sz w:val="20"/>
              </w:rPr>
            </w:pPr>
            <w:r>
              <w:rPr>
                <w:sz w:val="20"/>
              </w:rPr>
              <w:t>Duetact (glimepiride/pioglitazone) – </w:t>
            </w:r>
            <w:r>
              <w:rPr>
                <w:b/>
                <w:sz w:val="20"/>
              </w:rPr>
              <w:t>PA</w:t>
            </w:r>
          </w:p>
          <w:p>
            <w:pPr>
              <w:pStyle w:val="TableParagraph"/>
              <w:spacing w:line="230" w:lineRule="exact"/>
              <w:rPr>
                <w:b/>
                <w:sz w:val="20"/>
              </w:rPr>
            </w:pPr>
            <w:r>
              <w:rPr>
                <w:sz w:val="20"/>
              </w:rPr>
              <w:t>Elaprase (idursulfase) – </w:t>
            </w:r>
            <w:r>
              <w:rPr>
                <w:b/>
                <w:sz w:val="20"/>
              </w:rPr>
              <w:t>PA</w:t>
            </w:r>
          </w:p>
          <w:p>
            <w:pPr>
              <w:pStyle w:val="TableParagraph"/>
              <w:ind w:left="756" w:right="204" w:hanging="361"/>
              <w:rPr>
                <w:b/>
                <w:sz w:val="20"/>
              </w:rPr>
            </w:pPr>
            <w:r>
              <w:rPr>
                <w:sz w:val="20"/>
              </w:rPr>
              <w:t>Emend (aprepitant) 40 mg – </w:t>
            </w:r>
            <w:r>
              <w:rPr>
                <w:b/>
                <w:sz w:val="20"/>
              </w:rPr>
              <w:t>PA &gt; 1 capsule/Rx and PA &gt; 3 capsules/month</w:t>
            </w:r>
          </w:p>
          <w:p>
            <w:pPr>
              <w:pStyle w:val="TableParagraph"/>
              <w:ind w:right="855"/>
              <w:rPr>
                <w:sz w:val="20"/>
              </w:rPr>
            </w:pPr>
            <w:r>
              <w:rPr>
                <w:sz w:val="20"/>
              </w:rPr>
              <w:t>Fentora (fentanyl buccal tablet) – </w:t>
            </w:r>
            <w:r>
              <w:rPr>
                <w:b/>
                <w:sz w:val="20"/>
              </w:rPr>
              <w:t>PA </w:t>
            </w:r>
            <w:r>
              <w:rPr>
                <w:sz w:val="20"/>
              </w:rPr>
              <w:t>Glumetza (metformin extended-release) – </w:t>
            </w:r>
            <w:r>
              <w:rPr>
                <w:b/>
                <w:sz w:val="20"/>
              </w:rPr>
              <w:t>PA </w:t>
            </w:r>
            <w:r>
              <w:rPr>
                <w:sz w:val="20"/>
              </w:rPr>
              <w:t>Implanon (etonogestrel implant)</w:t>
            </w:r>
          </w:p>
          <w:p>
            <w:pPr>
              <w:pStyle w:val="TableParagraph"/>
              <w:spacing w:line="229" w:lineRule="exact"/>
              <w:rPr>
                <w:b/>
                <w:sz w:val="20"/>
              </w:rPr>
            </w:pPr>
            <w:r>
              <w:rPr>
                <w:sz w:val="20"/>
              </w:rPr>
              <w:t>Januvia (sitagliptin) – </w:t>
            </w:r>
            <w:r>
              <w:rPr>
                <w:b/>
                <w:sz w:val="20"/>
              </w:rPr>
              <w:t>PA</w:t>
            </w:r>
          </w:p>
          <w:p>
            <w:pPr>
              <w:pStyle w:val="TableParagraph"/>
              <w:rPr>
                <w:sz w:val="20"/>
              </w:rPr>
            </w:pPr>
            <w:r>
              <w:rPr>
                <w:sz w:val="20"/>
              </w:rPr>
              <w:t>meloxicam</w:t>
            </w:r>
          </w:p>
          <w:p>
            <w:pPr>
              <w:pStyle w:val="TableParagraph"/>
              <w:spacing w:line="218" w:lineRule="exact" w:before="1"/>
              <w:rPr>
                <w:b/>
                <w:sz w:val="19"/>
              </w:rPr>
            </w:pPr>
            <w:r>
              <w:rPr>
                <w:sz w:val="19"/>
              </w:rPr>
              <w:t>MoviPrep (polyethylene glycol/electrolyte solution) – </w:t>
            </w:r>
            <w:r>
              <w:rPr>
                <w:b/>
                <w:sz w:val="19"/>
              </w:rPr>
              <w:t>PA</w:t>
            </w:r>
          </w:p>
          <w:p>
            <w:pPr>
              <w:pStyle w:val="TableParagraph"/>
              <w:spacing w:line="229" w:lineRule="exact"/>
              <w:rPr>
                <w:b/>
                <w:sz w:val="20"/>
              </w:rPr>
            </w:pPr>
            <w:r>
              <w:rPr>
                <w:sz w:val="20"/>
              </w:rPr>
              <w:t>Noxafil (posaconazole) – </w:t>
            </w:r>
            <w:r>
              <w:rPr>
                <w:b/>
                <w:sz w:val="20"/>
              </w:rPr>
              <w:t>PA</w:t>
            </w:r>
          </w:p>
          <w:p>
            <w:pPr>
              <w:pStyle w:val="TableParagraph"/>
              <w:spacing w:line="230" w:lineRule="exact"/>
              <w:rPr>
                <w:b/>
                <w:sz w:val="20"/>
              </w:rPr>
            </w:pPr>
            <w:r>
              <w:rPr>
                <w:sz w:val="20"/>
              </w:rPr>
              <w:t>Opana (oxymorphone) tablet – </w:t>
            </w:r>
            <w:r>
              <w:rPr>
                <w:b/>
                <w:sz w:val="20"/>
              </w:rPr>
              <w:t>PA</w:t>
            </w:r>
          </w:p>
          <w:p>
            <w:pPr>
              <w:pStyle w:val="TableParagraph"/>
              <w:spacing w:line="218" w:lineRule="exact" w:before="1"/>
              <w:rPr>
                <w:b/>
                <w:sz w:val="19"/>
              </w:rPr>
            </w:pPr>
            <w:r>
              <w:rPr>
                <w:sz w:val="19"/>
              </w:rPr>
              <w:t>Opana ER (oxymorphone extended release) tablet – </w:t>
            </w:r>
            <w:r>
              <w:rPr>
                <w:b/>
                <w:sz w:val="19"/>
              </w:rPr>
              <w:t>PA</w:t>
            </w:r>
          </w:p>
          <w:p>
            <w:pPr>
              <w:pStyle w:val="TableParagraph"/>
              <w:spacing w:line="229" w:lineRule="exact"/>
              <w:rPr>
                <w:b/>
                <w:sz w:val="20"/>
              </w:rPr>
            </w:pPr>
            <w:r>
              <w:rPr>
                <w:sz w:val="20"/>
              </w:rPr>
              <w:t>OsmoPrep (sodium phosphate) – </w:t>
            </w:r>
            <w:r>
              <w:rPr>
                <w:b/>
                <w:sz w:val="20"/>
              </w:rPr>
              <w:t>PA</w:t>
            </w:r>
          </w:p>
        </w:tc>
        <w:tc>
          <w:tcPr>
            <w:tcW w:w="5303" w:type="dxa"/>
            <w:tcBorders>
              <w:top w:val="single" w:sz="8" w:space="0" w:color="000000"/>
              <w:left w:val="single" w:sz="4" w:space="0" w:color="000000"/>
              <w:bottom w:val="double" w:sz="2" w:space="0" w:color="000000"/>
            </w:tcBorders>
          </w:tcPr>
          <w:p>
            <w:pPr>
              <w:pStyle w:val="TableParagraph"/>
              <w:spacing w:before="1"/>
              <w:ind w:left="0"/>
              <w:rPr>
                <w:rFonts w:ascii="Times New Roman"/>
                <w:sz w:val="24"/>
              </w:rPr>
            </w:pPr>
          </w:p>
          <w:p>
            <w:pPr>
              <w:pStyle w:val="TableParagraph"/>
              <w:ind w:left="390"/>
              <w:rPr>
                <w:b/>
                <w:sz w:val="20"/>
              </w:rPr>
            </w:pPr>
            <w:r>
              <w:rPr>
                <w:sz w:val="20"/>
              </w:rPr>
              <w:t>Perloxx (oxycodone/acetaminophen) – </w:t>
            </w:r>
            <w:r>
              <w:rPr>
                <w:b/>
                <w:sz w:val="20"/>
              </w:rPr>
              <w:t>PA</w:t>
            </w:r>
          </w:p>
          <w:p>
            <w:pPr>
              <w:pStyle w:val="TableParagraph"/>
              <w:ind w:left="390" w:right="2353"/>
              <w:rPr>
                <w:b/>
                <w:sz w:val="20"/>
              </w:rPr>
            </w:pPr>
            <w:r>
              <w:rPr>
                <w:sz w:val="20"/>
              </w:rPr>
              <w:t>Vectibix (panitumumab) Verdeso (desonide) – </w:t>
            </w:r>
            <w:r>
              <w:rPr>
                <w:b/>
                <w:sz w:val="20"/>
              </w:rPr>
              <w:t>PA </w:t>
            </w:r>
            <w:r>
              <w:rPr>
                <w:sz w:val="20"/>
              </w:rPr>
              <w:t>Xolegel (ketoconazole) – </w:t>
            </w:r>
            <w:r>
              <w:rPr>
                <w:b/>
                <w:sz w:val="20"/>
              </w:rPr>
              <w:t>PA</w:t>
            </w:r>
          </w:p>
          <w:p>
            <w:pPr>
              <w:pStyle w:val="TableParagraph"/>
              <w:spacing w:before="5"/>
              <w:ind w:left="0"/>
              <w:rPr>
                <w:rFonts w:ascii="Times New Roman"/>
                <w:sz w:val="17"/>
              </w:rPr>
            </w:pPr>
          </w:p>
          <w:p>
            <w:pPr>
              <w:pStyle w:val="TableParagraph"/>
              <w:ind w:left="102"/>
              <w:rPr>
                <w:rFonts w:ascii="Arial Black"/>
                <w:b/>
                <w:sz w:val="20"/>
              </w:rPr>
            </w:pPr>
            <w:r>
              <w:rPr>
                <w:rFonts w:ascii="Arial Black"/>
                <w:b/>
                <w:sz w:val="20"/>
              </w:rPr>
              <w:t>Change in Prior-Authorization Status</w:t>
            </w:r>
          </w:p>
          <w:p>
            <w:pPr>
              <w:pStyle w:val="TableParagraph"/>
              <w:spacing w:line="304" w:lineRule="auto" w:before="197"/>
              <w:ind w:left="102" w:right="128"/>
              <w:rPr>
                <w:sz w:val="20"/>
              </w:rPr>
            </w:pPr>
            <w:r>
              <w:rPr>
                <w:sz w:val="20"/>
              </w:rPr>
              <w:t>Effective January 2, 2007, the following drugs will require prior authorization.</w:t>
            </w:r>
          </w:p>
          <w:p>
            <w:pPr>
              <w:pStyle w:val="TableParagraph"/>
              <w:spacing w:before="58"/>
              <w:ind w:left="477"/>
              <w:rPr>
                <w:b/>
                <w:sz w:val="20"/>
              </w:rPr>
            </w:pPr>
            <w:r>
              <w:rPr>
                <w:sz w:val="20"/>
              </w:rPr>
              <w:t>papaverine – </w:t>
            </w:r>
            <w:r>
              <w:rPr>
                <w:b/>
                <w:sz w:val="20"/>
              </w:rPr>
              <w:t>PA</w:t>
            </w:r>
          </w:p>
          <w:p>
            <w:pPr>
              <w:pStyle w:val="TableParagraph"/>
              <w:ind w:left="480"/>
              <w:rPr>
                <w:b/>
                <w:sz w:val="20"/>
              </w:rPr>
            </w:pPr>
            <w:r>
              <w:rPr>
                <w:sz w:val="20"/>
              </w:rPr>
              <w:t>phentolamine – </w:t>
            </w:r>
            <w:r>
              <w:rPr>
                <w:b/>
                <w:sz w:val="20"/>
              </w:rPr>
              <w:t>PA</w:t>
            </w:r>
          </w:p>
          <w:p>
            <w:pPr>
              <w:pStyle w:val="TableParagraph"/>
              <w:ind w:left="480"/>
              <w:rPr>
                <w:b/>
                <w:sz w:val="20"/>
              </w:rPr>
            </w:pPr>
            <w:r>
              <w:rPr>
                <w:sz w:val="20"/>
              </w:rPr>
              <w:t>Visicol (sodium phosphate) – </w:t>
            </w:r>
            <w:r>
              <w:rPr>
                <w:b/>
                <w:sz w:val="20"/>
              </w:rPr>
              <w:t>PA</w:t>
            </w:r>
          </w:p>
          <w:p>
            <w:pPr>
              <w:pStyle w:val="TableParagraph"/>
              <w:spacing w:before="4"/>
              <w:ind w:left="0"/>
              <w:rPr>
                <w:rFonts w:ascii="Times New Roman"/>
                <w:sz w:val="17"/>
              </w:rPr>
            </w:pPr>
          </w:p>
          <w:p>
            <w:pPr>
              <w:pStyle w:val="TableParagraph"/>
              <w:spacing w:before="1"/>
              <w:ind w:left="102" w:right="576"/>
              <w:rPr>
                <w:rFonts w:ascii="Arial Black"/>
                <w:b/>
                <w:sz w:val="20"/>
              </w:rPr>
            </w:pPr>
            <w:r>
              <w:rPr>
                <w:rFonts w:ascii="Arial Black"/>
                <w:b/>
                <w:sz w:val="20"/>
              </w:rPr>
              <w:t>MassHealth has changed the prior- authorization requirements for respiratory inhalant products.</w:t>
            </w:r>
          </w:p>
          <w:p>
            <w:pPr>
              <w:pStyle w:val="TableParagraph"/>
              <w:spacing w:line="304" w:lineRule="auto" w:before="142"/>
              <w:ind w:left="102" w:right="128"/>
              <w:rPr>
                <w:sz w:val="20"/>
              </w:rPr>
            </w:pPr>
            <w:r>
              <w:rPr>
                <w:sz w:val="20"/>
              </w:rPr>
              <w:t>Effective January 2, 2007, the following drugs will require prior authorization.</w:t>
            </w:r>
          </w:p>
          <w:p>
            <w:pPr>
              <w:pStyle w:val="TableParagraph"/>
              <w:spacing w:before="59"/>
              <w:ind w:left="480"/>
              <w:rPr>
                <w:b/>
                <w:sz w:val="20"/>
              </w:rPr>
            </w:pPr>
            <w:r>
              <w:rPr>
                <w:sz w:val="20"/>
              </w:rPr>
              <w:t>Advair diskus (fluticasone/salmeterol) – </w:t>
            </w:r>
            <w:r>
              <w:rPr>
                <w:b/>
                <w:sz w:val="20"/>
              </w:rPr>
              <w:t>PA</w:t>
            </w:r>
          </w:p>
          <w:p>
            <w:pPr>
              <w:pStyle w:val="TableParagraph"/>
              <w:ind w:left="480"/>
              <w:rPr>
                <w:b/>
                <w:sz w:val="20"/>
              </w:rPr>
            </w:pPr>
            <w:r>
              <w:rPr>
                <w:sz w:val="20"/>
              </w:rPr>
              <w:t>Foradil (formoterol) – </w:t>
            </w:r>
            <w:r>
              <w:rPr>
                <w:b/>
                <w:sz w:val="20"/>
              </w:rPr>
              <w:t>PA</w:t>
            </w:r>
          </w:p>
          <w:p>
            <w:pPr>
              <w:pStyle w:val="TableParagraph"/>
              <w:ind w:left="480"/>
              <w:rPr>
                <w:b/>
                <w:sz w:val="20"/>
              </w:rPr>
            </w:pPr>
            <w:r>
              <w:rPr>
                <w:sz w:val="20"/>
              </w:rPr>
              <w:t>Serevent (salmeterol) – </w:t>
            </w:r>
            <w:r>
              <w:rPr>
                <w:b/>
                <w:sz w:val="20"/>
              </w:rPr>
              <w:t>PA</w:t>
            </w:r>
          </w:p>
          <w:p>
            <w:pPr>
              <w:pStyle w:val="TableParagraph"/>
              <w:spacing w:before="5"/>
              <w:ind w:left="0"/>
              <w:rPr>
                <w:rFonts w:ascii="Times New Roman"/>
                <w:sz w:val="17"/>
              </w:rPr>
            </w:pPr>
          </w:p>
          <w:p>
            <w:pPr>
              <w:pStyle w:val="TableParagraph"/>
              <w:ind w:left="102"/>
              <w:rPr>
                <w:rFonts w:ascii="Arial Black"/>
                <w:b/>
                <w:sz w:val="20"/>
              </w:rPr>
            </w:pPr>
            <w:r>
              <w:rPr>
                <w:rFonts w:ascii="Arial Black"/>
                <w:b/>
                <w:sz w:val="20"/>
              </w:rPr>
              <w:t>MassHealth has changed the prior- authorization requirements for statins.</w:t>
            </w:r>
          </w:p>
          <w:p>
            <w:pPr>
              <w:pStyle w:val="TableParagraph"/>
              <w:spacing w:line="304" w:lineRule="auto" w:before="141"/>
              <w:ind w:left="102" w:right="128"/>
              <w:rPr>
                <w:sz w:val="20"/>
              </w:rPr>
            </w:pPr>
            <w:r>
              <w:rPr>
                <w:sz w:val="20"/>
              </w:rPr>
              <w:t>Effective January 2, 2007, the following drugs will require prior authorization for all quantities.</w:t>
            </w:r>
          </w:p>
          <w:p>
            <w:pPr>
              <w:pStyle w:val="TableParagraph"/>
              <w:spacing w:before="69"/>
              <w:ind w:left="462"/>
              <w:rPr>
                <w:b/>
                <w:sz w:val="20"/>
              </w:rPr>
            </w:pPr>
            <w:r>
              <w:rPr>
                <w:sz w:val="20"/>
              </w:rPr>
              <w:t>Crestor (rosuvastatin) – </w:t>
            </w:r>
            <w:r>
              <w:rPr>
                <w:b/>
                <w:sz w:val="20"/>
              </w:rPr>
              <w:t>PA</w:t>
            </w:r>
          </w:p>
          <w:p>
            <w:pPr>
              <w:pStyle w:val="TableParagraph"/>
              <w:spacing w:before="10"/>
              <w:ind w:left="462"/>
              <w:rPr>
                <w:b/>
                <w:sz w:val="20"/>
              </w:rPr>
            </w:pPr>
            <w:r>
              <w:rPr>
                <w:sz w:val="20"/>
              </w:rPr>
              <w:t>Lescol (fluvastatin) – </w:t>
            </w:r>
            <w:r>
              <w:rPr>
                <w:b/>
                <w:sz w:val="20"/>
              </w:rPr>
              <w:t>PA</w:t>
            </w:r>
          </w:p>
          <w:p>
            <w:pPr>
              <w:pStyle w:val="TableParagraph"/>
              <w:spacing w:before="10"/>
              <w:ind w:left="462"/>
              <w:rPr>
                <w:b/>
                <w:sz w:val="20"/>
              </w:rPr>
            </w:pPr>
            <w:r>
              <w:rPr>
                <w:sz w:val="20"/>
              </w:rPr>
              <w:t>Lescol XL (fluvastatin extended-release) – </w:t>
            </w:r>
            <w:r>
              <w:rPr>
                <w:b/>
                <w:sz w:val="20"/>
              </w:rPr>
              <w:t>PA</w:t>
            </w:r>
          </w:p>
          <w:p>
            <w:pPr>
              <w:pStyle w:val="TableParagraph"/>
              <w:spacing w:before="10"/>
              <w:ind w:left="462"/>
              <w:rPr>
                <w:b/>
                <w:sz w:val="20"/>
              </w:rPr>
            </w:pPr>
            <w:r>
              <w:rPr>
                <w:sz w:val="20"/>
              </w:rPr>
              <w:t>Lipitor (atorvastatin) – </w:t>
            </w:r>
            <w:r>
              <w:rPr>
                <w:b/>
                <w:sz w:val="20"/>
              </w:rPr>
              <w:t>PA</w:t>
            </w:r>
          </w:p>
          <w:p>
            <w:pPr>
              <w:pStyle w:val="TableParagraph"/>
              <w:spacing w:before="4"/>
              <w:ind w:left="0"/>
              <w:rPr>
                <w:rFonts w:ascii="Times New Roman"/>
                <w:sz w:val="27"/>
              </w:rPr>
            </w:pPr>
          </w:p>
          <w:p>
            <w:pPr>
              <w:pStyle w:val="TableParagraph"/>
              <w:spacing w:line="304" w:lineRule="auto"/>
              <w:ind w:left="117" w:right="224"/>
              <w:rPr>
                <w:sz w:val="20"/>
              </w:rPr>
            </w:pPr>
            <w:r>
              <w:rPr>
                <w:sz w:val="20"/>
              </w:rPr>
              <w:t>The following quantity limitations and prior-authorization requirements will continue to be in effect.</w:t>
            </w:r>
          </w:p>
          <w:p>
            <w:pPr>
              <w:pStyle w:val="TableParagraph"/>
              <w:spacing w:before="179"/>
              <w:ind w:left="477"/>
              <w:rPr>
                <w:b/>
                <w:sz w:val="20"/>
              </w:rPr>
            </w:pPr>
            <w:r>
              <w:rPr>
                <w:sz w:val="20"/>
              </w:rPr>
              <w:t>Advicor (lovastatin/niacin) – </w:t>
            </w:r>
            <w:r>
              <w:rPr>
                <w:b/>
                <w:sz w:val="20"/>
              </w:rPr>
              <w:t>PA</w:t>
            </w:r>
          </w:p>
          <w:p>
            <w:pPr>
              <w:pStyle w:val="TableParagraph"/>
              <w:spacing w:line="249" w:lineRule="auto" w:before="9"/>
              <w:ind w:left="477" w:right="683"/>
              <w:rPr>
                <w:b/>
                <w:sz w:val="20"/>
              </w:rPr>
            </w:pPr>
            <w:r>
              <w:rPr>
                <w:sz w:val="20"/>
              </w:rPr>
              <w:t>Altoprev (lovastatin extended-release) – </w:t>
            </w:r>
            <w:r>
              <w:rPr>
                <w:b/>
                <w:sz w:val="20"/>
              </w:rPr>
              <w:t>PA </w:t>
            </w:r>
            <w:r>
              <w:rPr>
                <w:sz w:val="20"/>
              </w:rPr>
              <w:t>Caduet (amlodipine/atorvastatin) – </w:t>
            </w:r>
            <w:r>
              <w:rPr>
                <w:b/>
                <w:sz w:val="20"/>
              </w:rPr>
              <w:t>PA </w:t>
            </w:r>
            <w:r>
              <w:rPr>
                <w:sz w:val="20"/>
              </w:rPr>
              <w:t>Mevacor # (lovastatin) – </w:t>
            </w:r>
            <w:r>
              <w:rPr>
                <w:b/>
                <w:sz w:val="20"/>
              </w:rPr>
              <w:t>PA &gt; 30 units/month</w:t>
            </w:r>
          </w:p>
          <w:p>
            <w:pPr>
              <w:pStyle w:val="TableParagraph"/>
              <w:ind w:left="477"/>
              <w:rPr>
                <w:b/>
                <w:sz w:val="20"/>
              </w:rPr>
            </w:pPr>
            <w:r>
              <w:rPr>
                <w:sz w:val="20"/>
              </w:rPr>
              <w:t>Pravachol # (pravastatin) – </w:t>
            </w:r>
            <w:r>
              <w:rPr>
                <w:b/>
                <w:sz w:val="20"/>
              </w:rPr>
              <w:t>PA &gt; 30 units/month</w:t>
            </w:r>
          </w:p>
          <w:p>
            <w:pPr>
              <w:pStyle w:val="TableParagraph"/>
              <w:spacing w:before="9"/>
              <w:ind w:left="477"/>
              <w:rPr>
                <w:b/>
                <w:sz w:val="20"/>
              </w:rPr>
            </w:pPr>
            <w:r>
              <w:rPr>
                <w:sz w:val="20"/>
              </w:rPr>
              <w:t>Pravigard PAC (pravastatin/aspirin) – </w:t>
            </w:r>
            <w:r>
              <w:rPr>
                <w:b/>
                <w:sz w:val="20"/>
              </w:rPr>
              <w:t>PA</w:t>
            </w:r>
          </w:p>
          <w:p>
            <w:pPr>
              <w:pStyle w:val="TableParagraph"/>
              <w:spacing w:before="9"/>
              <w:ind w:left="477"/>
              <w:rPr>
                <w:b/>
                <w:sz w:val="20"/>
              </w:rPr>
            </w:pPr>
            <w:r>
              <w:rPr>
                <w:sz w:val="20"/>
              </w:rPr>
              <w:t>Vytorin (ezetimibe/simvastatin) – </w:t>
            </w:r>
            <w:r>
              <w:rPr>
                <w:b/>
                <w:sz w:val="20"/>
              </w:rPr>
              <w:t>PA</w:t>
            </w:r>
          </w:p>
          <w:p>
            <w:pPr>
              <w:pStyle w:val="TableParagraph"/>
              <w:spacing w:before="9"/>
              <w:ind w:left="477"/>
              <w:rPr>
                <w:b/>
                <w:sz w:val="20"/>
              </w:rPr>
            </w:pPr>
            <w:r>
              <w:rPr>
                <w:sz w:val="20"/>
              </w:rPr>
              <w:t>Zocor # (simvastatin) – </w:t>
            </w:r>
            <w:r>
              <w:rPr>
                <w:b/>
                <w:sz w:val="20"/>
              </w:rPr>
              <w:t>PA &gt; 30 units/month</w:t>
            </w:r>
          </w:p>
        </w:tc>
        <w:tc>
          <w:tcPr>
            <w:tcW w:w="400" w:type="dxa"/>
            <w:tcBorders>
              <w:bottom w:val="double" w:sz="2" w:space="0" w:color="000000"/>
            </w:tcBorders>
          </w:tcPr>
          <w:p>
            <w:pPr>
              <w:pStyle w:val="TableParagraph"/>
              <w:ind w:left="0"/>
              <w:rPr>
                <w:rFonts w:ascii="Times New Roman"/>
                <w:sz w:val="18"/>
              </w:rPr>
            </w:pPr>
          </w:p>
        </w:tc>
      </w:tr>
    </w:tbl>
    <w:p>
      <w:pPr>
        <w:pStyle w:val="BodyText"/>
        <w:spacing w:line="241" w:lineRule="exact" w:before="91"/>
        <w:ind w:left="1920" w:right="1541"/>
        <w:jc w:val="center"/>
      </w:pPr>
      <w:r>
        <w:rPr/>
        <w:t>Please direct any questions or comments (or to be taken off of this fax distribution) to</w:t>
      </w:r>
    </w:p>
    <w:p>
      <w:pPr>
        <w:spacing w:line="296" w:lineRule="exact" w:before="0"/>
        <w:ind w:left="1919" w:right="1541" w:firstLine="0"/>
        <w:jc w:val="center"/>
        <w:rPr>
          <w:sz w:val="21"/>
        </w:rPr>
      </w:pPr>
      <w:r>
        <w:rPr>
          <w:rFonts w:ascii="Arial Black"/>
          <w:b/>
          <w:sz w:val="21"/>
        </w:rPr>
        <w:t>Victor Moquin </w:t>
      </w:r>
      <w:r>
        <w:rPr>
          <w:sz w:val="21"/>
        </w:rPr>
        <w:t>of ACS at 617-423-9830.</w:t>
      </w:r>
    </w:p>
    <w:sectPr>
      <w:type w:val="continuous"/>
      <w:pgSz w:w="12240" w:h="15840"/>
      <w:pgMar w:top="360" w:bottom="0" w:left="60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07" w:hanging="150"/>
      </w:pPr>
      <w:rPr>
        <w:rFonts w:hint="default" w:ascii="Arial Black" w:hAnsi="Arial Black" w:eastAsia="Arial Black" w:cs="Arial Black"/>
        <w:b/>
        <w:bCs/>
        <w:w w:val="100"/>
        <w:sz w:val="18"/>
        <w:szCs w:val="18"/>
      </w:rPr>
    </w:lvl>
    <w:lvl w:ilvl="1">
      <w:start w:val="0"/>
      <w:numFmt w:val="bullet"/>
      <w:lvlText w:val="•"/>
      <w:lvlJc w:val="left"/>
      <w:pPr>
        <w:ind w:left="2681" w:hanging="150"/>
      </w:pPr>
      <w:rPr>
        <w:rFonts w:hint="default"/>
      </w:rPr>
    </w:lvl>
    <w:lvl w:ilvl="2">
      <w:start w:val="0"/>
      <w:numFmt w:val="bullet"/>
      <w:lvlText w:val="•"/>
      <w:lvlJc w:val="left"/>
      <w:pPr>
        <w:ind w:left="3562" w:hanging="150"/>
      </w:pPr>
      <w:rPr>
        <w:rFonts w:hint="default"/>
      </w:rPr>
    </w:lvl>
    <w:lvl w:ilvl="3">
      <w:start w:val="0"/>
      <w:numFmt w:val="bullet"/>
      <w:lvlText w:val="•"/>
      <w:lvlJc w:val="left"/>
      <w:pPr>
        <w:ind w:left="4443" w:hanging="150"/>
      </w:pPr>
      <w:rPr>
        <w:rFonts w:hint="default"/>
      </w:rPr>
    </w:lvl>
    <w:lvl w:ilvl="4">
      <w:start w:val="0"/>
      <w:numFmt w:val="bullet"/>
      <w:lvlText w:val="•"/>
      <w:lvlJc w:val="left"/>
      <w:pPr>
        <w:ind w:left="5325" w:hanging="150"/>
      </w:pPr>
      <w:rPr>
        <w:rFonts w:hint="default"/>
      </w:rPr>
    </w:lvl>
    <w:lvl w:ilvl="5">
      <w:start w:val="0"/>
      <w:numFmt w:val="bullet"/>
      <w:lvlText w:val="•"/>
      <w:lvlJc w:val="left"/>
      <w:pPr>
        <w:ind w:left="6206" w:hanging="150"/>
      </w:pPr>
      <w:rPr>
        <w:rFonts w:hint="default"/>
      </w:rPr>
    </w:lvl>
    <w:lvl w:ilvl="6">
      <w:start w:val="0"/>
      <w:numFmt w:val="bullet"/>
      <w:lvlText w:val="•"/>
      <w:lvlJc w:val="left"/>
      <w:pPr>
        <w:ind w:left="7087" w:hanging="150"/>
      </w:pPr>
      <w:rPr>
        <w:rFonts w:hint="default"/>
      </w:rPr>
    </w:lvl>
    <w:lvl w:ilvl="7">
      <w:start w:val="0"/>
      <w:numFmt w:val="bullet"/>
      <w:lvlText w:val="•"/>
      <w:lvlJc w:val="left"/>
      <w:pPr>
        <w:ind w:left="7968" w:hanging="150"/>
      </w:pPr>
      <w:rPr>
        <w:rFonts w:hint="default"/>
      </w:rPr>
    </w:lvl>
    <w:lvl w:ilvl="8">
      <w:start w:val="0"/>
      <w:numFmt w:val="bullet"/>
      <w:lvlText w:val="•"/>
      <w:lvlJc w:val="left"/>
      <w:pPr>
        <w:ind w:left="8850" w:hanging="1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20"/>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ind w:left="395"/>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2017-11-16T09:24:54Z</dcterms:created>
  <dcterms:modified xsi:type="dcterms:W3CDTF">2017-11-16T09:24:54Z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2006-12-20T00:00:00Z</vt:filetime>
  </property>
  <property fmtid="{D5CDD505-2E9C-101B-9397-08002B2CF9AE}" pid="3" name="Creator">
    <vt:lpwstr>Acrobat PDFMaker 7.0.7 for Word</vt:lpwstr>
  </property>
  <property fmtid="{D5CDD505-2E9C-101B-9397-08002B2CF9AE}" pid="4" name="LastSaved">
    <vt:filetime>2017-11-16T00:00:00Z</vt:filetime>
  </property>
</Properties>
</file>