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762B6725" w:rsidR="008F2307" w:rsidRPr="00F80EEE" w:rsidRDefault="0096529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58240" behindDoc="1" locked="0" layoutInCell="1" allowOverlap="1" wp14:anchorId="5A8B2976" wp14:editId="773861F5">
            <wp:simplePos x="0" y="0"/>
            <wp:positionH relativeFrom="margin">
              <wp:align>right</wp:align>
            </wp:positionH>
            <wp:positionV relativeFrom="paragraph">
              <wp:posOffset>-64770</wp:posOffset>
            </wp:positionV>
            <wp:extent cx="6715125" cy="1901825"/>
            <wp:effectExtent l="0" t="0" r="9525" b="3175"/>
            <wp:wrapNone/>
            <wp:docPr id="406109794"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09794"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5125" cy="1901825"/>
                    </a:xfrm>
                    <a:prstGeom prst="rect">
                      <a:avLst/>
                    </a:prstGeom>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w:t>
      </w:r>
      <w:r w:rsidR="00A4506A">
        <w:rPr>
          <w:rFonts w:ascii="Arial Narrow" w:hAnsi="Arial Narrow"/>
          <w:b/>
          <w:color w:val="auto"/>
          <w:sz w:val="20"/>
          <w:szCs w:val="20"/>
        </w:rPr>
        <w:t>41</w:t>
      </w:r>
      <w:r w:rsidR="008F2307" w:rsidRPr="00F80EEE">
        <w:rPr>
          <w:rFonts w:ascii="Arial Narrow" w:hAnsi="Arial Narrow"/>
          <w:b/>
          <w:color w:val="auto"/>
          <w:sz w:val="20"/>
          <w:szCs w:val="20"/>
        </w:rPr>
        <w:t xml:space="preserve">, </w:t>
      </w:r>
      <w:r w:rsidR="00256E8B">
        <w:rPr>
          <w:rFonts w:ascii="Arial Narrow" w:hAnsi="Arial Narrow"/>
          <w:b/>
          <w:color w:val="auto"/>
          <w:sz w:val="20"/>
          <w:szCs w:val="20"/>
        </w:rPr>
        <w:t xml:space="preserve">February </w:t>
      </w:r>
      <w:r w:rsidR="00A4506A">
        <w:rPr>
          <w:rFonts w:ascii="Arial Narrow" w:hAnsi="Arial Narrow"/>
          <w:b/>
          <w:color w:val="auto"/>
          <w:sz w:val="20"/>
          <w:szCs w:val="20"/>
        </w:rPr>
        <w:t>06,</w:t>
      </w:r>
      <w:r w:rsidR="00256E8B">
        <w:rPr>
          <w:rFonts w:ascii="Arial Narrow" w:hAnsi="Arial Narrow"/>
          <w:b/>
          <w:color w:val="auto"/>
          <w:sz w:val="20"/>
          <w:szCs w:val="20"/>
        </w:rPr>
        <w:t xml:space="preserve"> 2025</w:t>
      </w:r>
    </w:p>
    <w:p w14:paraId="50A17C1C" w14:textId="5612B57B"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743960F3" w14:textId="77777777" w:rsidR="00256E8B" w:rsidRPr="00E37E21" w:rsidRDefault="00256E8B" w:rsidP="00E37E21">
      <w:pPr>
        <w:pStyle w:val="Title"/>
      </w:pPr>
      <w:bookmarkStart w:id="0" w:name="_Hlk179280234"/>
      <w:r w:rsidRPr="00E37E21">
        <w:t>MassHealth Drug List Update</w:t>
      </w:r>
    </w:p>
    <w:p w14:paraId="0F4527C4" w14:textId="37278310" w:rsidR="00256E8B" w:rsidRDefault="00256E8B" w:rsidP="00E37E21">
      <w:pPr>
        <w:rPr>
          <w:rFonts w:ascii="Arial" w:hAnsi="Arial" w:cs="Arial"/>
          <w:sz w:val="22"/>
          <w:szCs w:val="22"/>
        </w:rPr>
      </w:pPr>
      <w:r w:rsidRPr="00E37E21">
        <w:rPr>
          <w:rFonts w:ascii="Arial" w:hAnsi="Arial" w:cs="Arial"/>
          <w:sz w:val="22"/>
          <w:szCs w:val="22"/>
        </w:rPr>
        <w:t>Below are certain updates to the MassHealth Drug List (MHDL). See the MHDL for a complete listing of updates.</w:t>
      </w:r>
    </w:p>
    <w:p w14:paraId="250BA479" w14:textId="77777777" w:rsidR="00742D9C" w:rsidRDefault="00742D9C" w:rsidP="00E37E21"/>
    <w:p w14:paraId="4A49FE61" w14:textId="1BC0CED0" w:rsidR="00692C5C" w:rsidRPr="00E37E21" w:rsidRDefault="00692C5C" w:rsidP="00E37E21">
      <w:pPr>
        <w:pStyle w:val="Heading1"/>
        <w:spacing w:line="276" w:lineRule="auto"/>
        <w:rPr>
          <w:rFonts w:ascii="Arial" w:eastAsia="Yu Gothic Light" w:hAnsi="Arial"/>
          <w:sz w:val="24"/>
          <w:szCs w:val="24"/>
        </w:rPr>
      </w:pPr>
      <w:r w:rsidRPr="00E37E21">
        <w:rPr>
          <w:rFonts w:ascii="Arial" w:eastAsia="Yu Gothic Light" w:hAnsi="Arial"/>
          <w:sz w:val="24"/>
          <w:szCs w:val="24"/>
        </w:rPr>
        <w:t>Additions</w:t>
      </w:r>
    </w:p>
    <w:p w14:paraId="13B0BCF0" w14:textId="77777777" w:rsidR="00692C5C" w:rsidRPr="00692C5C" w:rsidRDefault="00692C5C" w:rsidP="00692C5C">
      <w:pPr>
        <w:autoSpaceDE w:val="0"/>
        <w:autoSpaceDN w:val="0"/>
        <w:adjustRightInd w:val="0"/>
        <w:rPr>
          <w:rFonts w:ascii="Arial" w:eastAsia="Calibri" w:hAnsi="Arial" w:cs="Arial"/>
          <w:color w:val="000000"/>
          <w:sz w:val="22"/>
          <w:szCs w:val="21"/>
        </w:rPr>
      </w:pPr>
      <w:r w:rsidRPr="00692C5C">
        <w:rPr>
          <w:rFonts w:ascii="Arial" w:eastAsia="Calibri" w:hAnsi="Arial" w:cs="Arial"/>
          <w:color w:val="000000"/>
          <w:sz w:val="22"/>
          <w:szCs w:val="22"/>
        </w:rPr>
        <w:t>Effective February 18, 2025, the</w:t>
      </w:r>
      <w:r w:rsidRPr="00692C5C">
        <w:rPr>
          <w:rFonts w:ascii="Arial" w:eastAsia="Calibri" w:hAnsi="Arial" w:cs="Arial"/>
          <w:color w:val="000000"/>
          <w:sz w:val="22"/>
          <w:szCs w:val="21"/>
        </w:rPr>
        <w:t xml:space="preserve"> following newly marketed drugs will be added to the MassHealth Drug List. </w:t>
      </w:r>
    </w:p>
    <w:p w14:paraId="7E4CF3AA" w14:textId="77777777" w:rsidR="00692C5C"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Cobenfy</w:t>
      </w:r>
      <w:proofErr w:type="spellEnd"/>
      <w:r w:rsidRPr="00692C5C">
        <w:rPr>
          <w:rFonts w:ascii="Arial" w:eastAsia="Calibri" w:hAnsi="Arial" w:cs="Arial"/>
          <w:color w:val="000000"/>
          <w:sz w:val="22"/>
          <w:szCs w:val="22"/>
        </w:rPr>
        <w:t xml:space="preserve"> (</w:t>
      </w:r>
      <w:proofErr w:type="spellStart"/>
      <w:r w:rsidRPr="00692C5C">
        <w:rPr>
          <w:rFonts w:ascii="Arial" w:eastAsia="Calibri" w:hAnsi="Arial" w:cs="Arial"/>
          <w:color w:val="000000"/>
          <w:sz w:val="22"/>
          <w:szCs w:val="22"/>
        </w:rPr>
        <w:t>xanomeline</w:t>
      </w:r>
      <w:proofErr w:type="spellEnd"/>
      <w:r w:rsidRPr="00692C5C">
        <w:rPr>
          <w:rFonts w:ascii="Arial" w:eastAsia="Calibri" w:hAnsi="Arial" w:cs="Arial"/>
          <w:color w:val="000000"/>
          <w:sz w:val="22"/>
          <w:szCs w:val="22"/>
        </w:rPr>
        <w:t>/</w:t>
      </w:r>
      <w:proofErr w:type="spellStart"/>
      <w:r w:rsidRPr="00692C5C">
        <w:rPr>
          <w:rFonts w:ascii="Arial" w:eastAsia="Calibri" w:hAnsi="Arial" w:cs="Arial"/>
          <w:color w:val="000000"/>
          <w:sz w:val="22"/>
          <w:szCs w:val="22"/>
        </w:rPr>
        <w:t>trospium</w:t>
      </w:r>
      <w:proofErr w:type="spellEnd"/>
      <w:r w:rsidRPr="00692C5C">
        <w:rPr>
          <w:rFonts w:ascii="Arial" w:eastAsia="Calibri" w:hAnsi="Arial" w:cs="Arial"/>
          <w:color w:val="000000"/>
          <w:sz w:val="22"/>
          <w:szCs w:val="22"/>
        </w:rPr>
        <w:t xml:space="preserve">) – </w:t>
      </w:r>
      <w:r w:rsidRPr="00692C5C">
        <w:rPr>
          <w:rFonts w:ascii="Arial" w:eastAsia="Calibri" w:hAnsi="Arial" w:cs="Arial"/>
          <w:b/>
          <w:bCs/>
          <w:color w:val="000000"/>
          <w:sz w:val="22"/>
          <w:szCs w:val="22"/>
        </w:rPr>
        <w:t>PA</w:t>
      </w:r>
      <w:r w:rsidRPr="00692C5C">
        <w:rPr>
          <w:rFonts w:ascii="Arial" w:eastAsia="Calibri" w:hAnsi="Arial" w:cs="Arial"/>
          <w:color w:val="000000"/>
          <w:sz w:val="22"/>
          <w:szCs w:val="22"/>
        </w:rPr>
        <w:t xml:space="preserve"> </w:t>
      </w:r>
    </w:p>
    <w:p w14:paraId="692CAE9A" w14:textId="77777777" w:rsidR="00692C5C"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Crexont</w:t>
      </w:r>
      <w:proofErr w:type="spellEnd"/>
      <w:r w:rsidRPr="00692C5C">
        <w:rPr>
          <w:rFonts w:ascii="Arial" w:eastAsia="Calibri" w:hAnsi="Arial" w:cs="Arial"/>
          <w:color w:val="000000"/>
          <w:sz w:val="22"/>
          <w:szCs w:val="22"/>
        </w:rPr>
        <w:t xml:space="preserve"> (carbidopa/levodopa extended-release capsule) – </w:t>
      </w:r>
      <w:r w:rsidRPr="00692C5C">
        <w:rPr>
          <w:rFonts w:ascii="Arial" w:eastAsia="Calibri" w:hAnsi="Arial" w:cs="Arial"/>
          <w:b/>
          <w:bCs/>
          <w:color w:val="000000"/>
          <w:sz w:val="22"/>
          <w:szCs w:val="22"/>
        </w:rPr>
        <w:t>PA</w:t>
      </w:r>
      <w:r w:rsidRPr="00692C5C">
        <w:rPr>
          <w:rFonts w:ascii="Arial" w:eastAsia="Calibri" w:hAnsi="Arial" w:cs="Arial"/>
          <w:color w:val="000000"/>
          <w:sz w:val="22"/>
          <w:szCs w:val="22"/>
        </w:rPr>
        <w:t xml:space="preserve"> </w:t>
      </w:r>
    </w:p>
    <w:p w14:paraId="72332EDF" w14:textId="77777777" w:rsidR="00692C5C"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Lazcluze</w:t>
      </w:r>
      <w:proofErr w:type="spellEnd"/>
      <w:r w:rsidRPr="00692C5C">
        <w:rPr>
          <w:rFonts w:ascii="Arial" w:eastAsia="Calibri" w:hAnsi="Arial" w:cs="Arial"/>
          <w:color w:val="000000"/>
          <w:sz w:val="22"/>
          <w:szCs w:val="22"/>
        </w:rPr>
        <w:t xml:space="preserve"> (</w:t>
      </w:r>
      <w:proofErr w:type="spellStart"/>
      <w:r w:rsidRPr="00692C5C">
        <w:rPr>
          <w:rFonts w:ascii="Arial" w:eastAsia="Calibri" w:hAnsi="Arial" w:cs="Arial"/>
          <w:color w:val="000000"/>
          <w:sz w:val="22"/>
          <w:szCs w:val="22"/>
        </w:rPr>
        <w:t>lazertinib</w:t>
      </w:r>
      <w:proofErr w:type="spellEnd"/>
      <w:r w:rsidRPr="00692C5C">
        <w:rPr>
          <w:rFonts w:ascii="Arial" w:eastAsia="Calibri" w:hAnsi="Arial" w:cs="Arial"/>
          <w:color w:val="000000"/>
          <w:sz w:val="22"/>
          <w:szCs w:val="22"/>
        </w:rPr>
        <w:t xml:space="preserve">) – </w:t>
      </w:r>
      <w:r w:rsidRPr="00692C5C">
        <w:rPr>
          <w:rFonts w:ascii="Arial" w:eastAsia="Calibri" w:hAnsi="Arial" w:cs="Arial"/>
          <w:b/>
          <w:bCs/>
          <w:color w:val="000000"/>
          <w:sz w:val="22"/>
          <w:szCs w:val="22"/>
        </w:rPr>
        <w:t>PA</w:t>
      </w:r>
    </w:p>
    <w:p w14:paraId="309A148D" w14:textId="77777777" w:rsidR="00692C5C"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Neffy</w:t>
      </w:r>
      <w:proofErr w:type="spellEnd"/>
      <w:r w:rsidRPr="00692C5C">
        <w:rPr>
          <w:rFonts w:ascii="Arial" w:eastAsia="Calibri" w:hAnsi="Arial" w:cs="Arial"/>
          <w:color w:val="000000"/>
          <w:sz w:val="22"/>
          <w:szCs w:val="22"/>
        </w:rPr>
        <w:t xml:space="preserve"> (epinephrine nasal spray) – </w:t>
      </w:r>
      <w:r w:rsidRPr="00692C5C">
        <w:rPr>
          <w:rFonts w:ascii="Arial" w:eastAsia="Calibri" w:hAnsi="Arial" w:cs="Arial"/>
          <w:b/>
          <w:bCs/>
          <w:color w:val="000000"/>
          <w:sz w:val="22"/>
          <w:szCs w:val="22"/>
        </w:rPr>
        <w:t>PA</w:t>
      </w:r>
      <w:r w:rsidRPr="00692C5C">
        <w:rPr>
          <w:rFonts w:ascii="Arial" w:eastAsia="Calibri" w:hAnsi="Arial" w:cs="Arial"/>
          <w:color w:val="000000"/>
          <w:sz w:val="22"/>
          <w:szCs w:val="22"/>
        </w:rPr>
        <w:t xml:space="preserve"> </w:t>
      </w:r>
    </w:p>
    <w:p w14:paraId="221342A9" w14:textId="01DBC1FA" w:rsidR="00692C5C" w:rsidRPr="00692C5C" w:rsidRDefault="0035740B"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Pia</w:t>
      </w:r>
      <w:r>
        <w:rPr>
          <w:rFonts w:ascii="Arial" w:eastAsia="Calibri" w:hAnsi="Arial" w:cs="Arial"/>
          <w:color w:val="000000"/>
          <w:sz w:val="22"/>
          <w:szCs w:val="22"/>
        </w:rPr>
        <w:t>S</w:t>
      </w:r>
      <w:r w:rsidRPr="00692C5C">
        <w:rPr>
          <w:rFonts w:ascii="Arial" w:eastAsia="Calibri" w:hAnsi="Arial" w:cs="Arial"/>
          <w:color w:val="000000"/>
          <w:sz w:val="22"/>
          <w:szCs w:val="22"/>
        </w:rPr>
        <w:t>ky</w:t>
      </w:r>
      <w:proofErr w:type="spellEnd"/>
      <w:r w:rsidRPr="00692C5C">
        <w:rPr>
          <w:rFonts w:ascii="Arial" w:eastAsia="Calibri" w:hAnsi="Arial" w:cs="Arial"/>
          <w:color w:val="000000"/>
          <w:sz w:val="22"/>
          <w:szCs w:val="22"/>
        </w:rPr>
        <w:t xml:space="preserve"> </w:t>
      </w:r>
      <w:r w:rsidR="00692C5C" w:rsidRPr="00692C5C">
        <w:rPr>
          <w:rFonts w:ascii="Arial" w:eastAsia="Calibri" w:hAnsi="Arial" w:cs="Arial"/>
          <w:color w:val="000000"/>
          <w:sz w:val="22"/>
          <w:szCs w:val="22"/>
        </w:rPr>
        <w:t>(</w:t>
      </w:r>
      <w:proofErr w:type="spellStart"/>
      <w:r w:rsidR="00692C5C" w:rsidRPr="00692C5C">
        <w:rPr>
          <w:rFonts w:ascii="Arial" w:eastAsia="Calibri" w:hAnsi="Arial" w:cs="Arial"/>
          <w:color w:val="000000"/>
          <w:sz w:val="22"/>
          <w:szCs w:val="22"/>
        </w:rPr>
        <w:t>crovalimab-akkz</w:t>
      </w:r>
      <w:proofErr w:type="spellEnd"/>
      <w:r w:rsidR="00692C5C" w:rsidRPr="00692C5C">
        <w:rPr>
          <w:rFonts w:ascii="Arial" w:eastAsia="Calibri" w:hAnsi="Arial" w:cs="Arial"/>
          <w:color w:val="000000"/>
          <w:sz w:val="22"/>
          <w:szCs w:val="22"/>
        </w:rPr>
        <w:t xml:space="preserve">) – </w:t>
      </w:r>
      <w:r w:rsidR="00692C5C" w:rsidRPr="00692C5C">
        <w:rPr>
          <w:rFonts w:ascii="Arial" w:eastAsia="Calibri" w:hAnsi="Arial" w:cs="Arial"/>
          <w:b/>
          <w:bCs/>
          <w:color w:val="000000"/>
          <w:sz w:val="22"/>
          <w:szCs w:val="22"/>
        </w:rPr>
        <w:t>PA</w:t>
      </w:r>
      <w:r w:rsidR="00692C5C" w:rsidRPr="00692C5C">
        <w:rPr>
          <w:rFonts w:ascii="Arial" w:eastAsia="Calibri" w:hAnsi="Arial" w:cs="Arial"/>
          <w:color w:val="000000"/>
          <w:sz w:val="22"/>
          <w:szCs w:val="22"/>
        </w:rPr>
        <w:t>; MB</w:t>
      </w:r>
    </w:p>
    <w:p w14:paraId="57F11447" w14:textId="77777777" w:rsidR="00692C5C" w:rsidRPr="00412B95"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lang w:val="es-US"/>
        </w:rPr>
      </w:pPr>
      <w:proofErr w:type="spellStart"/>
      <w:r w:rsidRPr="00412B95">
        <w:rPr>
          <w:rFonts w:ascii="Arial" w:eastAsia="Calibri" w:hAnsi="Arial" w:cs="Arial"/>
          <w:color w:val="000000"/>
          <w:sz w:val="22"/>
          <w:szCs w:val="22"/>
          <w:lang w:val="es-US"/>
        </w:rPr>
        <w:t>Tecelra</w:t>
      </w:r>
      <w:proofErr w:type="spellEnd"/>
      <w:r w:rsidRPr="00412B95">
        <w:rPr>
          <w:rFonts w:ascii="Arial" w:eastAsia="Calibri" w:hAnsi="Arial" w:cs="Arial"/>
          <w:color w:val="000000"/>
          <w:sz w:val="22"/>
          <w:szCs w:val="22"/>
          <w:lang w:val="es-US"/>
        </w:rPr>
        <w:t xml:space="preserve"> (</w:t>
      </w:r>
      <w:proofErr w:type="spellStart"/>
      <w:r w:rsidRPr="00412B95">
        <w:rPr>
          <w:rFonts w:ascii="Arial" w:eastAsia="Calibri" w:hAnsi="Arial" w:cs="Arial"/>
          <w:color w:val="000000"/>
          <w:sz w:val="22"/>
          <w:szCs w:val="22"/>
          <w:lang w:val="es-US"/>
        </w:rPr>
        <w:t>afamitresgene</w:t>
      </w:r>
      <w:proofErr w:type="spellEnd"/>
      <w:r w:rsidRPr="00412B95">
        <w:rPr>
          <w:rFonts w:ascii="Arial" w:eastAsia="Calibri" w:hAnsi="Arial" w:cs="Arial"/>
          <w:color w:val="000000"/>
          <w:sz w:val="22"/>
          <w:szCs w:val="22"/>
          <w:lang w:val="es-US"/>
        </w:rPr>
        <w:t xml:space="preserve"> </w:t>
      </w:r>
      <w:proofErr w:type="spellStart"/>
      <w:r w:rsidRPr="00412B95">
        <w:rPr>
          <w:rFonts w:ascii="Arial" w:eastAsia="Calibri" w:hAnsi="Arial" w:cs="Arial"/>
          <w:color w:val="000000"/>
          <w:sz w:val="22"/>
          <w:szCs w:val="22"/>
          <w:lang w:val="es-US"/>
        </w:rPr>
        <w:t>autoleucel</w:t>
      </w:r>
      <w:proofErr w:type="spellEnd"/>
      <w:r w:rsidRPr="00412B95">
        <w:rPr>
          <w:rFonts w:ascii="Arial" w:eastAsia="Calibri" w:hAnsi="Arial" w:cs="Arial"/>
          <w:color w:val="000000"/>
          <w:sz w:val="22"/>
          <w:szCs w:val="22"/>
          <w:lang w:val="es-US"/>
        </w:rPr>
        <w:t xml:space="preserve">) – </w:t>
      </w:r>
      <w:r w:rsidRPr="00412B95">
        <w:rPr>
          <w:rFonts w:ascii="Arial" w:eastAsia="Calibri" w:hAnsi="Arial" w:cs="Arial"/>
          <w:b/>
          <w:bCs/>
          <w:color w:val="000000"/>
          <w:sz w:val="22"/>
          <w:szCs w:val="22"/>
          <w:lang w:val="es-US"/>
        </w:rPr>
        <w:t>PA</w:t>
      </w:r>
      <w:r w:rsidRPr="00412B95">
        <w:rPr>
          <w:rFonts w:ascii="Arial" w:eastAsia="Calibri" w:hAnsi="Arial" w:cs="Arial"/>
          <w:color w:val="000000"/>
          <w:sz w:val="22"/>
          <w:szCs w:val="22"/>
          <w:lang w:val="es-US"/>
        </w:rPr>
        <w:t>; CO, MB</w:t>
      </w:r>
    </w:p>
    <w:p w14:paraId="56A3BB30" w14:textId="77777777" w:rsidR="00692C5C" w:rsidRPr="00412B95"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lang w:val="es-US"/>
        </w:rPr>
      </w:pPr>
      <w:r w:rsidRPr="00412B95">
        <w:rPr>
          <w:rFonts w:ascii="Arial" w:eastAsia="Calibri" w:hAnsi="Arial" w:cs="Arial"/>
          <w:color w:val="000000"/>
          <w:sz w:val="22"/>
          <w:szCs w:val="22"/>
          <w:lang w:val="es-US"/>
        </w:rPr>
        <w:t xml:space="preserve">Tecentriq </w:t>
      </w:r>
      <w:proofErr w:type="spellStart"/>
      <w:r w:rsidRPr="00412B95">
        <w:rPr>
          <w:rFonts w:ascii="Arial" w:eastAsia="Calibri" w:hAnsi="Arial" w:cs="Arial"/>
          <w:color w:val="000000"/>
          <w:sz w:val="22"/>
          <w:szCs w:val="22"/>
          <w:lang w:val="es-US"/>
        </w:rPr>
        <w:t>Hybreza</w:t>
      </w:r>
      <w:proofErr w:type="spellEnd"/>
      <w:r w:rsidRPr="00412B95">
        <w:rPr>
          <w:rFonts w:ascii="Arial" w:eastAsia="Calibri" w:hAnsi="Arial" w:cs="Arial"/>
          <w:color w:val="000000"/>
          <w:sz w:val="22"/>
          <w:szCs w:val="22"/>
          <w:lang w:val="es-US"/>
        </w:rPr>
        <w:t xml:space="preserve"> (atezolizumab-</w:t>
      </w:r>
      <w:proofErr w:type="spellStart"/>
      <w:r w:rsidRPr="00412B95">
        <w:rPr>
          <w:rFonts w:ascii="Arial" w:eastAsia="Calibri" w:hAnsi="Arial" w:cs="Arial"/>
          <w:color w:val="000000"/>
          <w:sz w:val="22"/>
          <w:szCs w:val="22"/>
          <w:lang w:val="es-US"/>
        </w:rPr>
        <w:t>hyaluronidase</w:t>
      </w:r>
      <w:proofErr w:type="spellEnd"/>
      <w:r w:rsidRPr="00412B95">
        <w:rPr>
          <w:rFonts w:ascii="Arial" w:eastAsia="Calibri" w:hAnsi="Arial" w:cs="Arial"/>
          <w:color w:val="000000"/>
          <w:sz w:val="22"/>
          <w:szCs w:val="22"/>
          <w:lang w:val="es-US"/>
        </w:rPr>
        <w:t>-</w:t>
      </w:r>
      <w:proofErr w:type="spellStart"/>
      <w:r w:rsidRPr="00412B95">
        <w:rPr>
          <w:rFonts w:ascii="Arial" w:eastAsia="Calibri" w:hAnsi="Arial" w:cs="Arial"/>
          <w:color w:val="000000"/>
          <w:sz w:val="22"/>
          <w:szCs w:val="22"/>
          <w:lang w:val="es-US"/>
        </w:rPr>
        <w:t>tqjs</w:t>
      </w:r>
      <w:proofErr w:type="spellEnd"/>
      <w:r w:rsidRPr="00412B95">
        <w:rPr>
          <w:rFonts w:ascii="Arial" w:eastAsia="Calibri" w:hAnsi="Arial" w:cs="Arial"/>
          <w:color w:val="000000"/>
          <w:sz w:val="22"/>
          <w:szCs w:val="22"/>
          <w:lang w:val="es-US"/>
        </w:rPr>
        <w:t xml:space="preserve">) – </w:t>
      </w:r>
      <w:r w:rsidRPr="00412B95">
        <w:rPr>
          <w:rFonts w:ascii="Arial" w:eastAsia="Calibri" w:hAnsi="Arial" w:cs="Arial"/>
          <w:b/>
          <w:bCs/>
          <w:color w:val="000000"/>
          <w:sz w:val="22"/>
          <w:szCs w:val="22"/>
          <w:lang w:val="es-US"/>
        </w:rPr>
        <w:t>PA</w:t>
      </w:r>
      <w:r w:rsidRPr="00412B95">
        <w:rPr>
          <w:rFonts w:ascii="Arial" w:eastAsia="Calibri" w:hAnsi="Arial" w:cs="Arial"/>
          <w:color w:val="000000"/>
          <w:sz w:val="22"/>
          <w:szCs w:val="22"/>
          <w:lang w:val="es-US"/>
        </w:rPr>
        <w:t xml:space="preserve">; MB </w:t>
      </w:r>
    </w:p>
    <w:p w14:paraId="625100A5" w14:textId="77777777" w:rsidR="00692C5C"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Tryvio</w:t>
      </w:r>
      <w:proofErr w:type="spellEnd"/>
      <w:r w:rsidRPr="00692C5C">
        <w:rPr>
          <w:rFonts w:ascii="Arial" w:eastAsia="Calibri" w:hAnsi="Arial" w:cs="Arial"/>
          <w:color w:val="000000"/>
          <w:sz w:val="22"/>
          <w:szCs w:val="22"/>
        </w:rPr>
        <w:t xml:space="preserve"> (</w:t>
      </w:r>
      <w:proofErr w:type="spellStart"/>
      <w:r w:rsidRPr="00692C5C">
        <w:rPr>
          <w:rFonts w:ascii="Arial" w:eastAsia="Calibri" w:hAnsi="Arial" w:cs="Arial"/>
          <w:color w:val="000000"/>
          <w:sz w:val="22"/>
          <w:szCs w:val="22"/>
        </w:rPr>
        <w:t>aprocitentan</w:t>
      </w:r>
      <w:proofErr w:type="spellEnd"/>
      <w:r w:rsidRPr="00692C5C">
        <w:rPr>
          <w:rFonts w:ascii="Arial" w:eastAsia="Calibri" w:hAnsi="Arial" w:cs="Arial"/>
          <w:color w:val="000000"/>
          <w:sz w:val="22"/>
          <w:szCs w:val="22"/>
        </w:rPr>
        <w:t xml:space="preserve">) – </w:t>
      </w:r>
      <w:r w:rsidRPr="00692C5C">
        <w:rPr>
          <w:rFonts w:ascii="Arial" w:eastAsia="Calibri" w:hAnsi="Arial" w:cs="Arial"/>
          <w:b/>
          <w:bCs/>
          <w:color w:val="000000"/>
          <w:sz w:val="22"/>
          <w:szCs w:val="22"/>
        </w:rPr>
        <w:t>PA</w:t>
      </w:r>
      <w:r w:rsidRPr="00692C5C">
        <w:rPr>
          <w:rFonts w:ascii="Arial" w:eastAsia="Calibri" w:hAnsi="Arial" w:cs="Arial"/>
          <w:color w:val="000000"/>
          <w:sz w:val="22"/>
          <w:szCs w:val="22"/>
        </w:rPr>
        <w:t xml:space="preserve"> </w:t>
      </w:r>
    </w:p>
    <w:p w14:paraId="6FD5F811" w14:textId="77777777" w:rsid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color w:val="000000"/>
          <w:sz w:val="22"/>
          <w:szCs w:val="22"/>
        </w:rPr>
        <w:t>Voranigo</w:t>
      </w:r>
      <w:proofErr w:type="spellEnd"/>
      <w:r w:rsidRPr="00692C5C">
        <w:rPr>
          <w:rFonts w:ascii="Arial" w:eastAsia="Calibri" w:hAnsi="Arial" w:cs="Arial"/>
          <w:color w:val="000000"/>
          <w:sz w:val="22"/>
          <w:szCs w:val="22"/>
        </w:rPr>
        <w:t xml:space="preserve"> (</w:t>
      </w:r>
      <w:proofErr w:type="spellStart"/>
      <w:r w:rsidRPr="00692C5C">
        <w:rPr>
          <w:rFonts w:ascii="Arial" w:eastAsia="Calibri" w:hAnsi="Arial" w:cs="Arial"/>
          <w:color w:val="000000"/>
          <w:sz w:val="22"/>
          <w:szCs w:val="22"/>
        </w:rPr>
        <w:t>vorasidenib</w:t>
      </w:r>
      <w:proofErr w:type="spellEnd"/>
      <w:r w:rsidRPr="00692C5C">
        <w:rPr>
          <w:rFonts w:ascii="Arial" w:eastAsia="Calibri" w:hAnsi="Arial" w:cs="Arial"/>
          <w:color w:val="000000"/>
          <w:sz w:val="22"/>
          <w:szCs w:val="22"/>
        </w:rPr>
        <w:t xml:space="preserve">) – </w:t>
      </w:r>
      <w:r w:rsidRPr="00692C5C">
        <w:rPr>
          <w:rFonts w:ascii="Arial" w:eastAsia="Calibri" w:hAnsi="Arial" w:cs="Arial"/>
          <w:b/>
          <w:bCs/>
          <w:color w:val="000000"/>
          <w:sz w:val="22"/>
          <w:szCs w:val="22"/>
        </w:rPr>
        <w:t>PA</w:t>
      </w:r>
      <w:r w:rsidRPr="00692C5C">
        <w:rPr>
          <w:rFonts w:ascii="Arial" w:eastAsia="Calibri" w:hAnsi="Arial" w:cs="Arial"/>
          <w:color w:val="000000"/>
          <w:sz w:val="22"/>
          <w:szCs w:val="22"/>
        </w:rPr>
        <w:t xml:space="preserve"> </w:t>
      </w:r>
    </w:p>
    <w:p w14:paraId="2C0655B9" w14:textId="04CE0D04" w:rsidR="00A66AFB" w:rsidRPr="00692C5C" w:rsidRDefault="00692C5C" w:rsidP="00692C5C">
      <w:pPr>
        <w:numPr>
          <w:ilvl w:val="0"/>
          <w:numId w:val="31"/>
        </w:numPr>
        <w:autoSpaceDE w:val="0"/>
        <w:autoSpaceDN w:val="0"/>
        <w:adjustRightInd w:val="0"/>
        <w:spacing w:line="276" w:lineRule="auto"/>
        <w:rPr>
          <w:rFonts w:ascii="Arial" w:eastAsia="Calibri" w:hAnsi="Arial" w:cs="Arial"/>
          <w:color w:val="000000"/>
          <w:sz w:val="22"/>
          <w:szCs w:val="22"/>
        </w:rPr>
      </w:pPr>
      <w:proofErr w:type="spellStart"/>
      <w:r w:rsidRPr="00692C5C">
        <w:rPr>
          <w:rFonts w:ascii="Arial" w:eastAsia="Calibri" w:hAnsi="Arial" w:cs="Arial"/>
          <w:sz w:val="22"/>
          <w:szCs w:val="22"/>
        </w:rPr>
        <w:t>Vyalev</w:t>
      </w:r>
      <w:proofErr w:type="spellEnd"/>
      <w:r w:rsidRPr="00692C5C">
        <w:rPr>
          <w:rFonts w:ascii="Arial" w:eastAsia="Calibri" w:hAnsi="Arial" w:cs="Arial"/>
          <w:sz w:val="22"/>
          <w:szCs w:val="22"/>
        </w:rPr>
        <w:t xml:space="preserve"> (</w:t>
      </w:r>
      <w:proofErr w:type="spellStart"/>
      <w:r w:rsidRPr="00692C5C">
        <w:rPr>
          <w:rFonts w:ascii="Arial" w:eastAsia="Calibri" w:hAnsi="Arial" w:cs="Arial"/>
          <w:sz w:val="22"/>
          <w:szCs w:val="22"/>
        </w:rPr>
        <w:t>foscarbidopa</w:t>
      </w:r>
      <w:proofErr w:type="spellEnd"/>
      <w:r w:rsidRPr="00692C5C">
        <w:rPr>
          <w:rFonts w:ascii="Arial" w:eastAsia="Calibri" w:hAnsi="Arial" w:cs="Arial"/>
          <w:sz w:val="22"/>
          <w:szCs w:val="22"/>
        </w:rPr>
        <w:t>/</w:t>
      </w:r>
      <w:proofErr w:type="spellStart"/>
      <w:r w:rsidRPr="00692C5C">
        <w:rPr>
          <w:rFonts w:ascii="Arial" w:eastAsia="Calibri" w:hAnsi="Arial" w:cs="Arial"/>
          <w:sz w:val="22"/>
          <w:szCs w:val="22"/>
        </w:rPr>
        <w:t>foslevodopa</w:t>
      </w:r>
      <w:proofErr w:type="spellEnd"/>
      <w:r w:rsidRPr="00692C5C">
        <w:rPr>
          <w:rFonts w:ascii="Arial" w:eastAsia="Calibri" w:hAnsi="Arial" w:cs="Arial"/>
          <w:sz w:val="22"/>
          <w:szCs w:val="22"/>
        </w:rPr>
        <w:t xml:space="preserve">) – </w:t>
      </w:r>
      <w:r w:rsidRPr="00692C5C">
        <w:rPr>
          <w:rFonts w:ascii="Arial" w:eastAsia="Calibri" w:hAnsi="Arial" w:cs="Arial"/>
          <w:b/>
          <w:bCs/>
          <w:sz w:val="22"/>
          <w:szCs w:val="22"/>
        </w:rPr>
        <w:t>PA</w:t>
      </w:r>
    </w:p>
    <w:p w14:paraId="08EF650C" w14:textId="77777777" w:rsidR="00692C5C" w:rsidRPr="00692C5C" w:rsidRDefault="00692C5C" w:rsidP="00692C5C">
      <w:pPr>
        <w:autoSpaceDE w:val="0"/>
        <w:autoSpaceDN w:val="0"/>
        <w:adjustRightInd w:val="0"/>
        <w:spacing w:line="276" w:lineRule="auto"/>
        <w:rPr>
          <w:rFonts w:ascii="Arial" w:eastAsia="Calibri" w:hAnsi="Arial" w:cs="Arial"/>
          <w:color w:val="000000"/>
          <w:sz w:val="22"/>
          <w:szCs w:val="22"/>
        </w:rPr>
      </w:pPr>
    </w:p>
    <w:p w14:paraId="700A1780" w14:textId="77777777" w:rsidR="0047632A" w:rsidRPr="0047632A" w:rsidRDefault="0047632A" w:rsidP="0047632A">
      <w:pPr>
        <w:keepNext/>
        <w:keepLines/>
        <w:spacing w:line="276" w:lineRule="auto"/>
        <w:outlineLvl w:val="0"/>
        <w:rPr>
          <w:rFonts w:ascii="Arial" w:eastAsia="Yu Gothic Light" w:hAnsi="Arial" w:cs="Arial"/>
          <w:b/>
        </w:rPr>
      </w:pPr>
      <w:r w:rsidRPr="0047632A">
        <w:rPr>
          <w:rFonts w:ascii="Arial" w:eastAsia="Yu Gothic Light" w:hAnsi="Arial" w:cs="Arial"/>
          <w:b/>
        </w:rPr>
        <w:t>Change in Prior Authorization Status</w:t>
      </w:r>
    </w:p>
    <w:p w14:paraId="4E34873B" w14:textId="10B8200E" w:rsidR="0047632A" w:rsidRPr="0047632A" w:rsidRDefault="0047632A" w:rsidP="0047632A">
      <w:pPr>
        <w:numPr>
          <w:ilvl w:val="0"/>
          <w:numId w:val="32"/>
        </w:numPr>
        <w:spacing w:line="276" w:lineRule="auto"/>
        <w:contextualSpacing/>
        <w:rPr>
          <w:rFonts w:ascii="Arial" w:eastAsia="Calibri" w:hAnsi="Arial" w:cs="Arial"/>
          <w:sz w:val="22"/>
          <w:szCs w:val="22"/>
        </w:rPr>
      </w:pPr>
      <w:bookmarkStart w:id="1" w:name="_Hlk98931753"/>
      <w:bookmarkStart w:id="2" w:name="_Hlk30086979"/>
      <w:r w:rsidRPr="0047632A">
        <w:rPr>
          <w:rFonts w:ascii="Arial" w:eastAsia="Calibri" w:hAnsi="Arial" w:cs="Arial"/>
          <w:sz w:val="22"/>
          <w:szCs w:val="22"/>
        </w:rPr>
        <w:t xml:space="preserve">Effective February 18, 2025, the following cardiovascular agents will require PA. </w:t>
      </w:r>
    </w:p>
    <w:p w14:paraId="5034B47B" w14:textId="77777777" w:rsidR="0047632A" w:rsidRPr="0047632A" w:rsidRDefault="0047632A" w:rsidP="0047632A">
      <w:pPr>
        <w:numPr>
          <w:ilvl w:val="1"/>
          <w:numId w:val="32"/>
        </w:numPr>
        <w:spacing w:after="160" w:line="256" w:lineRule="auto"/>
        <w:ind w:left="1080"/>
        <w:contextualSpacing/>
        <w:rPr>
          <w:rFonts w:ascii="Arial" w:eastAsia="Calibri" w:hAnsi="Arial" w:cs="Arial"/>
          <w:sz w:val="22"/>
          <w:szCs w:val="22"/>
        </w:rPr>
      </w:pPr>
      <w:r w:rsidRPr="0047632A">
        <w:rPr>
          <w:rFonts w:ascii="Arial" w:eastAsia="Calibri" w:hAnsi="Arial" w:cs="Arial"/>
          <w:sz w:val="22"/>
          <w:szCs w:val="22"/>
        </w:rPr>
        <w:t xml:space="preserve">Accupril (quinapril) – </w:t>
      </w:r>
      <w:r w:rsidRPr="0047632A">
        <w:rPr>
          <w:rFonts w:ascii="Arial" w:eastAsia="Calibri" w:hAnsi="Arial" w:cs="Arial"/>
          <w:b/>
          <w:bCs/>
          <w:sz w:val="22"/>
          <w:szCs w:val="22"/>
        </w:rPr>
        <w:t>PA</w:t>
      </w:r>
      <w:r w:rsidRPr="0047632A">
        <w:rPr>
          <w:rFonts w:ascii="Arial" w:eastAsia="Calibri" w:hAnsi="Arial" w:cs="Arial"/>
          <w:sz w:val="22"/>
          <w:szCs w:val="22"/>
        </w:rPr>
        <w:t>; M90</w:t>
      </w:r>
    </w:p>
    <w:p w14:paraId="10FCA88E" w14:textId="77777777" w:rsidR="0047632A" w:rsidRPr="0047632A" w:rsidRDefault="0047632A" w:rsidP="0047632A">
      <w:pPr>
        <w:numPr>
          <w:ilvl w:val="1"/>
          <w:numId w:val="32"/>
        </w:numPr>
        <w:spacing w:after="160" w:line="256" w:lineRule="auto"/>
        <w:ind w:left="1080"/>
        <w:contextualSpacing/>
        <w:rPr>
          <w:rFonts w:ascii="Arial" w:eastAsia="Calibri" w:hAnsi="Arial" w:cs="Arial"/>
          <w:sz w:val="22"/>
          <w:szCs w:val="22"/>
        </w:rPr>
      </w:pPr>
      <w:r w:rsidRPr="0047632A">
        <w:rPr>
          <w:rFonts w:ascii="Arial" w:eastAsia="Calibri" w:hAnsi="Arial" w:cs="Arial"/>
          <w:sz w:val="22"/>
          <w:szCs w:val="22"/>
        </w:rPr>
        <w:t xml:space="preserve">Accuretic (quinapril/hydrochlorothiazide) – </w:t>
      </w:r>
      <w:r w:rsidRPr="0047632A">
        <w:rPr>
          <w:rFonts w:ascii="Arial" w:eastAsia="Calibri" w:hAnsi="Arial" w:cs="Arial"/>
          <w:b/>
          <w:bCs/>
          <w:sz w:val="22"/>
          <w:szCs w:val="22"/>
        </w:rPr>
        <w:t>PA</w:t>
      </w:r>
      <w:r w:rsidRPr="0047632A">
        <w:rPr>
          <w:rFonts w:ascii="Arial" w:eastAsia="Calibri" w:hAnsi="Arial" w:cs="Arial"/>
          <w:sz w:val="22"/>
          <w:szCs w:val="22"/>
        </w:rPr>
        <w:t>; M90</w:t>
      </w:r>
    </w:p>
    <w:p w14:paraId="47DB0935" w14:textId="54036DD1" w:rsidR="0047632A" w:rsidRPr="0047632A" w:rsidRDefault="0047632A" w:rsidP="0047632A">
      <w:pPr>
        <w:numPr>
          <w:ilvl w:val="1"/>
          <w:numId w:val="32"/>
        </w:numPr>
        <w:spacing w:after="160" w:line="256" w:lineRule="auto"/>
        <w:ind w:left="1080"/>
        <w:contextualSpacing/>
        <w:rPr>
          <w:rFonts w:ascii="Arial" w:eastAsia="Calibri" w:hAnsi="Arial" w:cs="Arial"/>
          <w:sz w:val="22"/>
          <w:szCs w:val="22"/>
        </w:rPr>
      </w:pPr>
      <w:r w:rsidRPr="0047632A">
        <w:rPr>
          <w:rFonts w:ascii="Arial" w:eastAsia="Calibri" w:hAnsi="Arial" w:cs="Arial"/>
          <w:sz w:val="22"/>
          <w:szCs w:val="22"/>
        </w:rPr>
        <w:t>digoxin 62.5 mcg tablet, solution</w:t>
      </w:r>
      <w:r w:rsidRPr="0047632A">
        <w:rPr>
          <w:rFonts w:ascii="Arial" w:eastAsia="Calibri" w:hAnsi="Arial" w:cs="Arial"/>
          <w:b/>
          <w:bCs/>
          <w:sz w:val="22"/>
          <w:szCs w:val="22"/>
        </w:rPr>
        <w:t xml:space="preserve"> </w:t>
      </w:r>
      <w:r w:rsidRPr="0047632A">
        <w:rPr>
          <w:rFonts w:ascii="Arial" w:eastAsia="Calibri" w:hAnsi="Arial" w:cs="Arial"/>
          <w:sz w:val="22"/>
          <w:szCs w:val="22"/>
        </w:rPr>
        <w:t xml:space="preserve">– </w:t>
      </w:r>
      <w:r w:rsidRPr="0047632A">
        <w:rPr>
          <w:rFonts w:ascii="Arial" w:eastAsia="Calibri" w:hAnsi="Arial" w:cs="Arial"/>
          <w:b/>
          <w:bCs/>
          <w:sz w:val="22"/>
          <w:szCs w:val="22"/>
        </w:rPr>
        <w:t>PA</w:t>
      </w:r>
      <w:r w:rsidRPr="0047632A">
        <w:rPr>
          <w:rFonts w:ascii="Arial" w:eastAsia="Calibri" w:hAnsi="Arial" w:cs="Arial"/>
          <w:sz w:val="22"/>
          <w:szCs w:val="22"/>
        </w:rPr>
        <w:t>; M90</w:t>
      </w:r>
    </w:p>
    <w:p w14:paraId="38FD03E1" w14:textId="59068D48" w:rsidR="0047632A" w:rsidRPr="0047632A" w:rsidRDefault="0047632A" w:rsidP="0047632A">
      <w:pPr>
        <w:numPr>
          <w:ilvl w:val="1"/>
          <w:numId w:val="32"/>
        </w:numPr>
        <w:spacing w:after="160" w:line="256" w:lineRule="auto"/>
        <w:ind w:left="1080"/>
        <w:contextualSpacing/>
        <w:rPr>
          <w:rFonts w:ascii="Arial" w:eastAsia="Calibri" w:hAnsi="Arial" w:cs="Arial"/>
          <w:sz w:val="22"/>
          <w:szCs w:val="22"/>
        </w:rPr>
      </w:pPr>
      <w:r w:rsidRPr="0047632A">
        <w:rPr>
          <w:rFonts w:ascii="Arial" w:eastAsia="Calibri" w:hAnsi="Arial" w:cs="Arial"/>
          <w:sz w:val="22"/>
          <w:szCs w:val="22"/>
        </w:rPr>
        <w:t>furosemide solution</w:t>
      </w:r>
      <w:r w:rsidRPr="0047632A">
        <w:rPr>
          <w:rFonts w:ascii="Arial" w:eastAsia="Calibri" w:hAnsi="Arial" w:cs="Arial"/>
          <w:b/>
          <w:bCs/>
          <w:sz w:val="22"/>
          <w:szCs w:val="22"/>
        </w:rPr>
        <w:t xml:space="preserve"> </w:t>
      </w:r>
      <w:r w:rsidRPr="0047632A">
        <w:rPr>
          <w:rFonts w:ascii="Arial" w:eastAsia="Calibri" w:hAnsi="Arial" w:cs="Arial"/>
          <w:sz w:val="22"/>
          <w:szCs w:val="22"/>
        </w:rPr>
        <w:t xml:space="preserve">– </w:t>
      </w:r>
      <w:r w:rsidRPr="0047632A">
        <w:rPr>
          <w:rFonts w:ascii="Arial" w:eastAsia="Calibri" w:hAnsi="Arial" w:cs="Arial"/>
          <w:b/>
          <w:bCs/>
          <w:sz w:val="22"/>
          <w:szCs w:val="22"/>
        </w:rPr>
        <w:t>PA</w:t>
      </w:r>
      <w:r w:rsidRPr="0047632A">
        <w:rPr>
          <w:rFonts w:ascii="Arial" w:eastAsia="Calibri" w:hAnsi="Arial" w:cs="Arial"/>
          <w:sz w:val="22"/>
          <w:szCs w:val="22"/>
        </w:rPr>
        <w:t>; M90</w:t>
      </w:r>
    </w:p>
    <w:bookmarkEnd w:id="1"/>
    <w:bookmarkEnd w:id="2"/>
    <w:p w14:paraId="5D8AAF78" w14:textId="77777777" w:rsidR="0047632A" w:rsidRPr="0047632A" w:rsidRDefault="0047632A" w:rsidP="0047632A">
      <w:pPr>
        <w:numPr>
          <w:ilvl w:val="0"/>
          <w:numId w:val="32"/>
        </w:numPr>
        <w:spacing w:line="276" w:lineRule="auto"/>
        <w:contextualSpacing/>
        <w:rPr>
          <w:rFonts w:ascii="Arial" w:eastAsia="Calibri" w:hAnsi="Arial" w:cs="Arial"/>
          <w:sz w:val="22"/>
          <w:szCs w:val="22"/>
        </w:rPr>
      </w:pPr>
      <w:r w:rsidRPr="0047632A">
        <w:rPr>
          <w:rFonts w:ascii="Arial" w:eastAsia="Calibri" w:hAnsi="Arial" w:cs="Arial"/>
          <w:sz w:val="22"/>
          <w:szCs w:val="22"/>
        </w:rPr>
        <w:t xml:space="preserve">Effective February 18, 2025, the following topical immunosuppressive agent will require PA. </w:t>
      </w:r>
    </w:p>
    <w:p w14:paraId="2C7A7B8A" w14:textId="77777777" w:rsidR="0047632A" w:rsidRPr="0047632A" w:rsidRDefault="0047632A" w:rsidP="0047632A">
      <w:pPr>
        <w:numPr>
          <w:ilvl w:val="1"/>
          <w:numId w:val="32"/>
        </w:numPr>
        <w:spacing w:after="160" w:line="256" w:lineRule="auto"/>
        <w:ind w:left="1080"/>
        <w:contextualSpacing/>
        <w:rPr>
          <w:rFonts w:ascii="Arial" w:eastAsia="Calibri" w:hAnsi="Arial" w:cs="Arial"/>
          <w:sz w:val="22"/>
          <w:szCs w:val="22"/>
        </w:rPr>
      </w:pPr>
      <w:proofErr w:type="spellStart"/>
      <w:r w:rsidRPr="0047632A">
        <w:rPr>
          <w:rFonts w:ascii="Arial" w:eastAsia="Calibri" w:hAnsi="Arial" w:cs="Arial"/>
          <w:sz w:val="22"/>
          <w:szCs w:val="22"/>
        </w:rPr>
        <w:t>Elidel</w:t>
      </w:r>
      <w:proofErr w:type="spellEnd"/>
      <w:r w:rsidRPr="0047632A">
        <w:rPr>
          <w:rFonts w:ascii="Arial" w:eastAsia="Calibri" w:hAnsi="Arial" w:cs="Arial"/>
          <w:sz w:val="22"/>
          <w:szCs w:val="22"/>
        </w:rPr>
        <w:t xml:space="preserve"> (pimecrolimus) – </w:t>
      </w:r>
      <w:r w:rsidRPr="0047632A">
        <w:rPr>
          <w:rFonts w:ascii="Arial" w:eastAsia="Calibri" w:hAnsi="Arial" w:cs="Arial"/>
          <w:b/>
          <w:bCs/>
          <w:sz w:val="22"/>
          <w:szCs w:val="22"/>
        </w:rPr>
        <w:t>PA</w:t>
      </w:r>
      <w:r w:rsidRPr="0047632A">
        <w:rPr>
          <w:rFonts w:ascii="Arial" w:eastAsia="Calibri" w:hAnsi="Arial" w:cs="Arial"/>
          <w:sz w:val="22"/>
          <w:szCs w:val="22"/>
        </w:rPr>
        <w:t>; A90</w:t>
      </w:r>
    </w:p>
    <w:p w14:paraId="71E23B04" w14:textId="77777777" w:rsidR="0047632A" w:rsidRPr="0047632A" w:rsidRDefault="0047632A" w:rsidP="0047632A">
      <w:pPr>
        <w:numPr>
          <w:ilvl w:val="0"/>
          <w:numId w:val="32"/>
        </w:numPr>
        <w:spacing w:line="276" w:lineRule="auto"/>
        <w:contextualSpacing/>
        <w:rPr>
          <w:rFonts w:ascii="Arial" w:eastAsia="Calibri" w:hAnsi="Arial" w:cs="Arial"/>
          <w:sz w:val="22"/>
          <w:szCs w:val="22"/>
        </w:rPr>
      </w:pPr>
      <w:r w:rsidRPr="0047632A">
        <w:rPr>
          <w:rFonts w:ascii="Arial" w:eastAsia="Calibri" w:hAnsi="Arial" w:cs="Arial"/>
          <w:sz w:val="22"/>
          <w:szCs w:val="22"/>
        </w:rPr>
        <w:t xml:space="preserve">Effective February 18, 2025, the following medical supply will no longer require PA within established quantity limits. </w:t>
      </w:r>
    </w:p>
    <w:p w14:paraId="0EFEF926" w14:textId="77777777" w:rsidR="0047632A" w:rsidRDefault="0047632A" w:rsidP="0047632A">
      <w:pPr>
        <w:numPr>
          <w:ilvl w:val="1"/>
          <w:numId w:val="32"/>
        </w:numPr>
        <w:spacing w:after="160" w:line="276" w:lineRule="auto"/>
        <w:ind w:left="1080"/>
        <w:contextualSpacing/>
        <w:rPr>
          <w:rFonts w:ascii="Arial" w:eastAsia="Calibri" w:hAnsi="Arial" w:cs="Arial"/>
          <w:sz w:val="22"/>
          <w:szCs w:val="22"/>
        </w:rPr>
      </w:pPr>
      <w:bookmarkStart w:id="3" w:name="_Hlk181882212"/>
      <w:r w:rsidRPr="0047632A">
        <w:rPr>
          <w:rFonts w:ascii="Arial" w:eastAsia="Calibri" w:hAnsi="Arial" w:cs="Arial"/>
          <w:sz w:val="22"/>
          <w:szCs w:val="22"/>
        </w:rPr>
        <w:t xml:space="preserve">Freestyle Neo (test strips, blood glucose, preferred) – </w:t>
      </w:r>
      <w:r w:rsidRPr="0047632A">
        <w:rPr>
          <w:rFonts w:ascii="Arial" w:eastAsia="Calibri" w:hAnsi="Arial" w:cs="Arial"/>
          <w:b/>
          <w:bCs/>
          <w:sz w:val="22"/>
          <w:szCs w:val="22"/>
        </w:rPr>
        <w:t>PA &gt; 100 units/30 days</w:t>
      </w:r>
      <w:r w:rsidRPr="0047632A">
        <w:rPr>
          <w:rFonts w:ascii="Arial" w:eastAsia="Calibri" w:hAnsi="Arial" w:cs="Arial"/>
          <w:sz w:val="22"/>
          <w:szCs w:val="22"/>
        </w:rPr>
        <w:t>; PND</w:t>
      </w:r>
      <w:bookmarkEnd w:id="3"/>
    </w:p>
    <w:p w14:paraId="68A27B84" w14:textId="77777777" w:rsidR="001E537A" w:rsidRDefault="001E537A" w:rsidP="001E537A">
      <w:pPr>
        <w:spacing w:after="160" w:line="276" w:lineRule="auto"/>
        <w:contextualSpacing/>
        <w:rPr>
          <w:rFonts w:ascii="Arial" w:eastAsia="Calibri" w:hAnsi="Arial" w:cs="Arial"/>
          <w:sz w:val="22"/>
          <w:szCs w:val="22"/>
        </w:rPr>
      </w:pPr>
    </w:p>
    <w:p w14:paraId="1C50055C" w14:textId="77777777" w:rsidR="001E537A" w:rsidRPr="001E537A" w:rsidRDefault="001E537A" w:rsidP="001E537A">
      <w:pPr>
        <w:keepNext/>
        <w:keepLines/>
        <w:spacing w:line="276" w:lineRule="auto"/>
        <w:outlineLvl w:val="0"/>
        <w:rPr>
          <w:rFonts w:ascii="Arial" w:eastAsia="Yu Gothic Light" w:hAnsi="Arial" w:cs="Arial"/>
          <w:b/>
        </w:rPr>
      </w:pPr>
      <w:bookmarkStart w:id="4" w:name="_Hlk527542045"/>
      <w:r w:rsidRPr="001E537A">
        <w:rPr>
          <w:rFonts w:ascii="Arial" w:eastAsia="Yu Gothic Light" w:hAnsi="Arial" w:cs="Arial"/>
          <w:b/>
        </w:rPr>
        <w:t>Updated MassHealth Brand Name Preferred Over Generic Drug List</w:t>
      </w:r>
    </w:p>
    <w:p w14:paraId="6BE3806A" w14:textId="77777777" w:rsidR="001E537A" w:rsidRPr="001E537A" w:rsidRDefault="001E537A" w:rsidP="001E537A">
      <w:pPr>
        <w:autoSpaceDE w:val="0"/>
        <w:autoSpaceDN w:val="0"/>
        <w:adjustRightInd w:val="0"/>
        <w:spacing w:line="276" w:lineRule="auto"/>
        <w:rPr>
          <w:rFonts w:ascii="Arial" w:eastAsia="Calibri" w:hAnsi="Arial" w:cs="Arial"/>
          <w:color w:val="000000"/>
          <w:sz w:val="22"/>
          <w:szCs w:val="21"/>
        </w:rPr>
      </w:pPr>
      <w:bookmarkStart w:id="5" w:name="_Hlk14249184"/>
      <w:bookmarkStart w:id="6" w:name="_Hlk536624120"/>
      <w:r w:rsidRPr="001E537A">
        <w:rPr>
          <w:rFonts w:ascii="Arial" w:eastAsia="Calibri" w:hAnsi="Arial" w:cs="Arial"/>
          <w:color w:val="000000"/>
          <w:sz w:val="22"/>
          <w:szCs w:val="21"/>
        </w:rPr>
        <w:t xml:space="preserve">Effective </w:t>
      </w:r>
      <w:r w:rsidRPr="001E537A">
        <w:rPr>
          <w:rFonts w:ascii="Arial" w:eastAsia="Calibri" w:hAnsi="Arial" w:cs="Arial"/>
          <w:color w:val="000000"/>
          <w:sz w:val="22"/>
          <w:szCs w:val="22"/>
        </w:rPr>
        <w:t xml:space="preserve">February 18, 2025, </w:t>
      </w:r>
      <w:r w:rsidRPr="001E537A">
        <w:rPr>
          <w:rFonts w:ascii="Arial" w:eastAsia="Calibri" w:hAnsi="Arial" w:cs="Arial"/>
          <w:color w:val="000000"/>
          <w:sz w:val="22"/>
          <w:szCs w:val="21"/>
        </w:rPr>
        <w:t xml:space="preserve">the following agents will be removed from the MassHealth Brand Name Preferred Over Generic Drug List. </w:t>
      </w:r>
    </w:p>
    <w:bookmarkEnd w:id="5"/>
    <w:bookmarkEnd w:id="6"/>
    <w:p w14:paraId="11C24EEF" w14:textId="6A36C2D6" w:rsidR="001E537A" w:rsidRPr="001E537A" w:rsidRDefault="001E537A" w:rsidP="001E537A">
      <w:pPr>
        <w:numPr>
          <w:ilvl w:val="0"/>
          <w:numId w:val="33"/>
        </w:numPr>
        <w:spacing w:after="160" w:line="256" w:lineRule="auto"/>
        <w:ind w:left="720"/>
        <w:contextualSpacing/>
        <w:rPr>
          <w:rFonts w:ascii="Arial" w:eastAsia="Calibri" w:hAnsi="Arial" w:cs="Arial"/>
          <w:color w:val="000000"/>
          <w:sz w:val="22"/>
          <w:szCs w:val="22"/>
        </w:rPr>
      </w:pPr>
      <w:proofErr w:type="spellStart"/>
      <w:r w:rsidRPr="007006BD">
        <w:rPr>
          <w:rFonts w:ascii="Arial" w:eastAsia="Calibri" w:hAnsi="Arial" w:cs="Arial"/>
          <w:color w:val="000000"/>
          <w:sz w:val="22"/>
          <w:szCs w:val="22"/>
        </w:rPr>
        <w:t>Elidel</w:t>
      </w:r>
      <w:proofErr w:type="spellEnd"/>
      <w:r w:rsidRPr="007006BD">
        <w:rPr>
          <w:rFonts w:ascii="Arial" w:eastAsia="Calibri" w:hAnsi="Arial" w:cs="Arial"/>
          <w:color w:val="000000"/>
          <w:sz w:val="22"/>
          <w:szCs w:val="22"/>
        </w:rPr>
        <w:t xml:space="preserve"> (pimecrolimus)</w:t>
      </w:r>
      <w:r w:rsidRPr="001E537A">
        <w:rPr>
          <w:rFonts w:ascii="Arial" w:eastAsia="Calibri" w:hAnsi="Arial" w:cs="Arial"/>
          <w:color w:val="000000"/>
          <w:sz w:val="22"/>
          <w:szCs w:val="22"/>
        </w:rPr>
        <w:t xml:space="preserve"> – </w:t>
      </w:r>
      <w:r w:rsidRPr="001E537A">
        <w:rPr>
          <w:rFonts w:ascii="Arial" w:eastAsia="Calibri" w:hAnsi="Arial" w:cs="Arial"/>
          <w:b/>
          <w:bCs/>
          <w:color w:val="000000"/>
          <w:sz w:val="22"/>
          <w:szCs w:val="22"/>
        </w:rPr>
        <w:t>PA</w:t>
      </w:r>
      <w:r w:rsidRPr="001E537A">
        <w:rPr>
          <w:rFonts w:ascii="Arial" w:eastAsia="Calibri" w:hAnsi="Arial" w:cs="Arial"/>
          <w:color w:val="000000"/>
          <w:sz w:val="22"/>
          <w:szCs w:val="22"/>
        </w:rPr>
        <w:t xml:space="preserve">; A90 </w:t>
      </w:r>
    </w:p>
    <w:p w14:paraId="665AD401" w14:textId="77777777" w:rsidR="001E537A" w:rsidRPr="001E537A" w:rsidRDefault="001E537A" w:rsidP="001E537A">
      <w:pPr>
        <w:numPr>
          <w:ilvl w:val="0"/>
          <w:numId w:val="33"/>
        </w:numPr>
        <w:spacing w:after="160" w:line="256" w:lineRule="auto"/>
        <w:ind w:left="720"/>
        <w:contextualSpacing/>
        <w:rPr>
          <w:rFonts w:ascii="Arial" w:eastAsia="Calibri" w:hAnsi="Arial" w:cs="Arial"/>
          <w:color w:val="000000"/>
          <w:sz w:val="22"/>
          <w:szCs w:val="22"/>
        </w:rPr>
      </w:pPr>
      <w:proofErr w:type="spellStart"/>
      <w:r w:rsidRPr="001E537A">
        <w:rPr>
          <w:rFonts w:ascii="Arial" w:eastAsia="Calibri" w:hAnsi="Arial" w:cs="Arial"/>
          <w:color w:val="000000"/>
          <w:sz w:val="22"/>
          <w:szCs w:val="22"/>
        </w:rPr>
        <w:t>Valcyte</w:t>
      </w:r>
      <w:proofErr w:type="spellEnd"/>
      <w:r w:rsidRPr="001E537A">
        <w:rPr>
          <w:rFonts w:ascii="Arial" w:eastAsia="Calibri" w:hAnsi="Arial" w:cs="Arial"/>
          <w:color w:val="000000"/>
          <w:sz w:val="22"/>
          <w:szCs w:val="22"/>
        </w:rPr>
        <w:t xml:space="preserve"> (valganciclovir powder for oral solution) – </w:t>
      </w:r>
      <w:r w:rsidRPr="001E537A">
        <w:rPr>
          <w:rFonts w:ascii="Arial" w:eastAsia="Calibri" w:hAnsi="Arial" w:cs="Arial"/>
          <w:b/>
          <w:bCs/>
          <w:color w:val="000000"/>
          <w:sz w:val="22"/>
          <w:szCs w:val="22"/>
        </w:rPr>
        <w:t>PA</w:t>
      </w:r>
      <w:r w:rsidRPr="001E537A">
        <w:rPr>
          <w:rFonts w:ascii="Arial" w:eastAsia="Calibri" w:hAnsi="Arial" w:cs="Arial"/>
          <w:color w:val="000000"/>
          <w:sz w:val="22"/>
          <w:szCs w:val="22"/>
        </w:rPr>
        <w:t>; A90</w:t>
      </w:r>
      <w:bookmarkEnd w:id="4"/>
    </w:p>
    <w:p w14:paraId="181B46DA" w14:textId="77777777" w:rsidR="00FE5DF5" w:rsidRDefault="00FE5DF5" w:rsidP="006807BE">
      <w:pPr>
        <w:pStyle w:val="NormalWeb"/>
        <w:rPr>
          <w:rFonts w:eastAsia="Yu Gothic Light"/>
        </w:rPr>
      </w:pPr>
    </w:p>
    <w:p w14:paraId="74724DE3" w14:textId="22C91AF1" w:rsidR="00A23C6C" w:rsidRPr="00A23C6C" w:rsidRDefault="00A23C6C" w:rsidP="00A23C6C">
      <w:pPr>
        <w:keepNext/>
        <w:keepLines/>
        <w:spacing w:line="276" w:lineRule="auto"/>
        <w:outlineLvl w:val="0"/>
        <w:rPr>
          <w:rFonts w:ascii="Arial" w:eastAsia="Yu Gothic Light" w:hAnsi="Arial"/>
          <w:b/>
          <w:szCs w:val="32"/>
        </w:rPr>
      </w:pPr>
      <w:r w:rsidRPr="00A23C6C">
        <w:rPr>
          <w:rFonts w:ascii="Arial" w:eastAsia="Yu Gothic Light" w:hAnsi="Arial"/>
          <w:b/>
          <w:szCs w:val="32"/>
        </w:rPr>
        <w:lastRenderedPageBreak/>
        <w:t>Updated MassHealth 90-day Initiative</w:t>
      </w:r>
    </w:p>
    <w:p w14:paraId="6023042F" w14:textId="77777777" w:rsidR="00A23C6C" w:rsidRPr="00A23C6C" w:rsidRDefault="00A23C6C" w:rsidP="00A23C6C">
      <w:pPr>
        <w:spacing w:line="256" w:lineRule="auto"/>
        <w:rPr>
          <w:rFonts w:ascii="Arial" w:eastAsia="Calibri" w:hAnsi="Arial" w:cs="Arial"/>
          <w:sz w:val="22"/>
          <w:szCs w:val="21"/>
        </w:rPr>
      </w:pPr>
      <w:r w:rsidRPr="00A23C6C">
        <w:rPr>
          <w:rFonts w:ascii="Arial" w:eastAsia="Calibri" w:hAnsi="Arial" w:cs="Arial"/>
          <w:sz w:val="21"/>
          <w:szCs w:val="21"/>
        </w:rPr>
        <w:t xml:space="preserve">The </w:t>
      </w:r>
      <w:r w:rsidRPr="00A23C6C">
        <w:rPr>
          <w:rFonts w:ascii="Arial" w:eastAsia="Calibri" w:hAnsi="Arial" w:cs="Arial"/>
          <w:sz w:val="22"/>
          <w:szCs w:val="22"/>
        </w:rPr>
        <w:t>MassHealth 90-day Initiative has been updated to reflect recent changes to the MassHealth Drug List</w:t>
      </w:r>
      <w:r w:rsidRPr="00A23C6C">
        <w:rPr>
          <w:rFonts w:ascii="Arial" w:eastAsia="Calibri" w:hAnsi="Arial" w:cs="Arial"/>
          <w:sz w:val="22"/>
          <w:szCs w:val="21"/>
        </w:rPr>
        <w:t>.</w:t>
      </w:r>
    </w:p>
    <w:p w14:paraId="3A646FB1" w14:textId="77777777" w:rsidR="00A23C6C" w:rsidRPr="00A23C6C" w:rsidRDefault="00A23C6C" w:rsidP="00A23C6C">
      <w:pPr>
        <w:autoSpaceDE w:val="0"/>
        <w:autoSpaceDN w:val="0"/>
        <w:adjustRightInd w:val="0"/>
        <w:spacing w:line="276" w:lineRule="auto"/>
        <w:rPr>
          <w:rFonts w:ascii="Arial" w:eastAsia="Calibri" w:hAnsi="Arial" w:cs="Arial"/>
          <w:color w:val="000000"/>
          <w:sz w:val="22"/>
          <w:szCs w:val="21"/>
        </w:rPr>
      </w:pPr>
      <w:r w:rsidRPr="00A23C6C">
        <w:rPr>
          <w:rFonts w:ascii="Arial" w:eastAsia="Calibri" w:hAnsi="Arial" w:cs="Arial"/>
          <w:color w:val="000000"/>
          <w:sz w:val="22"/>
          <w:szCs w:val="21"/>
        </w:rPr>
        <w:t xml:space="preserve">Effective </w:t>
      </w:r>
      <w:r w:rsidRPr="00A23C6C">
        <w:rPr>
          <w:rFonts w:ascii="Arial" w:eastAsia="Calibri" w:hAnsi="Arial" w:cs="Arial"/>
          <w:color w:val="000000"/>
          <w:sz w:val="22"/>
          <w:szCs w:val="22"/>
        </w:rPr>
        <w:t>February 18, 2025, the following agents may be allowed or mandated to be dispensed in up to a 90-day supply, as indicated below</w:t>
      </w:r>
      <w:r w:rsidRPr="00A23C6C">
        <w:rPr>
          <w:rFonts w:ascii="Arial" w:eastAsia="Calibri" w:hAnsi="Arial" w:cs="Arial"/>
          <w:color w:val="000000"/>
          <w:sz w:val="22"/>
          <w:szCs w:val="21"/>
        </w:rPr>
        <w:t xml:space="preserve">. </w:t>
      </w:r>
    </w:p>
    <w:p w14:paraId="3A1DB35E" w14:textId="77777777" w:rsidR="00A23C6C" w:rsidRPr="00EB3E62" w:rsidRDefault="00A23C6C" w:rsidP="00424249">
      <w:pPr>
        <w:numPr>
          <w:ilvl w:val="1"/>
          <w:numId w:val="34"/>
        </w:numPr>
        <w:autoSpaceDE w:val="0"/>
        <w:autoSpaceDN w:val="0"/>
        <w:adjustRightInd w:val="0"/>
        <w:spacing w:after="120" w:line="276" w:lineRule="auto"/>
        <w:ind w:left="720"/>
        <w:rPr>
          <w:rFonts w:eastAsia="Calibri" w:cs="Arial"/>
          <w:color w:val="000000"/>
          <w:szCs w:val="21"/>
        </w:rPr>
      </w:pPr>
      <w:proofErr w:type="spellStart"/>
      <w:r w:rsidRPr="00A23C6C">
        <w:rPr>
          <w:rFonts w:ascii="Arial" w:eastAsia="Calibri" w:hAnsi="Arial" w:cs="Arial"/>
          <w:color w:val="000000"/>
          <w:sz w:val="22"/>
          <w:szCs w:val="21"/>
        </w:rPr>
        <w:t>Namzaric</w:t>
      </w:r>
      <w:proofErr w:type="spellEnd"/>
      <w:r w:rsidRPr="00A23C6C">
        <w:rPr>
          <w:rFonts w:ascii="Arial" w:eastAsia="Calibri" w:hAnsi="Arial" w:cs="Arial"/>
          <w:color w:val="000000"/>
          <w:sz w:val="22"/>
          <w:szCs w:val="21"/>
        </w:rPr>
        <w:t xml:space="preserve"> (memantine/donepezil extended-release) – </w:t>
      </w:r>
      <w:r w:rsidRPr="00A23C6C">
        <w:rPr>
          <w:rFonts w:ascii="Arial" w:eastAsia="Calibri" w:hAnsi="Arial" w:cs="Arial"/>
          <w:b/>
          <w:bCs/>
          <w:color w:val="000000"/>
          <w:sz w:val="22"/>
          <w:szCs w:val="21"/>
        </w:rPr>
        <w:t>PA</w:t>
      </w:r>
      <w:r w:rsidRPr="00A23C6C">
        <w:rPr>
          <w:rFonts w:ascii="Arial" w:eastAsia="Calibri" w:hAnsi="Arial" w:cs="Arial"/>
          <w:color w:val="000000"/>
          <w:sz w:val="22"/>
          <w:szCs w:val="21"/>
        </w:rPr>
        <w:t>; BP, A90</w:t>
      </w:r>
    </w:p>
    <w:p w14:paraId="050D8235" w14:textId="77777777" w:rsidR="00EB3E62" w:rsidRPr="00424249" w:rsidRDefault="00EB3E62" w:rsidP="00424249">
      <w:pPr>
        <w:autoSpaceDE w:val="0"/>
        <w:autoSpaceDN w:val="0"/>
        <w:adjustRightInd w:val="0"/>
        <w:spacing w:line="276" w:lineRule="auto"/>
        <w:rPr>
          <w:rFonts w:ascii="Arial" w:eastAsia="Calibri" w:hAnsi="Arial" w:cs="Arial"/>
          <w:color w:val="000000"/>
          <w:sz w:val="20"/>
          <w:szCs w:val="20"/>
        </w:rPr>
      </w:pPr>
    </w:p>
    <w:p w14:paraId="59AAA6C1" w14:textId="77777777" w:rsidR="00EB3E62" w:rsidRPr="00EB3E62" w:rsidRDefault="00EB3E62" w:rsidP="00EB3E62">
      <w:pPr>
        <w:keepNext/>
        <w:keepLines/>
        <w:spacing w:line="276" w:lineRule="auto"/>
        <w:outlineLvl w:val="0"/>
        <w:rPr>
          <w:rFonts w:ascii="Arial" w:eastAsia="Yu Gothic Light" w:hAnsi="Arial" w:cs="Arial"/>
          <w:b/>
          <w:szCs w:val="32"/>
        </w:rPr>
      </w:pPr>
      <w:r w:rsidRPr="00EB3E62">
        <w:rPr>
          <w:rFonts w:ascii="Arial" w:eastAsia="Yu Gothic Light" w:hAnsi="Arial" w:cs="Arial"/>
          <w:b/>
          <w:szCs w:val="32"/>
        </w:rPr>
        <w:t>Change in Coverage Status</w:t>
      </w:r>
    </w:p>
    <w:p w14:paraId="02CC1754" w14:textId="539AB22C" w:rsidR="00EB3E62" w:rsidRPr="00EB3E62" w:rsidRDefault="00EB3E62" w:rsidP="00EB3E62">
      <w:pPr>
        <w:autoSpaceDE w:val="0"/>
        <w:autoSpaceDN w:val="0"/>
        <w:adjustRightInd w:val="0"/>
        <w:spacing w:line="276" w:lineRule="auto"/>
        <w:rPr>
          <w:rFonts w:ascii="Arial" w:eastAsia="Calibri" w:hAnsi="Arial" w:cs="Arial"/>
          <w:sz w:val="22"/>
          <w:szCs w:val="22"/>
          <w:highlight w:val="yellow"/>
        </w:rPr>
      </w:pPr>
      <w:r w:rsidRPr="00EB3E62">
        <w:rPr>
          <w:rFonts w:ascii="Arial" w:eastAsia="Calibri" w:hAnsi="Arial" w:cs="Arial"/>
          <w:color w:val="000000"/>
          <w:sz w:val="22"/>
          <w:szCs w:val="22"/>
        </w:rPr>
        <w:t xml:space="preserve">Effective February 18, 2025, the following agents will be available </w:t>
      </w:r>
      <w:r w:rsidR="00F038F7">
        <w:rPr>
          <w:rFonts w:ascii="Arial" w:eastAsia="Calibri" w:hAnsi="Arial" w:cs="Arial"/>
          <w:color w:val="000000"/>
          <w:sz w:val="22"/>
          <w:szCs w:val="22"/>
        </w:rPr>
        <w:t xml:space="preserve">only </w:t>
      </w:r>
      <w:r w:rsidRPr="00EB3E62">
        <w:rPr>
          <w:rFonts w:ascii="Arial" w:eastAsia="Calibri" w:hAnsi="Arial" w:cs="Arial"/>
          <w:color w:val="000000"/>
          <w:sz w:val="22"/>
          <w:szCs w:val="22"/>
        </w:rPr>
        <w:t>through medical billing and will no longer be available through pharmacy billing</w:t>
      </w:r>
      <w:r w:rsidRPr="00EB3E62">
        <w:rPr>
          <w:rFonts w:ascii="Arial" w:eastAsia="Calibri" w:hAnsi="Arial" w:cs="Arial"/>
          <w:sz w:val="22"/>
          <w:szCs w:val="22"/>
        </w:rPr>
        <w:t>.</w:t>
      </w:r>
    </w:p>
    <w:p w14:paraId="6AA7A37E" w14:textId="77777777" w:rsidR="00EB3E62" w:rsidRPr="00EB3E62" w:rsidRDefault="00EB3E62" w:rsidP="00EB3E62">
      <w:pPr>
        <w:numPr>
          <w:ilvl w:val="1"/>
          <w:numId w:val="35"/>
        </w:numPr>
        <w:tabs>
          <w:tab w:val="left" w:pos="720"/>
        </w:tabs>
        <w:autoSpaceDE w:val="0"/>
        <w:autoSpaceDN w:val="0"/>
        <w:adjustRightInd w:val="0"/>
        <w:spacing w:line="276" w:lineRule="auto"/>
        <w:ind w:left="720"/>
        <w:rPr>
          <w:rFonts w:ascii="Arial" w:eastAsia="Calibri" w:hAnsi="Arial" w:cs="Arial"/>
          <w:sz w:val="22"/>
          <w:szCs w:val="22"/>
        </w:rPr>
      </w:pPr>
      <w:proofErr w:type="spellStart"/>
      <w:r w:rsidRPr="00EB3E62">
        <w:rPr>
          <w:rFonts w:ascii="Arial" w:eastAsia="Calibri" w:hAnsi="Arial" w:cs="Arial"/>
          <w:sz w:val="22"/>
          <w:szCs w:val="22"/>
        </w:rPr>
        <w:t>Brevibloc</w:t>
      </w:r>
      <w:proofErr w:type="spellEnd"/>
      <w:r w:rsidRPr="00EB3E62">
        <w:rPr>
          <w:rFonts w:ascii="Arial" w:eastAsia="Calibri" w:hAnsi="Arial" w:cs="Arial"/>
          <w:sz w:val="22"/>
          <w:szCs w:val="22"/>
        </w:rPr>
        <w:t xml:space="preserve"> (esmolol); MB </w:t>
      </w:r>
    </w:p>
    <w:p w14:paraId="3C37F889" w14:textId="25BEDB8E" w:rsidR="00EB3E62" w:rsidRPr="00EB3E62" w:rsidRDefault="00EB3E62" w:rsidP="00EB3E62">
      <w:pPr>
        <w:numPr>
          <w:ilvl w:val="1"/>
          <w:numId w:val="35"/>
        </w:numPr>
        <w:tabs>
          <w:tab w:val="left" w:pos="720"/>
        </w:tabs>
        <w:autoSpaceDE w:val="0"/>
        <w:autoSpaceDN w:val="0"/>
        <w:adjustRightInd w:val="0"/>
        <w:spacing w:line="276" w:lineRule="auto"/>
        <w:ind w:left="720"/>
        <w:rPr>
          <w:rFonts w:ascii="Arial" w:eastAsia="Calibri" w:hAnsi="Arial" w:cs="Arial"/>
          <w:sz w:val="22"/>
          <w:szCs w:val="22"/>
        </w:rPr>
      </w:pPr>
      <w:r w:rsidRPr="00EB3E62">
        <w:rPr>
          <w:rFonts w:ascii="Arial" w:eastAsia="Calibri" w:hAnsi="Arial" w:cs="Arial"/>
          <w:sz w:val="22"/>
          <w:szCs w:val="22"/>
        </w:rPr>
        <w:t>chlorothiazide injection; MB</w:t>
      </w:r>
    </w:p>
    <w:p w14:paraId="4A466F7E" w14:textId="77777777" w:rsidR="00EB3E62" w:rsidRPr="00EB3E62" w:rsidRDefault="00EB3E62" w:rsidP="00EB3E62">
      <w:pPr>
        <w:numPr>
          <w:ilvl w:val="1"/>
          <w:numId w:val="35"/>
        </w:numPr>
        <w:tabs>
          <w:tab w:val="left" w:pos="720"/>
        </w:tabs>
        <w:autoSpaceDE w:val="0"/>
        <w:autoSpaceDN w:val="0"/>
        <w:adjustRightInd w:val="0"/>
        <w:spacing w:line="276" w:lineRule="auto"/>
        <w:ind w:left="720"/>
        <w:rPr>
          <w:rFonts w:ascii="Arial" w:eastAsia="Calibri" w:hAnsi="Arial" w:cs="Arial"/>
          <w:sz w:val="22"/>
          <w:szCs w:val="22"/>
        </w:rPr>
      </w:pPr>
      <w:r w:rsidRPr="00EB3E62">
        <w:rPr>
          <w:rFonts w:ascii="Arial" w:eastAsia="Calibri" w:hAnsi="Arial" w:cs="Arial"/>
          <w:sz w:val="22"/>
          <w:szCs w:val="22"/>
        </w:rPr>
        <w:t>Lanoxin (digoxin injection); MB</w:t>
      </w:r>
    </w:p>
    <w:p w14:paraId="0B3018CE" w14:textId="719F9491" w:rsidR="00EB3E62" w:rsidRPr="00EB3E62" w:rsidRDefault="00EB3E62" w:rsidP="00EB3E62">
      <w:pPr>
        <w:numPr>
          <w:ilvl w:val="1"/>
          <w:numId w:val="35"/>
        </w:numPr>
        <w:tabs>
          <w:tab w:val="left" w:pos="720"/>
        </w:tabs>
        <w:autoSpaceDE w:val="0"/>
        <w:autoSpaceDN w:val="0"/>
        <w:adjustRightInd w:val="0"/>
        <w:spacing w:line="276" w:lineRule="auto"/>
        <w:ind w:left="720"/>
        <w:rPr>
          <w:rFonts w:ascii="Arial" w:eastAsia="Calibri" w:hAnsi="Arial" w:cs="Arial"/>
          <w:sz w:val="22"/>
          <w:szCs w:val="22"/>
        </w:rPr>
      </w:pPr>
      <w:r w:rsidRPr="00EB3E62">
        <w:rPr>
          <w:rFonts w:ascii="Arial" w:eastAsia="Calibri" w:hAnsi="Arial" w:cs="Arial"/>
          <w:sz w:val="22"/>
          <w:szCs w:val="22"/>
        </w:rPr>
        <w:t>nicardipine injection; MB</w:t>
      </w:r>
    </w:p>
    <w:p w14:paraId="4F345D1E" w14:textId="106D55B2" w:rsidR="00EB3E62" w:rsidRPr="00EB3E62" w:rsidRDefault="00EB3E62" w:rsidP="00EB3E62">
      <w:pPr>
        <w:numPr>
          <w:ilvl w:val="1"/>
          <w:numId w:val="35"/>
        </w:numPr>
        <w:tabs>
          <w:tab w:val="left" w:pos="720"/>
        </w:tabs>
        <w:autoSpaceDE w:val="0"/>
        <w:autoSpaceDN w:val="0"/>
        <w:adjustRightInd w:val="0"/>
        <w:spacing w:line="276" w:lineRule="auto"/>
        <w:ind w:left="720"/>
        <w:rPr>
          <w:rFonts w:ascii="Arial" w:eastAsia="Calibri" w:hAnsi="Arial" w:cs="Arial"/>
          <w:sz w:val="22"/>
          <w:szCs w:val="22"/>
        </w:rPr>
      </w:pPr>
      <w:r w:rsidRPr="00EB3E62">
        <w:rPr>
          <w:rFonts w:ascii="Arial" w:eastAsia="Calibri" w:hAnsi="Arial" w:cs="Arial"/>
          <w:sz w:val="22"/>
          <w:szCs w:val="22"/>
        </w:rPr>
        <w:t>nitroglycerin injection; MB</w:t>
      </w:r>
    </w:p>
    <w:p w14:paraId="13755DE7" w14:textId="77777777" w:rsidR="00EB3E62" w:rsidRPr="00424249" w:rsidRDefault="00EB3E62" w:rsidP="00424249">
      <w:pPr>
        <w:autoSpaceDE w:val="0"/>
        <w:autoSpaceDN w:val="0"/>
        <w:adjustRightInd w:val="0"/>
        <w:spacing w:line="276" w:lineRule="auto"/>
        <w:rPr>
          <w:rFonts w:eastAsia="Calibri" w:cs="Arial"/>
          <w:color w:val="000000"/>
          <w:sz w:val="20"/>
          <w:szCs w:val="20"/>
        </w:rPr>
      </w:pPr>
    </w:p>
    <w:p w14:paraId="3DBCC9C9" w14:textId="77777777" w:rsidR="00C33282" w:rsidRPr="00C33282" w:rsidRDefault="00C33282" w:rsidP="00C33282">
      <w:pPr>
        <w:keepNext/>
        <w:keepLines/>
        <w:spacing w:line="276" w:lineRule="auto"/>
        <w:outlineLvl w:val="0"/>
        <w:rPr>
          <w:rFonts w:ascii="Arial" w:eastAsia="Yu Gothic Light" w:hAnsi="Arial"/>
          <w:b/>
          <w:szCs w:val="32"/>
        </w:rPr>
      </w:pPr>
      <w:r w:rsidRPr="00C33282">
        <w:rPr>
          <w:rFonts w:ascii="Arial" w:eastAsia="Yu Gothic Light" w:hAnsi="Arial"/>
          <w:b/>
          <w:szCs w:val="32"/>
        </w:rPr>
        <w:t>New FDA “A”-Rated Generics</w:t>
      </w:r>
    </w:p>
    <w:p w14:paraId="0E960BA6" w14:textId="77777777" w:rsidR="00C33282" w:rsidRPr="00C33282" w:rsidRDefault="00C33282" w:rsidP="00C33282">
      <w:pPr>
        <w:autoSpaceDE w:val="0"/>
        <w:autoSpaceDN w:val="0"/>
        <w:adjustRightInd w:val="0"/>
        <w:spacing w:after="120"/>
        <w:rPr>
          <w:rFonts w:ascii="Arial" w:eastAsia="Calibri" w:hAnsi="Arial" w:cs="Arial"/>
          <w:color w:val="000000"/>
          <w:sz w:val="22"/>
          <w:szCs w:val="21"/>
        </w:rPr>
      </w:pPr>
      <w:r w:rsidRPr="00C33282">
        <w:rPr>
          <w:rFonts w:ascii="Arial" w:eastAsia="Calibri" w:hAnsi="Arial" w:cs="Arial"/>
          <w:color w:val="000000"/>
          <w:sz w:val="22"/>
          <w:szCs w:val="22"/>
        </w:rPr>
        <w:t>Effective February 18, 2025, the following</w:t>
      </w:r>
      <w:r w:rsidRPr="00C33282">
        <w:rPr>
          <w:rFonts w:ascii="Arial" w:eastAsia="Calibri" w:hAnsi="Arial" w:cs="Arial"/>
          <w:color w:val="000000"/>
          <w:sz w:val="22"/>
          <w:szCs w:val="21"/>
        </w:rPr>
        <w:t xml:space="preserve"> FDA “A”-rated generic drugs will be added to the MassHealth Drug List. The brand name is listed with a # symbol to indicate that PA is required for the brand. </w:t>
      </w:r>
    </w:p>
    <w:p w14:paraId="2D499ACD" w14:textId="77777777" w:rsidR="00C33282" w:rsidRPr="00C33282" w:rsidRDefault="00C33282" w:rsidP="00C33282">
      <w:pPr>
        <w:tabs>
          <w:tab w:val="left" w:pos="7200"/>
        </w:tabs>
        <w:autoSpaceDE w:val="0"/>
        <w:autoSpaceDN w:val="0"/>
        <w:adjustRightInd w:val="0"/>
        <w:spacing w:after="120"/>
        <w:ind w:left="360"/>
        <w:rPr>
          <w:rFonts w:ascii="Arial" w:eastAsia="Calibri" w:hAnsi="Arial" w:cs="Arial"/>
          <w:b/>
          <w:color w:val="000000"/>
          <w:sz w:val="22"/>
          <w:szCs w:val="22"/>
          <w:u w:val="single"/>
        </w:rPr>
      </w:pPr>
      <w:r w:rsidRPr="00C33282">
        <w:rPr>
          <w:rFonts w:ascii="Arial" w:eastAsia="Calibri" w:hAnsi="Arial" w:cs="Arial"/>
          <w:b/>
          <w:color w:val="000000"/>
          <w:sz w:val="22"/>
          <w:szCs w:val="22"/>
          <w:u w:val="single"/>
        </w:rPr>
        <w:t>New FDA “A”-Rated Generic Drug</w:t>
      </w:r>
      <w:r w:rsidRPr="00C33282">
        <w:rPr>
          <w:rFonts w:ascii="Arial" w:eastAsia="Calibri" w:hAnsi="Arial" w:cs="Arial"/>
          <w:color w:val="000000"/>
          <w:sz w:val="22"/>
          <w:szCs w:val="22"/>
        </w:rPr>
        <w:tab/>
      </w:r>
      <w:r w:rsidRPr="00C33282">
        <w:rPr>
          <w:rFonts w:ascii="Arial" w:eastAsia="Calibri" w:hAnsi="Arial" w:cs="Arial"/>
          <w:b/>
          <w:color w:val="000000"/>
          <w:sz w:val="22"/>
          <w:szCs w:val="22"/>
          <w:u w:val="single"/>
        </w:rPr>
        <w:t>Generic Equivalent of</w:t>
      </w:r>
    </w:p>
    <w:p w14:paraId="7BC4667D" w14:textId="77777777" w:rsidR="00C33282" w:rsidRPr="00C33282" w:rsidRDefault="00C33282" w:rsidP="00C33282">
      <w:pPr>
        <w:tabs>
          <w:tab w:val="left" w:pos="7200"/>
        </w:tabs>
        <w:suppressAutoHyphens/>
        <w:autoSpaceDE w:val="0"/>
        <w:autoSpaceDN w:val="0"/>
        <w:adjustRightInd w:val="0"/>
        <w:spacing w:line="276" w:lineRule="auto"/>
        <w:ind w:left="360"/>
        <w:rPr>
          <w:rFonts w:ascii="Arial" w:hAnsi="Arial" w:cs="Arial"/>
          <w:sz w:val="22"/>
          <w:szCs w:val="22"/>
        </w:rPr>
      </w:pPr>
      <w:r w:rsidRPr="00C33282">
        <w:rPr>
          <w:rFonts w:ascii="Arial" w:hAnsi="Arial" w:cs="Arial"/>
          <w:sz w:val="22"/>
          <w:szCs w:val="22"/>
        </w:rPr>
        <w:t>epinephrine injection</w:t>
      </w:r>
      <w:r w:rsidRPr="00C33282">
        <w:rPr>
          <w:rFonts w:ascii="Arial" w:hAnsi="Arial" w:cs="Arial"/>
          <w:sz w:val="22"/>
          <w:szCs w:val="22"/>
        </w:rPr>
        <w:tab/>
        <w:t>Adrenalin #</w:t>
      </w:r>
    </w:p>
    <w:p w14:paraId="389CB635" w14:textId="77777777" w:rsidR="00C33282" w:rsidRPr="00C33282" w:rsidRDefault="00C33282" w:rsidP="00C33282">
      <w:pPr>
        <w:tabs>
          <w:tab w:val="left" w:pos="7200"/>
        </w:tabs>
        <w:suppressAutoHyphens/>
        <w:autoSpaceDE w:val="0"/>
        <w:autoSpaceDN w:val="0"/>
        <w:adjustRightInd w:val="0"/>
        <w:spacing w:line="276" w:lineRule="auto"/>
        <w:ind w:left="360"/>
        <w:rPr>
          <w:rFonts w:ascii="Arial" w:hAnsi="Arial" w:cs="Arial"/>
          <w:sz w:val="22"/>
          <w:szCs w:val="22"/>
          <w:highlight w:val="yellow"/>
        </w:rPr>
      </w:pPr>
      <w:proofErr w:type="spellStart"/>
      <w:r w:rsidRPr="00C33282">
        <w:rPr>
          <w:rFonts w:ascii="Arial" w:hAnsi="Arial" w:cs="Arial"/>
          <w:sz w:val="22"/>
          <w:szCs w:val="22"/>
        </w:rPr>
        <w:t>mesna</w:t>
      </w:r>
      <w:proofErr w:type="spellEnd"/>
      <w:r w:rsidRPr="00C33282">
        <w:rPr>
          <w:rFonts w:ascii="Arial" w:hAnsi="Arial" w:cs="Arial"/>
          <w:sz w:val="22"/>
          <w:szCs w:val="22"/>
        </w:rPr>
        <w:t xml:space="preserve"> tablet</w:t>
      </w:r>
      <w:r w:rsidRPr="00C33282">
        <w:rPr>
          <w:rFonts w:ascii="Arial" w:hAnsi="Arial" w:cs="Arial"/>
          <w:sz w:val="22"/>
          <w:szCs w:val="22"/>
        </w:rPr>
        <w:tab/>
      </w:r>
      <w:proofErr w:type="spellStart"/>
      <w:r w:rsidRPr="00C33282">
        <w:rPr>
          <w:rFonts w:ascii="Arial" w:hAnsi="Arial" w:cs="Arial"/>
          <w:sz w:val="22"/>
          <w:szCs w:val="22"/>
        </w:rPr>
        <w:t>Mesnex</w:t>
      </w:r>
      <w:proofErr w:type="spellEnd"/>
      <w:r w:rsidRPr="00C33282">
        <w:rPr>
          <w:rFonts w:ascii="Arial" w:hAnsi="Arial" w:cs="Arial"/>
          <w:sz w:val="22"/>
          <w:szCs w:val="22"/>
        </w:rPr>
        <w:t xml:space="preserve"> #</w:t>
      </w:r>
    </w:p>
    <w:p w14:paraId="3EF3A595" w14:textId="77777777" w:rsidR="00EB3E62" w:rsidRPr="00424249" w:rsidRDefault="00EB3E62" w:rsidP="00424249">
      <w:pPr>
        <w:autoSpaceDE w:val="0"/>
        <w:autoSpaceDN w:val="0"/>
        <w:adjustRightInd w:val="0"/>
        <w:spacing w:line="276" w:lineRule="auto"/>
        <w:rPr>
          <w:rFonts w:eastAsia="Calibri" w:cs="Arial"/>
          <w:color w:val="000000"/>
          <w:sz w:val="20"/>
          <w:szCs w:val="20"/>
        </w:rPr>
      </w:pPr>
    </w:p>
    <w:p w14:paraId="10BE2799" w14:textId="77777777" w:rsidR="003A0D24" w:rsidRPr="003A0D24" w:rsidRDefault="003A0D24" w:rsidP="003A0D24">
      <w:pPr>
        <w:keepNext/>
        <w:keepLines/>
        <w:spacing w:line="276" w:lineRule="auto"/>
        <w:outlineLvl w:val="0"/>
        <w:rPr>
          <w:rFonts w:ascii="Arial" w:eastAsia="Yu Gothic Light" w:hAnsi="Arial" w:cs="Arial"/>
          <w:bCs/>
          <w:sz w:val="22"/>
          <w:szCs w:val="22"/>
        </w:rPr>
      </w:pPr>
      <w:r w:rsidRPr="003A0D24">
        <w:rPr>
          <w:rFonts w:ascii="Arial" w:eastAsia="Yu Gothic Light" w:hAnsi="Arial"/>
          <w:b/>
          <w:bCs/>
          <w:szCs w:val="32"/>
        </w:rPr>
        <w:t>Abbreviations, Acronyms, and Symbols</w:t>
      </w:r>
      <w:r w:rsidRPr="003A0D24">
        <w:rPr>
          <w:rFonts w:ascii="Arial" w:eastAsia="Yu Gothic Light" w:hAnsi="Arial"/>
          <w:bCs/>
          <w:szCs w:val="32"/>
        </w:rPr>
        <w:t xml:space="preserve"> </w:t>
      </w:r>
    </w:p>
    <w:p w14:paraId="6A01C4B6" w14:textId="7230B51A" w:rsidR="003A0D24" w:rsidRPr="003A0D24" w:rsidRDefault="003A0D24" w:rsidP="00424249">
      <w:pPr>
        <w:autoSpaceDE w:val="0"/>
        <w:autoSpaceDN w:val="0"/>
        <w:adjustRightInd w:val="0"/>
        <w:spacing w:after="100"/>
        <w:ind w:left="360"/>
        <w:rPr>
          <w:rFonts w:ascii="Arial" w:eastAsia="Calibri" w:hAnsi="Arial" w:cs="Arial"/>
          <w:color w:val="000000"/>
          <w:sz w:val="22"/>
          <w:szCs w:val="22"/>
        </w:rPr>
      </w:pPr>
      <w:r w:rsidRPr="003A0D24">
        <w:rPr>
          <w:rFonts w:ascii="Arial" w:eastAsia="Calibri" w:hAnsi="Arial" w:cs="Arial"/>
          <w:b/>
          <w:bCs/>
          <w:color w:val="000000"/>
          <w:sz w:val="22"/>
          <w:szCs w:val="22"/>
        </w:rPr>
        <w:t xml:space="preserve"># </w:t>
      </w:r>
      <w:r w:rsidRPr="003A0D24">
        <w:rPr>
          <w:rFonts w:ascii="Arial" w:eastAsia="Calibri" w:hAnsi="Arial" w:cs="Arial"/>
          <w:color w:val="000000"/>
          <w:sz w:val="22"/>
          <w:szCs w:val="22"/>
        </w:rPr>
        <w:t>This designates a brand-name drug with FDA “A”-rated generic equivalents.</w:t>
      </w:r>
      <w:r w:rsidR="00C222D9">
        <w:rPr>
          <w:rFonts w:ascii="Arial" w:eastAsia="Calibri" w:hAnsi="Arial" w:cs="Arial"/>
          <w:color w:val="000000"/>
          <w:sz w:val="22"/>
          <w:szCs w:val="22"/>
        </w:rPr>
        <w:t>PA</w:t>
      </w:r>
      <w:r w:rsidRPr="003A0D24">
        <w:rPr>
          <w:rFonts w:ascii="Arial" w:eastAsia="Calibri" w:hAnsi="Arial" w:cs="Arial"/>
          <w:color w:val="000000"/>
          <w:sz w:val="22"/>
          <w:szCs w:val="22"/>
        </w:rPr>
        <w:t xml:space="preserve"> is required for the brand, unless a particular form of that drug (for example, </w:t>
      </w:r>
      <w:r w:rsidR="00F038F7">
        <w:rPr>
          <w:rFonts w:ascii="Arial" w:eastAsia="Calibri" w:hAnsi="Arial" w:cs="Arial"/>
          <w:color w:val="000000"/>
          <w:sz w:val="22"/>
          <w:szCs w:val="22"/>
        </w:rPr>
        <w:t xml:space="preserve">a </w:t>
      </w:r>
      <w:r w:rsidRPr="003A0D24">
        <w:rPr>
          <w:rFonts w:ascii="Arial" w:eastAsia="Calibri" w:hAnsi="Arial" w:cs="Arial"/>
          <w:color w:val="000000"/>
          <w:sz w:val="22"/>
          <w:szCs w:val="22"/>
        </w:rPr>
        <w:t xml:space="preserve">tablet, capsule, or liquid) does not have an FDA “A”-rated generic equivalent. </w:t>
      </w:r>
    </w:p>
    <w:p w14:paraId="60E479CB" w14:textId="797AAC4B" w:rsidR="003A0D24" w:rsidRPr="003A0D24" w:rsidRDefault="003A0D24" w:rsidP="00424249">
      <w:pPr>
        <w:spacing w:after="100"/>
        <w:ind w:left="360" w:right="547"/>
        <w:rPr>
          <w:rFonts w:ascii="Arial" w:eastAsia="Calibri" w:hAnsi="Arial" w:cs="Arial"/>
          <w:sz w:val="22"/>
          <w:szCs w:val="22"/>
        </w:rPr>
      </w:pPr>
      <w:r w:rsidRPr="00412B95">
        <w:rPr>
          <w:rFonts w:ascii="Arial" w:eastAsia="Calibri" w:hAnsi="Arial" w:cs="Arial"/>
          <w:b/>
          <w:bCs/>
          <w:sz w:val="22"/>
          <w:szCs w:val="22"/>
          <w:vertAlign w:val="superscript"/>
        </w:rPr>
        <w:t>MB</w:t>
      </w:r>
      <w:r w:rsidRPr="003A0D24">
        <w:rPr>
          <w:rFonts w:ascii="Arial" w:eastAsia="Calibri" w:hAnsi="Arial" w:cs="Arial"/>
          <w:sz w:val="22"/>
          <w:szCs w:val="22"/>
        </w:rPr>
        <w:t xml:space="preserve"> This drug is available through the healthcare professional who administers the drug or in an outpatient or inpatient hospital setting. MassHealth does not pay for this drug to be dispensed through the retail pharmacy. If listed, </w:t>
      </w:r>
      <w:r w:rsidR="00F038F7">
        <w:rPr>
          <w:rFonts w:ascii="Arial" w:eastAsia="Calibri" w:hAnsi="Arial" w:cs="Arial"/>
          <w:sz w:val="22"/>
          <w:szCs w:val="22"/>
        </w:rPr>
        <w:t xml:space="preserve">PA </w:t>
      </w:r>
      <w:r w:rsidRPr="003A0D24">
        <w:rPr>
          <w:rFonts w:ascii="Arial" w:eastAsia="Calibri" w:hAnsi="Arial" w:cs="Arial"/>
          <w:sz w:val="22"/>
          <w:szCs w:val="22"/>
        </w:rPr>
        <w:t>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70C83C05" w14:textId="3FF5644C" w:rsidR="003A0D24" w:rsidRPr="003A0D24" w:rsidRDefault="003A0D24" w:rsidP="00424249">
      <w:pPr>
        <w:autoSpaceDE w:val="0"/>
        <w:autoSpaceDN w:val="0"/>
        <w:adjustRightInd w:val="0"/>
        <w:spacing w:after="100"/>
        <w:ind w:left="360"/>
        <w:rPr>
          <w:rFonts w:ascii="Arial" w:eastAsia="Calibri" w:hAnsi="Arial" w:cs="Arial"/>
          <w:color w:val="000000"/>
          <w:sz w:val="22"/>
          <w:szCs w:val="22"/>
        </w:rPr>
      </w:pPr>
      <w:r w:rsidRPr="006E5120">
        <w:rPr>
          <w:rFonts w:ascii="Arial" w:eastAsia="Calibri" w:hAnsi="Arial" w:cs="Arial"/>
          <w:b/>
          <w:bCs/>
          <w:color w:val="000000"/>
          <w:sz w:val="22"/>
          <w:szCs w:val="22"/>
          <w:vertAlign w:val="superscript"/>
        </w:rPr>
        <w:t>PA</w:t>
      </w:r>
      <w:r w:rsidRPr="003A0D24">
        <w:rPr>
          <w:rFonts w:ascii="Arial" w:eastAsia="Calibri" w:hAnsi="Arial" w:cs="Arial"/>
          <w:b/>
          <w:bCs/>
          <w:color w:val="000000"/>
          <w:sz w:val="22"/>
          <w:szCs w:val="22"/>
        </w:rPr>
        <w:t xml:space="preserve"> </w:t>
      </w:r>
      <w:r w:rsidRPr="003A0D24">
        <w:rPr>
          <w:rFonts w:ascii="Arial" w:eastAsia="Calibri" w:hAnsi="Arial" w:cs="Arial"/>
          <w:color w:val="000000"/>
          <w:sz w:val="22"/>
          <w:szCs w:val="22"/>
        </w:rPr>
        <w:t xml:space="preserve">Prior authorization is required. The prescriber must obtain PA for the drug </w:t>
      </w:r>
      <w:proofErr w:type="gramStart"/>
      <w:r w:rsidRPr="003A0D24">
        <w:rPr>
          <w:rFonts w:ascii="Arial" w:eastAsia="Calibri" w:hAnsi="Arial" w:cs="Arial"/>
          <w:color w:val="000000"/>
          <w:sz w:val="22"/>
          <w:szCs w:val="22"/>
        </w:rPr>
        <w:t>in order for</w:t>
      </w:r>
      <w:proofErr w:type="gramEnd"/>
      <w:r w:rsidRPr="003A0D24">
        <w:rPr>
          <w:rFonts w:ascii="Arial" w:eastAsia="Calibri" w:hAnsi="Arial" w:cs="Arial"/>
          <w:color w:val="000000"/>
          <w:sz w:val="22"/>
          <w:szCs w:val="22"/>
        </w:rPr>
        <w:t xml:space="preserve"> the provider to receive reimbursement. Note: PA applies to both the brand-name and the FDA “A”-rated generic equivalent of </w:t>
      </w:r>
      <w:r w:rsidR="00F038F7">
        <w:rPr>
          <w:rFonts w:ascii="Arial" w:eastAsia="Calibri" w:hAnsi="Arial" w:cs="Arial"/>
          <w:color w:val="000000"/>
          <w:sz w:val="22"/>
          <w:szCs w:val="22"/>
        </w:rPr>
        <w:t xml:space="preserve">a </w:t>
      </w:r>
      <w:r w:rsidRPr="003A0D24">
        <w:rPr>
          <w:rFonts w:ascii="Arial" w:eastAsia="Calibri" w:hAnsi="Arial" w:cs="Arial"/>
          <w:color w:val="000000"/>
          <w:sz w:val="22"/>
          <w:szCs w:val="22"/>
        </w:rPr>
        <w:t xml:space="preserve">listed product. </w:t>
      </w:r>
    </w:p>
    <w:p w14:paraId="4CB37DC8" w14:textId="77777777" w:rsidR="003A0D24" w:rsidRPr="003A0D24" w:rsidRDefault="003A0D24" w:rsidP="00424249">
      <w:pPr>
        <w:spacing w:after="100"/>
        <w:ind w:left="360" w:right="547"/>
        <w:rPr>
          <w:rFonts w:ascii="Arial" w:eastAsia="Calibri" w:hAnsi="Arial" w:cs="Arial"/>
          <w:sz w:val="22"/>
          <w:szCs w:val="22"/>
        </w:rPr>
      </w:pPr>
      <w:r w:rsidRPr="003A0D24">
        <w:rPr>
          <w:rFonts w:ascii="Arial" w:eastAsia="Calibri" w:hAnsi="Arial" w:cs="Arial"/>
          <w:b/>
          <w:sz w:val="22"/>
          <w:szCs w:val="22"/>
          <w:vertAlign w:val="superscript"/>
        </w:rPr>
        <w:t>A90</w:t>
      </w:r>
      <w:r w:rsidRPr="003A0D24">
        <w:rPr>
          <w:rFonts w:ascii="Arial" w:eastAsia="Calibri" w:hAnsi="Arial" w:cs="Arial"/>
          <w:sz w:val="22"/>
          <w:szCs w:val="22"/>
        </w:rPr>
        <w:t xml:space="preserve"> Allowable 90-day supply. Dispensing in up to a 90-day supply is allowed. May not include all strengths or formulations. Quantity limits and other restrictions may apply. </w:t>
      </w:r>
    </w:p>
    <w:p w14:paraId="1CED4623" w14:textId="77777777" w:rsidR="003A0D24" w:rsidRPr="003A0D24" w:rsidRDefault="003A0D24" w:rsidP="00424249">
      <w:pPr>
        <w:spacing w:after="100"/>
        <w:ind w:left="360" w:right="547"/>
        <w:rPr>
          <w:rFonts w:ascii="Arial" w:eastAsia="Calibri" w:hAnsi="Arial" w:cs="Arial"/>
          <w:sz w:val="22"/>
          <w:szCs w:val="22"/>
        </w:rPr>
      </w:pPr>
      <w:bookmarkStart w:id="7" w:name="_Hlk99013636"/>
      <w:r w:rsidRPr="003A0D24">
        <w:rPr>
          <w:rFonts w:ascii="Arial" w:eastAsia="Calibri" w:hAnsi="Arial" w:cs="Arial"/>
          <w:b/>
          <w:sz w:val="22"/>
          <w:szCs w:val="22"/>
          <w:vertAlign w:val="superscript"/>
        </w:rPr>
        <w:t>CO</w:t>
      </w:r>
      <w:r w:rsidRPr="003A0D24">
        <w:rPr>
          <w:rFonts w:ascii="Arial" w:eastAsia="Calibri" w:hAnsi="Arial" w:cs="Arial"/>
          <w:sz w:val="22"/>
          <w:szCs w:val="22"/>
        </w:rPr>
        <w:t xml:space="preserve"> Carve-Out. This agent is listed on the Acute Hospital Carve-Out Drugs List and is subject to additional monitoring and billing requirements.</w:t>
      </w:r>
    </w:p>
    <w:p w14:paraId="55A87671" w14:textId="77777777" w:rsidR="003A0D24" w:rsidRDefault="003A0D24" w:rsidP="00424249">
      <w:pPr>
        <w:spacing w:after="100"/>
        <w:ind w:left="360" w:right="547"/>
        <w:rPr>
          <w:rFonts w:ascii="Arial" w:eastAsia="Calibri" w:hAnsi="Arial" w:cs="Arial"/>
          <w:sz w:val="22"/>
          <w:szCs w:val="22"/>
        </w:rPr>
      </w:pPr>
      <w:r w:rsidRPr="003A0D24">
        <w:rPr>
          <w:rFonts w:ascii="Arial" w:eastAsia="Calibri" w:hAnsi="Arial" w:cs="Arial"/>
          <w:b/>
          <w:sz w:val="22"/>
          <w:szCs w:val="22"/>
          <w:vertAlign w:val="superscript"/>
        </w:rPr>
        <w:t>M90</w:t>
      </w:r>
      <w:r w:rsidRPr="003A0D24">
        <w:rPr>
          <w:rFonts w:ascii="Arial" w:eastAsia="Calibri" w:hAnsi="Arial" w:cs="Arial"/>
          <w:sz w:val="22"/>
          <w:szCs w:val="22"/>
        </w:rPr>
        <w:t xml:space="preserve"> Mandatory 90-day supply. After dispensing up to a 30-day supply initial fill, dispensing in a 90-day supply is required. May not include all strengths or formulations. Quantity limits and other restrictions may also apply.</w:t>
      </w:r>
      <w:bookmarkEnd w:id="7"/>
    </w:p>
    <w:p w14:paraId="6D7C14B6" w14:textId="0064914F" w:rsidR="00A66AFB" w:rsidRPr="00424249" w:rsidRDefault="00FC445C" w:rsidP="00424249">
      <w:pPr>
        <w:ind w:left="360" w:right="547"/>
        <w:rPr>
          <w:rFonts w:ascii="Arial" w:eastAsia="Calibri" w:hAnsi="Arial" w:cs="Arial"/>
          <w:b/>
          <w:bCs/>
          <w:sz w:val="22"/>
          <w:szCs w:val="22"/>
        </w:rPr>
      </w:pPr>
      <w:r w:rsidRPr="00FC445C">
        <w:rPr>
          <w:rFonts w:ascii="Arial" w:eastAsia="Calibri" w:hAnsi="Arial" w:cs="Arial"/>
          <w:b/>
          <w:bCs/>
          <w:sz w:val="22"/>
          <w:szCs w:val="22"/>
          <w:vertAlign w:val="superscript"/>
        </w:rPr>
        <w:t>PND</w:t>
      </w:r>
      <w:r w:rsidR="006E5120">
        <w:rPr>
          <w:rFonts w:ascii="Arial" w:eastAsia="Calibri" w:hAnsi="Arial" w:cs="Arial"/>
          <w:b/>
          <w:bCs/>
          <w:sz w:val="22"/>
          <w:szCs w:val="22"/>
        </w:rPr>
        <w:t xml:space="preserve"> </w:t>
      </w:r>
      <w:r w:rsidRPr="00FC445C">
        <w:rPr>
          <w:rFonts w:ascii="Arial" w:eastAsia="Calibri" w:hAnsi="Arial" w:cs="Arial"/>
          <w:sz w:val="22"/>
          <w:szCs w:val="22"/>
        </w:rPr>
        <w:t xml:space="preserve">Preferred Non-Drug Product. This product is a preferred non-drug product for which MassHealth has entered into a rebate agreement with </w:t>
      </w:r>
      <w:r w:rsidR="00B81D29">
        <w:rPr>
          <w:rFonts w:ascii="Arial" w:eastAsia="Calibri" w:hAnsi="Arial" w:cs="Arial"/>
          <w:sz w:val="22"/>
          <w:szCs w:val="22"/>
        </w:rPr>
        <w:t xml:space="preserve">the </w:t>
      </w:r>
      <w:r w:rsidRPr="00FC445C">
        <w:rPr>
          <w:rFonts w:ascii="Arial" w:eastAsia="Calibri" w:hAnsi="Arial" w:cs="Arial"/>
          <w:sz w:val="22"/>
          <w:szCs w:val="22"/>
        </w:rPr>
        <w:t>product manufacturer.</w:t>
      </w:r>
      <w:bookmarkEnd w:id="0"/>
    </w:p>
    <w:sectPr w:rsidR="00A66AFB" w:rsidRPr="00424249" w:rsidSect="003D103D">
      <w:footerReference w:type="default" r:id="rId15"/>
      <w:type w:val="continuous"/>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D0A7" w14:textId="77777777" w:rsidR="0086789A" w:rsidRDefault="0086789A" w:rsidP="00492602">
      <w:r>
        <w:separator/>
      </w:r>
    </w:p>
    <w:p w14:paraId="636E8602" w14:textId="77777777" w:rsidR="0086789A" w:rsidRDefault="0086789A"/>
  </w:endnote>
  <w:endnote w:type="continuationSeparator" w:id="0">
    <w:p w14:paraId="0C899391" w14:textId="77777777" w:rsidR="0086789A" w:rsidRDefault="0086789A" w:rsidP="00492602">
      <w:r>
        <w:continuationSeparator/>
      </w:r>
    </w:p>
    <w:p w14:paraId="14EEE856" w14:textId="77777777" w:rsidR="0086789A" w:rsidRDefault="0086789A"/>
  </w:endnote>
  <w:endnote w:type="continuationNotice" w:id="1">
    <w:p w14:paraId="2A3A9782" w14:textId="77777777" w:rsidR="0086789A" w:rsidRDefault="0086789A"/>
    <w:p w14:paraId="24D31146" w14:textId="77777777" w:rsidR="0086789A" w:rsidRDefault="0086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D9BA" w14:textId="77777777" w:rsidR="00424249" w:rsidRDefault="00424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51BE6680" w14:textId="4CB22159"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w:t>
    </w:r>
    <w:r w:rsidR="006807BE">
      <w:rPr>
        <w:rFonts w:ascii="Arial" w:hAnsi="Arial" w:cs="Arial"/>
        <w:iCs/>
        <w:sz w:val="18"/>
        <w:szCs w:val="18"/>
      </w:rPr>
      <w:t xml:space="preserve"> requests</w:t>
    </w:r>
    <w:r>
      <w:rPr>
        <w:rFonts w:ascii="Arial" w:hAnsi="Arial" w:cs="Arial"/>
        <w:iCs/>
        <w:sz w:val="18"/>
        <w:szCs w:val="18"/>
      </w:rPr>
      <w:t xml:space="preserve">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06F1644" w14:textId="77777777" w:rsidR="001F1D64" w:rsidRDefault="001F1D64"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A689" w14:textId="77777777" w:rsidR="0086789A" w:rsidRDefault="0086789A" w:rsidP="00492602">
      <w:r>
        <w:separator/>
      </w:r>
    </w:p>
    <w:p w14:paraId="517B96BB" w14:textId="77777777" w:rsidR="0086789A" w:rsidRDefault="0086789A"/>
  </w:footnote>
  <w:footnote w:type="continuationSeparator" w:id="0">
    <w:p w14:paraId="2EAA46A9" w14:textId="77777777" w:rsidR="0086789A" w:rsidRDefault="0086789A" w:rsidP="00492602">
      <w:r>
        <w:continuationSeparator/>
      </w:r>
    </w:p>
    <w:p w14:paraId="55658654" w14:textId="77777777" w:rsidR="0086789A" w:rsidRDefault="0086789A"/>
  </w:footnote>
  <w:footnote w:type="continuationNotice" w:id="1">
    <w:p w14:paraId="353D537D" w14:textId="77777777" w:rsidR="0086789A" w:rsidRDefault="0086789A"/>
    <w:p w14:paraId="0CB8BB34" w14:textId="77777777" w:rsidR="0086789A" w:rsidRDefault="00867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8D39" w14:textId="77777777" w:rsidR="00424249" w:rsidRDefault="00424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42E" w14:textId="344E20B4"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w:t>
    </w:r>
    <w:r w:rsidR="00A4506A">
      <w:rPr>
        <w:sz w:val="18"/>
        <w:szCs w:val="18"/>
      </w:rPr>
      <w:t>41</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424249">
      <w:rPr>
        <w:noProof/>
        <w:color w:val="auto"/>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EACD" w14:textId="77777777" w:rsidR="00424249" w:rsidRDefault="00424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705BB"/>
    <w:multiLevelType w:val="hybridMultilevel"/>
    <w:tmpl w:val="FFFFFFFF"/>
    <w:lvl w:ilvl="0" w:tplc="FFFFFFFF">
      <w:start w:val="1"/>
      <w:numFmt w:val="lowerLetter"/>
      <w:lvlText w:val="•"/>
      <w:lvlJc w:val="left"/>
    </w:lvl>
    <w:lvl w:ilvl="1" w:tplc="565DE60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56FA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30C34"/>
    <w:multiLevelType w:val="hybridMultilevel"/>
    <w:tmpl w:val="CE8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5313D"/>
    <w:multiLevelType w:val="hybridMultilevel"/>
    <w:tmpl w:val="096E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FA62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6242279"/>
    <w:multiLevelType w:val="hybridMultilevel"/>
    <w:tmpl w:val="5F4E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861E34"/>
    <w:multiLevelType w:val="hybridMultilevel"/>
    <w:tmpl w:val="B9B4BFF8"/>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F3157"/>
    <w:multiLevelType w:val="hybridMultilevel"/>
    <w:tmpl w:val="0DA85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62362900">
    <w:abstractNumId w:val="15"/>
  </w:num>
  <w:num w:numId="2" w16cid:durableId="177275884">
    <w:abstractNumId w:val="21"/>
  </w:num>
  <w:num w:numId="3" w16cid:durableId="1256865367">
    <w:abstractNumId w:val="23"/>
  </w:num>
  <w:num w:numId="4" w16cid:durableId="1261255442">
    <w:abstractNumId w:val="9"/>
  </w:num>
  <w:num w:numId="5" w16cid:durableId="2115860523">
    <w:abstractNumId w:val="14"/>
  </w:num>
  <w:num w:numId="6" w16cid:durableId="519122462">
    <w:abstractNumId w:val="20"/>
  </w:num>
  <w:num w:numId="7" w16cid:durableId="30572276">
    <w:abstractNumId w:val="24"/>
  </w:num>
  <w:num w:numId="8" w16cid:durableId="360130868">
    <w:abstractNumId w:val="7"/>
  </w:num>
  <w:num w:numId="9" w16cid:durableId="1460032301">
    <w:abstractNumId w:val="2"/>
  </w:num>
  <w:num w:numId="10" w16cid:durableId="864055193">
    <w:abstractNumId w:val="6"/>
  </w:num>
  <w:num w:numId="11" w16cid:durableId="747574778">
    <w:abstractNumId w:val="8"/>
  </w:num>
  <w:num w:numId="12" w16cid:durableId="990477161">
    <w:abstractNumId w:val="12"/>
  </w:num>
  <w:num w:numId="13" w16cid:durableId="1299412918">
    <w:abstractNumId w:val="18"/>
  </w:num>
  <w:num w:numId="14" w16cid:durableId="1617637769">
    <w:abstractNumId w:val="3"/>
  </w:num>
  <w:num w:numId="15" w16cid:durableId="2060590910">
    <w:abstractNumId w:val="21"/>
  </w:num>
  <w:num w:numId="16" w16cid:durableId="7093012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554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252221">
    <w:abstractNumId w:val="20"/>
  </w:num>
  <w:num w:numId="19" w16cid:durableId="396513285">
    <w:abstractNumId w:val="25"/>
  </w:num>
  <w:num w:numId="20" w16cid:durableId="1523131637">
    <w:abstractNumId w:val="22"/>
  </w:num>
  <w:num w:numId="21" w16cid:durableId="150601857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6065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2792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290654">
    <w:abstractNumId w:val="26"/>
  </w:num>
  <w:num w:numId="25" w16cid:durableId="1452940975">
    <w:abstractNumId w:val="16"/>
  </w:num>
  <w:num w:numId="26" w16cid:durableId="449473619">
    <w:abstractNumId w:val="5"/>
  </w:num>
  <w:num w:numId="27" w16cid:durableId="171385810">
    <w:abstractNumId w:val="19"/>
  </w:num>
  <w:num w:numId="28" w16cid:durableId="950673952">
    <w:abstractNumId w:val="1"/>
  </w:num>
  <w:num w:numId="29" w16cid:durableId="1533107101">
    <w:abstractNumId w:val="0"/>
  </w:num>
  <w:num w:numId="30" w16cid:durableId="1640499502">
    <w:abstractNumId w:val="10"/>
  </w:num>
  <w:num w:numId="31" w16cid:durableId="1477799214">
    <w:abstractNumId w:val="21"/>
  </w:num>
  <w:num w:numId="32" w16cid:durableId="105285226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8407863">
    <w:abstractNumId w:val="22"/>
  </w:num>
  <w:num w:numId="34" w16cid:durableId="210777038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27068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072"/>
    <w:rsid w:val="00015518"/>
    <w:rsid w:val="00016D4B"/>
    <w:rsid w:val="0002770E"/>
    <w:rsid w:val="00032F24"/>
    <w:rsid w:val="00041BB3"/>
    <w:rsid w:val="0005108C"/>
    <w:rsid w:val="00054839"/>
    <w:rsid w:val="00065861"/>
    <w:rsid w:val="00066D40"/>
    <w:rsid w:val="00074014"/>
    <w:rsid w:val="0008078E"/>
    <w:rsid w:val="00081E8E"/>
    <w:rsid w:val="000A377D"/>
    <w:rsid w:val="000A6455"/>
    <w:rsid w:val="000B13AF"/>
    <w:rsid w:val="000B340B"/>
    <w:rsid w:val="000C4B1B"/>
    <w:rsid w:val="000C6C12"/>
    <w:rsid w:val="000D1502"/>
    <w:rsid w:val="000E15C7"/>
    <w:rsid w:val="001018B6"/>
    <w:rsid w:val="00103B6C"/>
    <w:rsid w:val="00126432"/>
    <w:rsid w:val="00136292"/>
    <w:rsid w:val="00137D3D"/>
    <w:rsid w:val="001405EC"/>
    <w:rsid w:val="00140D08"/>
    <w:rsid w:val="00147437"/>
    <w:rsid w:val="00147B32"/>
    <w:rsid w:val="00157A49"/>
    <w:rsid w:val="001721D8"/>
    <w:rsid w:val="0018192D"/>
    <w:rsid w:val="00183133"/>
    <w:rsid w:val="0018357E"/>
    <w:rsid w:val="0018410B"/>
    <w:rsid w:val="001864A9"/>
    <w:rsid w:val="001A73F0"/>
    <w:rsid w:val="001B615D"/>
    <w:rsid w:val="001C1481"/>
    <w:rsid w:val="001C17CD"/>
    <w:rsid w:val="001C66AD"/>
    <w:rsid w:val="001D35B4"/>
    <w:rsid w:val="001D4CF3"/>
    <w:rsid w:val="001D78C9"/>
    <w:rsid w:val="001E0E7A"/>
    <w:rsid w:val="001E537A"/>
    <w:rsid w:val="001F1D64"/>
    <w:rsid w:val="001F701D"/>
    <w:rsid w:val="001F799D"/>
    <w:rsid w:val="002509E9"/>
    <w:rsid w:val="00256E8B"/>
    <w:rsid w:val="0027289D"/>
    <w:rsid w:val="00276A80"/>
    <w:rsid w:val="00276F3A"/>
    <w:rsid w:val="002823C9"/>
    <w:rsid w:val="00286CBE"/>
    <w:rsid w:val="00291313"/>
    <w:rsid w:val="002C3126"/>
    <w:rsid w:val="002C3773"/>
    <w:rsid w:val="002C54C4"/>
    <w:rsid w:val="002C690F"/>
    <w:rsid w:val="002C7C67"/>
    <w:rsid w:val="002D390F"/>
    <w:rsid w:val="002D738C"/>
    <w:rsid w:val="002F0ACB"/>
    <w:rsid w:val="002F5C29"/>
    <w:rsid w:val="002F7813"/>
    <w:rsid w:val="003152DA"/>
    <w:rsid w:val="0033053B"/>
    <w:rsid w:val="00352CE6"/>
    <w:rsid w:val="0035740B"/>
    <w:rsid w:val="00360067"/>
    <w:rsid w:val="00363377"/>
    <w:rsid w:val="0036343A"/>
    <w:rsid w:val="00364DA1"/>
    <w:rsid w:val="0037373E"/>
    <w:rsid w:val="003742C0"/>
    <w:rsid w:val="00381A1E"/>
    <w:rsid w:val="00382054"/>
    <w:rsid w:val="00383A87"/>
    <w:rsid w:val="003A0D24"/>
    <w:rsid w:val="003B3B03"/>
    <w:rsid w:val="003B6839"/>
    <w:rsid w:val="003C525F"/>
    <w:rsid w:val="003D103D"/>
    <w:rsid w:val="003D1841"/>
    <w:rsid w:val="004005D7"/>
    <w:rsid w:val="00400D00"/>
    <w:rsid w:val="00402C3A"/>
    <w:rsid w:val="00410B13"/>
    <w:rsid w:val="00412B95"/>
    <w:rsid w:val="00417EB4"/>
    <w:rsid w:val="00424249"/>
    <w:rsid w:val="00426464"/>
    <w:rsid w:val="00435431"/>
    <w:rsid w:val="0043707B"/>
    <w:rsid w:val="004417DC"/>
    <w:rsid w:val="004421F0"/>
    <w:rsid w:val="0044714D"/>
    <w:rsid w:val="00447A5F"/>
    <w:rsid w:val="004664D3"/>
    <w:rsid w:val="00466A33"/>
    <w:rsid w:val="0047632A"/>
    <w:rsid w:val="00476ACE"/>
    <w:rsid w:val="0048705C"/>
    <w:rsid w:val="0049118A"/>
    <w:rsid w:val="00492602"/>
    <w:rsid w:val="0049421E"/>
    <w:rsid w:val="004A1D1C"/>
    <w:rsid w:val="004A3BAA"/>
    <w:rsid w:val="004A7395"/>
    <w:rsid w:val="004C4924"/>
    <w:rsid w:val="004D4593"/>
    <w:rsid w:val="004F5612"/>
    <w:rsid w:val="00503A62"/>
    <w:rsid w:val="00516394"/>
    <w:rsid w:val="00522E88"/>
    <w:rsid w:val="005314A6"/>
    <w:rsid w:val="005502E1"/>
    <w:rsid w:val="00551597"/>
    <w:rsid w:val="00552F50"/>
    <w:rsid w:val="0056481B"/>
    <w:rsid w:val="00571898"/>
    <w:rsid w:val="00574F07"/>
    <w:rsid w:val="00581E50"/>
    <w:rsid w:val="005842A0"/>
    <w:rsid w:val="00587A3E"/>
    <w:rsid w:val="005958DD"/>
    <w:rsid w:val="005A0EB2"/>
    <w:rsid w:val="005A57BA"/>
    <w:rsid w:val="005D4363"/>
    <w:rsid w:val="005D6832"/>
    <w:rsid w:val="005E479A"/>
    <w:rsid w:val="005E608B"/>
    <w:rsid w:val="005E7C55"/>
    <w:rsid w:val="005F00EF"/>
    <w:rsid w:val="005F3677"/>
    <w:rsid w:val="00603517"/>
    <w:rsid w:val="006161A5"/>
    <w:rsid w:val="00617A9C"/>
    <w:rsid w:val="006220AB"/>
    <w:rsid w:val="00623469"/>
    <w:rsid w:val="006302EF"/>
    <w:rsid w:val="00637A67"/>
    <w:rsid w:val="006408FB"/>
    <w:rsid w:val="006421B9"/>
    <w:rsid w:val="00647298"/>
    <w:rsid w:val="00650095"/>
    <w:rsid w:val="00651CA7"/>
    <w:rsid w:val="00652261"/>
    <w:rsid w:val="00661841"/>
    <w:rsid w:val="00663BDB"/>
    <w:rsid w:val="00666BCC"/>
    <w:rsid w:val="00674418"/>
    <w:rsid w:val="00674428"/>
    <w:rsid w:val="006807BE"/>
    <w:rsid w:val="00681858"/>
    <w:rsid w:val="00683A24"/>
    <w:rsid w:val="00686C26"/>
    <w:rsid w:val="00690023"/>
    <w:rsid w:val="00692C5C"/>
    <w:rsid w:val="006967F6"/>
    <w:rsid w:val="0069772F"/>
    <w:rsid w:val="006D3092"/>
    <w:rsid w:val="006D3B5F"/>
    <w:rsid w:val="006D4545"/>
    <w:rsid w:val="006D6CDE"/>
    <w:rsid w:val="006E0C20"/>
    <w:rsid w:val="006E22A3"/>
    <w:rsid w:val="006E5120"/>
    <w:rsid w:val="006E6E6D"/>
    <w:rsid w:val="006F35F9"/>
    <w:rsid w:val="007006BD"/>
    <w:rsid w:val="007319D7"/>
    <w:rsid w:val="00731FAF"/>
    <w:rsid w:val="007326EC"/>
    <w:rsid w:val="007339DB"/>
    <w:rsid w:val="007426BF"/>
    <w:rsid w:val="00742D9C"/>
    <w:rsid w:val="007465A9"/>
    <w:rsid w:val="00747274"/>
    <w:rsid w:val="00753C90"/>
    <w:rsid w:val="00760FDF"/>
    <w:rsid w:val="00763D9D"/>
    <w:rsid w:val="00770E52"/>
    <w:rsid w:val="00772667"/>
    <w:rsid w:val="007757E7"/>
    <w:rsid w:val="0078485C"/>
    <w:rsid w:val="00796A47"/>
    <w:rsid w:val="007A1603"/>
    <w:rsid w:val="007A41F5"/>
    <w:rsid w:val="007A71F0"/>
    <w:rsid w:val="007B5A33"/>
    <w:rsid w:val="007B7425"/>
    <w:rsid w:val="007C290F"/>
    <w:rsid w:val="007C2BFD"/>
    <w:rsid w:val="007C6D14"/>
    <w:rsid w:val="007E6327"/>
    <w:rsid w:val="007F5417"/>
    <w:rsid w:val="007F7D28"/>
    <w:rsid w:val="00810468"/>
    <w:rsid w:val="00812480"/>
    <w:rsid w:val="00817B74"/>
    <w:rsid w:val="00821937"/>
    <w:rsid w:val="008403CA"/>
    <w:rsid w:val="008535D0"/>
    <w:rsid w:val="0085395A"/>
    <w:rsid w:val="00853F8E"/>
    <w:rsid w:val="00861844"/>
    <w:rsid w:val="0086789A"/>
    <w:rsid w:val="00871BCF"/>
    <w:rsid w:val="00872E7F"/>
    <w:rsid w:val="00880FA9"/>
    <w:rsid w:val="008930F1"/>
    <w:rsid w:val="00893F45"/>
    <w:rsid w:val="008978FF"/>
    <w:rsid w:val="008B348F"/>
    <w:rsid w:val="008C5414"/>
    <w:rsid w:val="008D5FB9"/>
    <w:rsid w:val="008E62B4"/>
    <w:rsid w:val="008F0130"/>
    <w:rsid w:val="008F11E0"/>
    <w:rsid w:val="008F2307"/>
    <w:rsid w:val="008F2E4C"/>
    <w:rsid w:val="008F6D47"/>
    <w:rsid w:val="00906EEC"/>
    <w:rsid w:val="009166DF"/>
    <w:rsid w:val="00916A44"/>
    <w:rsid w:val="009204C7"/>
    <w:rsid w:val="00922030"/>
    <w:rsid w:val="00941258"/>
    <w:rsid w:val="00942245"/>
    <w:rsid w:val="00956812"/>
    <w:rsid w:val="00960771"/>
    <w:rsid w:val="00965293"/>
    <w:rsid w:val="00967518"/>
    <w:rsid w:val="009725E5"/>
    <w:rsid w:val="00981567"/>
    <w:rsid w:val="0098420C"/>
    <w:rsid w:val="009B5A36"/>
    <w:rsid w:val="009C3981"/>
    <w:rsid w:val="009D4391"/>
    <w:rsid w:val="009D6AAA"/>
    <w:rsid w:val="009E14EE"/>
    <w:rsid w:val="009F0440"/>
    <w:rsid w:val="00A01DE3"/>
    <w:rsid w:val="00A11371"/>
    <w:rsid w:val="00A120E1"/>
    <w:rsid w:val="00A217D3"/>
    <w:rsid w:val="00A23C6C"/>
    <w:rsid w:val="00A262A2"/>
    <w:rsid w:val="00A330FD"/>
    <w:rsid w:val="00A343A9"/>
    <w:rsid w:val="00A405B4"/>
    <w:rsid w:val="00A43679"/>
    <w:rsid w:val="00A4506A"/>
    <w:rsid w:val="00A5239C"/>
    <w:rsid w:val="00A53E9B"/>
    <w:rsid w:val="00A61734"/>
    <w:rsid w:val="00A643FC"/>
    <w:rsid w:val="00A650DC"/>
    <w:rsid w:val="00A65633"/>
    <w:rsid w:val="00A66AFB"/>
    <w:rsid w:val="00A71D25"/>
    <w:rsid w:val="00A76696"/>
    <w:rsid w:val="00A84255"/>
    <w:rsid w:val="00A87E7D"/>
    <w:rsid w:val="00A91725"/>
    <w:rsid w:val="00A94DDA"/>
    <w:rsid w:val="00AA3257"/>
    <w:rsid w:val="00AC1AC7"/>
    <w:rsid w:val="00AD18B8"/>
    <w:rsid w:val="00AD4750"/>
    <w:rsid w:val="00AD7369"/>
    <w:rsid w:val="00AE21FC"/>
    <w:rsid w:val="00AE46EB"/>
    <w:rsid w:val="00AF19BA"/>
    <w:rsid w:val="00AF1D89"/>
    <w:rsid w:val="00AF3D5A"/>
    <w:rsid w:val="00AF69C8"/>
    <w:rsid w:val="00B01BAA"/>
    <w:rsid w:val="00B07BD7"/>
    <w:rsid w:val="00B22A91"/>
    <w:rsid w:val="00B3099B"/>
    <w:rsid w:val="00B44F14"/>
    <w:rsid w:val="00B546A9"/>
    <w:rsid w:val="00B54AB5"/>
    <w:rsid w:val="00B57DFD"/>
    <w:rsid w:val="00B631BF"/>
    <w:rsid w:val="00B6603B"/>
    <w:rsid w:val="00B74286"/>
    <w:rsid w:val="00B81D29"/>
    <w:rsid w:val="00B91A99"/>
    <w:rsid w:val="00B92C96"/>
    <w:rsid w:val="00B94980"/>
    <w:rsid w:val="00BA68F0"/>
    <w:rsid w:val="00BB7087"/>
    <w:rsid w:val="00BB7F64"/>
    <w:rsid w:val="00BD08CA"/>
    <w:rsid w:val="00BD49EE"/>
    <w:rsid w:val="00BF08BA"/>
    <w:rsid w:val="00BF2B67"/>
    <w:rsid w:val="00BF5D2E"/>
    <w:rsid w:val="00C10F29"/>
    <w:rsid w:val="00C222D9"/>
    <w:rsid w:val="00C27842"/>
    <w:rsid w:val="00C30531"/>
    <w:rsid w:val="00C31421"/>
    <w:rsid w:val="00C33282"/>
    <w:rsid w:val="00C33753"/>
    <w:rsid w:val="00C35B94"/>
    <w:rsid w:val="00C57A08"/>
    <w:rsid w:val="00C671DE"/>
    <w:rsid w:val="00C75718"/>
    <w:rsid w:val="00C82FA4"/>
    <w:rsid w:val="00C959A1"/>
    <w:rsid w:val="00CA0669"/>
    <w:rsid w:val="00CA42D3"/>
    <w:rsid w:val="00CB0030"/>
    <w:rsid w:val="00CB7178"/>
    <w:rsid w:val="00CC3C2D"/>
    <w:rsid w:val="00CC57AC"/>
    <w:rsid w:val="00CC776C"/>
    <w:rsid w:val="00CD01A5"/>
    <w:rsid w:val="00CD6B42"/>
    <w:rsid w:val="00CE1E17"/>
    <w:rsid w:val="00CF561D"/>
    <w:rsid w:val="00D05E85"/>
    <w:rsid w:val="00D2695E"/>
    <w:rsid w:val="00D4030C"/>
    <w:rsid w:val="00D42F5E"/>
    <w:rsid w:val="00D45E4A"/>
    <w:rsid w:val="00D63E59"/>
    <w:rsid w:val="00D66A89"/>
    <w:rsid w:val="00D81121"/>
    <w:rsid w:val="00D829A3"/>
    <w:rsid w:val="00D83755"/>
    <w:rsid w:val="00D90C7C"/>
    <w:rsid w:val="00D93833"/>
    <w:rsid w:val="00DA36E5"/>
    <w:rsid w:val="00DC0CC0"/>
    <w:rsid w:val="00DC2D01"/>
    <w:rsid w:val="00E01E67"/>
    <w:rsid w:val="00E06AFA"/>
    <w:rsid w:val="00E24139"/>
    <w:rsid w:val="00E37E21"/>
    <w:rsid w:val="00E444BA"/>
    <w:rsid w:val="00E53D5C"/>
    <w:rsid w:val="00E60ABB"/>
    <w:rsid w:val="00E60C41"/>
    <w:rsid w:val="00E67713"/>
    <w:rsid w:val="00E7413C"/>
    <w:rsid w:val="00E80EF9"/>
    <w:rsid w:val="00E90EB0"/>
    <w:rsid w:val="00E91925"/>
    <w:rsid w:val="00E92E47"/>
    <w:rsid w:val="00E9576D"/>
    <w:rsid w:val="00EB05D9"/>
    <w:rsid w:val="00EB3BFD"/>
    <w:rsid w:val="00EB3E62"/>
    <w:rsid w:val="00EC08AC"/>
    <w:rsid w:val="00EC2856"/>
    <w:rsid w:val="00EC2E80"/>
    <w:rsid w:val="00EC5D2D"/>
    <w:rsid w:val="00EC7E0A"/>
    <w:rsid w:val="00EF7C8A"/>
    <w:rsid w:val="00F038F7"/>
    <w:rsid w:val="00F03AE8"/>
    <w:rsid w:val="00F053E2"/>
    <w:rsid w:val="00F12759"/>
    <w:rsid w:val="00F12AD7"/>
    <w:rsid w:val="00F16B33"/>
    <w:rsid w:val="00F25E7F"/>
    <w:rsid w:val="00F318BF"/>
    <w:rsid w:val="00F537EB"/>
    <w:rsid w:val="00F614AC"/>
    <w:rsid w:val="00F7659F"/>
    <w:rsid w:val="00F76D69"/>
    <w:rsid w:val="00F80EEE"/>
    <w:rsid w:val="00F85F2A"/>
    <w:rsid w:val="00F906CF"/>
    <w:rsid w:val="00F9387A"/>
    <w:rsid w:val="00FA5147"/>
    <w:rsid w:val="00FB0C11"/>
    <w:rsid w:val="00FB39E3"/>
    <w:rsid w:val="00FC445C"/>
    <w:rsid w:val="00FC532A"/>
    <w:rsid w:val="00FD4894"/>
    <w:rsid w:val="00FE5DF5"/>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Subtitle"/>
    <w:next w:val="Normal"/>
    <w:link w:val="Heading1Char"/>
    <w:qFormat/>
    <w:rsid w:val="00E37E21"/>
    <w:pPr>
      <w:spacing w:before="0"/>
      <w:outlineLvl w:val="0"/>
    </w:pPr>
    <w:rPr>
      <w:rFonts w:cs="Arial"/>
      <w:b/>
      <w:bCs/>
      <w:color w:val="auto"/>
      <w:sz w:val="28"/>
      <w:szCs w:val="28"/>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E37E21"/>
    <w:rPr>
      <w:rFonts w:ascii="Arial Black" w:hAnsi="Arial Black" w:cs="Arial"/>
      <w:b/>
      <w:bCs/>
      <w:sz w:val="28"/>
      <w:szCs w:val="28"/>
    </w:rPr>
  </w:style>
  <w:style w:type="character" w:styleId="FollowedHyperlink">
    <w:name w:val="FollowedHyperlink"/>
    <w:basedOn w:val="DefaultParagraphFont"/>
    <w:semiHidden/>
    <w:unhideWhenUsed/>
    <w:rsid w:val="005E608B"/>
    <w:rPr>
      <w:color w:val="800080" w:themeColor="followedHyperlink"/>
      <w:u w:val="single"/>
    </w:rPr>
  </w:style>
  <w:style w:type="paragraph" w:styleId="Title">
    <w:name w:val="Title"/>
    <w:basedOn w:val="Heading1"/>
    <w:next w:val="Normal"/>
    <w:link w:val="TitleChar"/>
    <w:qFormat/>
    <w:rsid w:val="00E37E21"/>
  </w:style>
  <w:style w:type="character" w:customStyle="1" w:styleId="TitleChar">
    <w:name w:val="Title Char"/>
    <w:basedOn w:val="DefaultParagraphFont"/>
    <w:link w:val="Title"/>
    <w:rsid w:val="00E37E21"/>
    <w:rPr>
      <w:rFonts w:ascii="Arial Black" w:hAnsi="Arial Black" w:cs="Arial"/>
      <w:b/>
      <w:bCs/>
      <w:sz w:val="28"/>
      <w:szCs w:val="28"/>
    </w:rPr>
  </w:style>
  <w:style w:type="character" w:styleId="UnresolvedMention">
    <w:name w:val="Unresolved Mention"/>
    <w:basedOn w:val="DefaultParagraphFont"/>
    <w:uiPriority w:val="99"/>
    <w:semiHidden/>
    <w:unhideWhenUsed/>
    <w:rsid w:val="0035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841894581">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46039942">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32752859">
      <w:bodyDiv w:val="1"/>
      <w:marLeft w:val="0"/>
      <w:marRight w:val="0"/>
      <w:marTop w:val="0"/>
      <w:marBottom w:val="0"/>
      <w:divBdr>
        <w:top w:val="none" w:sz="0" w:space="0" w:color="auto"/>
        <w:left w:val="none" w:sz="0" w:space="0" w:color="auto"/>
        <w:bottom w:val="none" w:sz="0" w:space="0" w:color="auto"/>
        <w:right w:val="none" w:sz="0" w:space="0" w:color="auto"/>
      </w:divBdr>
      <w:divsChild>
        <w:div w:id="1368288184">
          <w:marLeft w:val="0"/>
          <w:marRight w:val="0"/>
          <w:marTop w:val="0"/>
          <w:marBottom w:val="0"/>
          <w:divBdr>
            <w:top w:val="none" w:sz="0" w:space="0" w:color="auto"/>
            <w:left w:val="none" w:sz="0" w:space="0" w:color="auto"/>
            <w:bottom w:val="none" w:sz="0" w:space="0" w:color="auto"/>
            <w:right w:val="none" w:sz="0" w:space="0" w:color="auto"/>
          </w:divBdr>
          <w:divsChild>
            <w:div w:id="487946110">
              <w:marLeft w:val="0"/>
              <w:marRight w:val="0"/>
              <w:marTop w:val="0"/>
              <w:marBottom w:val="0"/>
              <w:divBdr>
                <w:top w:val="none" w:sz="0" w:space="0" w:color="auto"/>
                <w:left w:val="none" w:sz="0" w:space="0" w:color="auto"/>
                <w:bottom w:val="none" w:sz="0" w:space="0" w:color="auto"/>
                <w:right w:val="none" w:sz="0" w:space="0" w:color="auto"/>
              </w:divBdr>
            </w:div>
          </w:divsChild>
        </w:div>
        <w:div w:id="598103351">
          <w:marLeft w:val="0"/>
          <w:marRight w:val="0"/>
          <w:marTop w:val="0"/>
          <w:marBottom w:val="0"/>
          <w:divBdr>
            <w:top w:val="none" w:sz="0" w:space="0" w:color="auto"/>
            <w:left w:val="none" w:sz="0" w:space="0" w:color="auto"/>
            <w:bottom w:val="none" w:sz="0" w:space="0" w:color="auto"/>
            <w:right w:val="none" w:sz="0" w:space="0" w:color="auto"/>
          </w:divBdr>
        </w:div>
      </w:divsChild>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59492486">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557161074">
      <w:bodyDiv w:val="1"/>
      <w:marLeft w:val="0"/>
      <w:marRight w:val="0"/>
      <w:marTop w:val="0"/>
      <w:marBottom w:val="0"/>
      <w:divBdr>
        <w:top w:val="none" w:sz="0" w:space="0" w:color="auto"/>
        <w:left w:val="none" w:sz="0" w:space="0" w:color="auto"/>
        <w:bottom w:val="none" w:sz="0" w:space="0" w:color="auto"/>
        <w:right w:val="none" w:sz="0" w:space="0" w:color="auto"/>
      </w:divBdr>
    </w:div>
    <w:div w:id="160834405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896815057">
      <w:bodyDiv w:val="1"/>
      <w:marLeft w:val="0"/>
      <w:marRight w:val="0"/>
      <w:marTop w:val="0"/>
      <w:marBottom w:val="0"/>
      <w:divBdr>
        <w:top w:val="none" w:sz="0" w:space="0" w:color="auto"/>
        <w:left w:val="none" w:sz="0" w:space="0" w:color="auto"/>
        <w:bottom w:val="none" w:sz="0" w:space="0" w:color="auto"/>
        <w:right w:val="none" w:sz="0" w:space="0" w:color="auto"/>
      </w:divBdr>
    </w:div>
    <w:div w:id="1931700023">
      <w:bodyDiv w:val="1"/>
      <w:marLeft w:val="0"/>
      <w:marRight w:val="0"/>
      <w:marTop w:val="0"/>
      <w:marBottom w:val="0"/>
      <w:divBdr>
        <w:top w:val="none" w:sz="0" w:space="0" w:color="auto"/>
        <w:left w:val="none" w:sz="0" w:space="0" w:color="auto"/>
        <w:bottom w:val="none" w:sz="0" w:space="0" w:color="auto"/>
        <w:right w:val="none" w:sz="0" w:space="0" w:color="auto"/>
      </w:divBdr>
      <w:divsChild>
        <w:div w:id="35742556">
          <w:marLeft w:val="0"/>
          <w:marRight w:val="0"/>
          <w:marTop w:val="0"/>
          <w:marBottom w:val="0"/>
          <w:divBdr>
            <w:top w:val="none" w:sz="0" w:space="0" w:color="auto"/>
            <w:left w:val="none" w:sz="0" w:space="0" w:color="auto"/>
            <w:bottom w:val="none" w:sz="0" w:space="0" w:color="auto"/>
            <w:right w:val="none" w:sz="0" w:space="0" w:color="auto"/>
          </w:divBdr>
          <w:divsChild>
            <w:div w:id="1998268419">
              <w:marLeft w:val="0"/>
              <w:marRight w:val="0"/>
              <w:marTop w:val="0"/>
              <w:marBottom w:val="0"/>
              <w:divBdr>
                <w:top w:val="none" w:sz="0" w:space="0" w:color="auto"/>
                <w:left w:val="none" w:sz="0" w:space="0" w:color="auto"/>
                <w:bottom w:val="none" w:sz="0" w:space="0" w:color="auto"/>
                <w:right w:val="none" w:sz="0" w:space="0" w:color="auto"/>
              </w:divBdr>
            </w:div>
          </w:divsChild>
        </w:div>
        <w:div w:id="1607152416">
          <w:marLeft w:val="0"/>
          <w:marRight w:val="0"/>
          <w:marTop w:val="0"/>
          <w:marBottom w:val="0"/>
          <w:divBdr>
            <w:top w:val="none" w:sz="0" w:space="0" w:color="auto"/>
            <w:left w:val="none" w:sz="0" w:space="0" w:color="auto"/>
            <w:bottom w:val="none" w:sz="0" w:space="0" w:color="auto"/>
            <w:right w:val="none" w:sz="0" w:space="0" w:color="auto"/>
          </w:divBdr>
        </w:div>
      </w:divsChild>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006929369">
      <w:bodyDiv w:val="1"/>
      <w:marLeft w:val="0"/>
      <w:marRight w:val="0"/>
      <w:marTop w:val="0"/>
      <w:marBottom w:val="0"/>
      <w:divBdr>
        <w:top w:val="none" w:sz="0" w:space="0" w:color="auto"/>
        <w:left w:val="none" w:sz="0" w:space="0" w:color="auto"/>
        <w:bottom w:val="none" w:sz="0" w:space="0" w:color="auto"/>
        <w:right w:val="none" w:sz="0" w:space="0" w:color="auto"/>
      </w:divBdr>
    </w:div>
    <w:div w:id="2059011547">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Kovach, Karen E (EHS)</cp:lastModifiedBy>
  <cp:revision>4</cp:revision>
  <cp:lastPrinted>2025-02-06T18:47:00Z</cp:lastPrinted>
  <dcterms:created xsi:type="dcterms:W3CDTF">2025-02-06T19:42:00Z</dcterms:created>
  <dcterms:modified xsi:type="dcterms:W3CDTF">2025-02-06T20:00:00Z</dcterms:modified>
</cp:coreProperties>
</file>